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10)</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$0.001 par value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00853E 305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Raymond Chang</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 Agrify Corporation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2468 Industrial Drive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Troy, MI 48084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(617) 896-5243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November 5,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which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18"/>
          <w:szCs w:val="18"/>
          <w:i w:val="1"/>
          <w:iCs w:val="1"/>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65836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583680"/>
                    </a:xfrm>
                    <a:prstGeom prst="rect">
                      <a:avLst/>
                    </a:prstGeom>
                    <a:noFill/>
                  </pic:spPr>
                </pic:pic>
              </a:graphicData>
            </a:graphic>
          </wp:anchor>
        </w:drawing>
      </w:r>
    </w:p>
    <w:p>
      <w:pPr>
        <w:spacing w:after="0" w:line="165" w:lineRule="exact"/>
        <w:rPr>
          <w:sz w:val="20"/>
          <w:szCs w:val="20"/>
          <w:color w:val="auto"/>
        </w:rPr>
      </w:pPr>
    </w:p>
    <w:p>
      <w:pPr>
        <w:ind w:left="920" w:right="8140" w:hanging="782"/>
        <w:spacing w:after="0" w:line="317" w:lineRule="auto"/>
        <w:tabs>
          <w:tab w:leader="none" w:pos="92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Raymond Nobu Chang</w:t>
      </w:r>
    </w:p>
    <w:p>
      <w:pPr>
        <w:spacing w:after="0" w:line="212" w:lineRule="exact"/>
        <w:rPr>
          <w:rFonts w:ascii="Times New Roman" w:cs="Times New Roman" w:eastAsia="Times New Roman" w:hAnsi="Times New Roman"/>
          <w:sz w:val="17"/>
          <w:szCs w:val="17"/>
          <w:b w:val="1"/>
          <w:bCs w:val="1"/>
          <w:color w:val="auto"/>
        </w:rPr>
      </w:pPr>
    </w:p>
    <w:p>
      <w:pPr>
        <w:ind w:left="920" w:hanging="782"/>
        <w:spacing w:after="0"/>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20" w:hanging="294"/>
        <w:spacing w:after="0" w:line="207" w:lineRule="exact"/>
        <w:tabs>
          <w:tab w:leader="none" w:pos="1220" w:val="left"/>
        </w:tabs>
        <w:numPr>
          <w:ilvl w:val="1"/>
          <w:numId w:val="2"/>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14"/>
        <w:spacing w:after="0" w:line="207" w:lineRule="exact"/>
        <w:tabs>
          <w:tab w:leader="none" w:pos="1240" w:val="left"/>
        </w:tabs>
        <w:numPr>
          <w:ilvl w:val="1"/>
          <w:numId w:val="2"/>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ind w:left="920" w:right="9060" w:hanging="782"/>
        <w:spacing w:after="0" w:line="286" w:lineRule="auto"/>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PF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2" w:lineRule="exact"/>
        <w:rPr>
          <w:rFonts w:ascii="Times New Roman" w:cs="Times New Roman" w:eastAsia="Times New Roman" w:hAnsi="Times New Roman"/>
          <w:sz w:val="17"/>
          <w:szCs w:val="17"/>
          <w:b w:val="1"/>
          <w:bCs w:val="1"/>
          <w:color w:val="auto"/>
        </w:rPr>
      </w:pPr>
    </w:p>
    <w:p>
      <w:pPr>
        <w:ind w:left="2600" w:right="7240" w:hanging="774"/>
        <w:spacing w:after="0" w:line="295" w:lineRule="auto"/>
        <w:tabs>
          <w:tab w:leader="none" w:pos="2600" w:val="left"/>
        </w:tabs>
        <w:numPr>
          <w:ilvl w:val="2"/>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14,931</w:t>
      </w:r>
      <w:r>
        <w:rPr>
          <w:rFonts w:ascii="Times New Roman" w:cs="Times New Roman" w:eastAsia="Times New Roman" w:hAnsi="Times New Roman"/>
          <w:sz w:val="29"/>
          <w:szCs w:val="29"/>
          <w:color w:val="auto"/>
          <w:vertAlign w:val="superscript"/>
        </w:rPr>
        <w:t>(1)</w:t>
      </w:r>
    </w:p>
    <w:p>
      <w:pPr>
        <w:spacing w:after="0" w:line="78"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1,044,968</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6"/>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0"/>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line="276" w:lineRule="exact"/>
              <w:rPr>
                <w:sz w:val="20"/>
                <w:szCs w:val="20"/>
                <w:color w:val="auto"/>
              </w:rPr>
            </w:pPr>
            <w:r>
              <w:rPr>
                <w:rFonts w:ascii="Times New Roman" w:cs="Times New Roman" w:eastAsia="Times New Roman" w:hAnsi="Times New Roman"/>
                <w:sz w:val="18"/>
                <w:szCs w:val="18"/>
                <w:color w:val="auto"/>
              </w:rPr>
              <w:t>14,931</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2600" w:right="6680" w:hanging="774"/>
        <w:spacing w:after="0" w:line="295" w:lineRule="auto"/>
        <w:tabs>
          <w:tab w:leader="none" w:pos="2600" w:val="left"/>
        </w:tabs>
        <w:numPr>
          <w:ilvl w:val="2"/>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1,044,968</w:t>
      </w:r>
      <w:r>
        <w:rPr>
          <w:rFonts w:ascii="Times New Roman" w:cs="Times New Roman" w:eastAsia="Times New Roman" w:hAnsi="Times New Roman"/>
          <w:sz w:val="29"/>
          <w:szCs w:val="29"/>
          <w:color w:val="auto"/>
          <w:vertAlign w:val="superscript"/>
        </w:rPr>
        <w:t>(2)</w:t>
      </w:r>
    </w:p>
    <w:p>
      <w:pPr>
        <w:spacing w:after="0" w:line="105"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1,059,938</w:t>
      </w:r>
      <w:r>
        <w:rPr>
          <w:rFonts w:ascii="Times New Roman" w:cs="Times New Roman" w:eastAsia="Times New Roman" w:hAnsi="Times New Roman"/>
          <w:sz w:val="29"/>
          <w:szCs w:val="29"/>
          <w:color w:val="auto"/>
          <w:vertAlign w:val="superscript"/>
        </w:rPr>
        <w:t>(2)</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41.36%</w:t>
      </w:r>
      <w:r>
        <w:rPr>
          <w:rFonts w:ascii="Times New Roman" w:cs="Times New Roman" w:eastAsia="Times New Roman" w:hAnsi="Times New Roman"/>
          <w:sz w:val="29"/>
          <w:szCs w:val="29"/>
          <w:color w:val="auto"/>
          <w:vertAlign w:val="superscript"/>
        </w:rPr>
        <w:t>(3)</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w:t>
      </w:r>
    </w:p>
    <w:p>
      <w:pPr>
        <w:spacing w:after="0" w:line="393" w:lineRule="exact"/>
        <w:rPr>
          <w:rFonts w:ascii="Times New Roman" w:cs="Times New Roman" w:eastAsia="Times New Roman" w:hAnsi="Times New Roman"/>
          <w:sz w:val="18"/>
          <w:szCs w:val="18"/>
          <w:b w:val="1"/>
          <w:bCs w:val="1"/>
          <w:color w:val="auto"/>
        </w:rPr>
      </w:pPr>
    </w:p>
    <w:p>
      <w:pPr>
        <w:jc w:val="both"/>
        <w:ind w:left="340" w:hanging="332"/>
        <w:spacing w:after="0" w:line="253"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up to 423 shares of common stock, par value $0.001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of Agrify Corporation (the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issuable upon exercise of stock options held by Mr. Chang that are exercisable within 60 days of the date hereof, and (ii) up to 14,508 shares of Common Stock issuable upon vesting and settlement of restricted stock units held by Mr. Chang within 60 days of the date hereof. Does not include 8,009 shares of Common Stock underlying time-based restricted stock units that will not vest within 60 days of the day hereof granted to Mr. Chang under the Agrify Corporation 2022 Omnibus Equity Incentive Plan, as amended (the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The Reporting Person entered into that certain Purchase Agreement (the “</w:t>
      </w:r>
      <w:r>
        <w:rPr>
          <w:rFonts w:ascii="Times New Roman" w:cs="Times New Roman" w:eastAsia="Times New Roman" w:hAnsi="Times New Roman"/>
          <w:sz w:val="18"/>
          <w:szCs w:val="18"/>
          <w:i w:val="1"/>
          <w:iCs w:val="1"/>
          <w:color w:val="auto"/>
        </w:rPr>
        <w:t>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dated November 5, 2024, with RSLGH, LLC (the “</w:t>
      </w:r>
      <w:r>
        <w:rPr>
          <w:rFonts w:ascii="Times New Roman" w:cs="Times New Roman" w:eastAsia="Times New Roman" w:hAnsi="Times New Roman"/>
          <w:sz w:val="18"/>
          <w:szCs w:val="18"/>
          <w:i w:val="1"/>
          <w:iCs w:val="1"/>
          <w:color w:val="auto"/>
        </w:rPr>
        <w:t>Investor</w:t>
      </w:r>
      <w:r>
        <w:rPr>
          <w:rFonts w:ascii="Times New Roman" w:cs="Times New Roman" w:eastAsia="Times New Roman" w:hAnsi="Times New Roman"/>
          <w:sz w:val="18"/>
          <w:szCs w:val="18"/>
          <w:color w:val="auto"/>
        </w:rPr>
        <w:t>”), and the other parties thereto. In the event the Reporting Person holds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units (“</w:t>
      </w:r>
      <w:r>
        <w:rPr>
          <w:rFonts w:ascii="Times New Roman" w:cs="Times New Roman" w:eastAsia="Times New Roman" w:hAnsi="Times New Roman"/>
          <w:sz w:val="18"/>
          <w:szCs w:val="18"/>
          <w:i w:val="1"/>
          <w:iCs w:val="1"/>
          <w:color w:val="auto"/>
        </w:rPr>
        <w:t>Restricted Stock</w:t>
      </w:r>
      <w:r>
        <w:rPr>
          <w:rFonts w:ascii="Times New Roman" w:cs="Times New Roman" w:eastAsia="Times New Roman" w:hAnsi="Times New Roman"/>
          <w:sz w:val="18"/>
          <w:szCs w:val="18"/>
          <w:color w:val="auto"/>
        </w:rPr>
        <w:t>”) or stock options (“</w:t>
      </w: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of the Issuer granted under any equity incentive plan of the Issuer or otherwise (the “</w:t>
      </w:r>
      <w:r>
        <w:rPr>
          <w:rFonts w:ascii="Times New Roman" w:cs="Times New Roman" w:eastAsia="Times New Roman" w:hAnsi="Times New Roman"/>
          <w:sz w:val="18"/>
          <w:szCs w:val="18"/>
          <w:i w:val="1"/>
          <w:iCs w:val="1"/>
          <w:color w:val="auto"/>
        </w:rPr>
        <w:t>Equity Awards</w:t>
      </w:r>
      <w:r>
        <w:rPr>
          <w:rFonts w:ascii="Times New Roman" w:cs="Times New Roman" w:eastAsia="Times New Roman" w:hAnsi="Times New Roman"/>
          <w:sz w:val="18"/>
          <w:szCs w:val="18"/>
          <w:color w:val="auto"/>
        </w:rPr>
        <w:t>” and the common stock of the Issuer underlying such Equity Awards, the “</w:t>
      </w:r>
      <w:r>
        <w:rPr>
          <w:rFonts w:ascii="Times New Roman" w:cs="Times New Roman" w:eastAsia="Times New Roman" w:hAnsi="Times New Roman"/>
          <w:sz w:val="18"/>
          <w:szCs w:val="18"/>
          <w:i w:val="1"/>
          <w:iCs w:val="1"/>
          <w:color w:val="auto"/>
        </w:rPr>
        <w:t>Award Stock</w:t>
      </w:r>
      <w:r>
        <w:rPr>
          <w:rFonts w:ascii="Times New Roman" w:cs="Times New Roman" w:eastAsia="Times New Roman" w:hAnsi="Times New Roman"/>
          <w:sz w:val="18"/>
          <w:szCs w:val="18"/>
          <w:color w:val="auto"/>
        </w:rPr>
        <w:t>”), such Seller agreed to the following: (i) to promptly transfer the Award Stock to Investor promptly upon receipt of such Award Stock, (ii) to not sell, assign, encumber or in any other way transfer any of the Award Stock except to Investor, and (iii) to not exercise any Stock Options unless in connection with transferring the resulting Award Stock to Issuer with the consent of Issuer. Sellers agreed that the Purchase Price (as defined in the Purchase Agreement) constitutes in part consideration for the Award Stock and no further consideration from Issuer shall be paid in exchange for the Award Stock.</w:t>
      </w:r>
    </w:p>
    <w:p>
      <w:pPr>
        <w:spacing w:after="0" w:line="108"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43 shares of Common Stock held by NXT3J Capital, LLC (“</w:t>
      </w:r>
      <w:r>
        <w:rPr>
          <w:rFonts w:ascii="Times New Roman" w:cs="Times New Roman" w:eastAsia="Times New Roman" w:hAnsi="Times New Roman"/>
          <w:sz w:val="18"/>
          <w:szCs w:val="18"/>
          <w:i w:val="1"/>
          <w:iCs w:val="1"/>
          <w:color w:val="auto"/>
        </w:rPr>
        <w:t>NXT3J</w:t>
      </w:r>
      <w:r>
        <w:rPr>
          <w:rFonts w:ascii="Times New Roman" w:cs="Times New Roman" w:eastAsia="Times New Roman" w:hAnsi="Times New Roman"/>
          <w:sz w:val="18"/>
          <w:szCs w:val="18"/>
          <w:color w:val="auto"/>
        </w:rPr>
        <w:t>”), an entity controlled by Mr. Chang, (ii) options to purchase 13 shares of Common Stock that are held by Raymond Chang Jr., Mr. Chang’s son, that are exercisable within 60 days of the date hereof, (iii) 4,825 restricted stock units that held by Raymond Chang Jr. that may vest or settle within 60 days of the date hereof, (iv) that number of shares of Common Stock issuable to CP Acquisitions, LLC (“</w:t>
      </w:r>
      <w:r>
        <w:rPr>
          <w:rFonts w:ascii="Times New Roman" w:cs="Times New Roman" w:eastAsia="Times New Roman" w:hAnsi="Times New Roman"/>
          <w:sz w:val="18"/>
          <w:szCs w:val="18"/>
          <w:i w:val="1"/>
          <w:iCs w:val="1"/>
          <w:color w:val="auto"/>
        </w:rPr>
        <w:t>CP Acquisitions</w:t>
      </w:r>
      <w:r>
        <w:rPr>
          <w:rFonts w:ascii="Times New Roman" w:cs="Times New Roman" w:eastAsia="Times New Roman" w:hAnsi="Times New Roman"/>
          <w:sz w:val="18"/>
          <w:szCs w:val="18"/>
          <w:color w:val="auto"/>
        </w:rPr>
        <w:t>”), an entity controlled by Mr. Chang, issuable to Mr. Chang upon the conversion of that certain Senior Secured Amended, Restated and Consolidated Convertible Note, as amended (the “</w:t>
      </w:r>
      <w:r>
        <w:rPr>
          <w:rFonts w:ascii="Times New Roman" w:cs="Times New Roman" w:eastAsia="Times New Roman" w:hAnsi="Times New Roman"/>
          <w:sz w:val="18"/>
          <w:szCs w:val="18"/>
          <w:i w:val="1"/>
          <w:iCs w:val="1"/>
          <w:color w:val="auto"/>
        </w:rPr>
        <w:t>Convertible Note</w:t>
      </w:r>
      <w:r>
        <w:rPr>
          <w:rFonts w:ascii="Times New Roman" w:cs="Times New Roman" w:eastAsia="Times New Roman" w:hAnsi="Times New Roman"/>
          <w:sz w:val="18"/>
          <w:szCs w:val="18"/>
          <w:color w:val="auto"/>
        </w:rPr>
        <w:t xml:space="preserve">”) due 2025 described herein with an outstanding principal amount of $3,500,000.00 and a conversion price of $21.90 per share (as may be adjusted per the Senior Secured Amended, Restated and Consolidated Convertible Note due 2025 from time to time), which conversion is subject to a 49.99% beneficial ownership limitation; </w:t>
      </w:r>
      <w:r>
        <w:rPr>
          <w:rFonts w:ascii="Times New Roman" w:cs="Times New Roman" w:eastAsia="Times New Roman" w:hAnsi="Times New Roman"/>
          <w:sz w:val="18"/>
          <w:szCs w:val="18"/>
          <w:i w:val="1"/>
          <w:iCs w:val="1"/>
          <w:color w:val="auto"/>
        </w:rPr>
        <w:t xml:space="preserve">provided that </w:t>
      </w:r>
      <w:r>
        <w:rPr>
          <w:rFonts w:ascii="Times New Roman" w:cs="Times New Roman" w:eastAsia="Times New Roman" w:hAnsi="Times New Roman"/>
          <w:sz w:val="18"/>
          <w:szCs w:val="18"/>
          <w:color w:val="auto"/>
        </w:rPr>
        <w:t>CP Acquisitions may assign its right to receive shares of Common Stock upon conversion to Mr. Chang and/or Ms. I-Tseng Jenny Chan,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a member of the Board of Directors of the Issuer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in which case the 49.99% beneficial ownership limitation will apply to each of them individually, and (v) that number of shares of Common Stock issuable to CP Acquisitions or, at CP Acquisition’s election, pre-funded warrants to</w:t>
      </w:r>
    </w:p>
    <w:p>
      <w:pPr>
        <w:sectPr>
          <w:pgSz w:w="11900" w:h="16838" w:orient="portrait"/>
          <w:cols w:equalWidth="0" w:num="1">
            <w:col w:w="11240"/>
          </w:cols>
          <w:pgMar w:left="320" w:top="806" w:right="339" w:bottom="0" w:gutter="0" w:footer="0" w:header="0"/>
        </w:sectPr>
      </w:pPr>
    </w:p>
    <w:bookmarkStart w:id="2" w:name="page3"/>
    <w:bookmarkEnd w:id="2"/>
    <w:p>
      <w:pPr>
        <w:jc w:val="both"/>
        <w:ind w:left="280"/>
        <w:spacing w:after="0" w:line="254" w:lineRule="auto"/>
        <w:rPr>
          <w:sz w:val="20"/>
          <w:szCs w:val="20"/>
          <w:color w:val="auto"/>
        </w:rPr>
      </w:pPr>
      <w:r>
        <w:rPr>
          <w:rFonts w:ascii="Times New Roman" w:cs="Times New Roman" w:eastAsia="Times New Roman" w:hAnsi="Times New Roman"/>
          <w:sz w:val="18"/>
          <w:szCs w:val="18"/>
          <w:color w:val="auto"/>
        </w:rPr>
        <w:t>purchase shares of Common Stock issuable to CP Acquisitions upon conversion of that certain Junior Secured Convertible Promissory Note (“</w:t>
      </w:r>
      <w:r>
        <w:rPr>
          <w:rFonts w:ascii="Times New Roman" w:cs="Times New Roman" w:eastAsia="Times New Roman" w:hAnsi="Times New Roman"/>
          <w:sz w:val="18"/>
          <w:szCs w:val="18"/>
          <w:i w:val="1"/>
          <w:iCs w:val="1"/>
          <w:color w:val="auto"/>
        </w:rPr>
        <w:t>Junior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due July 1, 2025, as amended by that certain Amendment No. 1, dated October 18, 2024 described herein with an outstanding principal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$3,000,000.00 and a conversion price of $3.9495 (as may be adjusted per the Junior Note), which pre-funded warrants are exercisable subject to a 49.99% beneficial ownership limitation, issuable upon vesting and settlement of restricted stock units held by Mr. Chang within 60 days of the date hereof. Does not include 2,184 shares of Common Stock underlying time-based restricted stock units that will not vest within 60 days of the day hereof granted to Raymond Chang, Jr., under the Plan. The Reporting Person entered into the Purchase Agreement. In the event the Reporting Person holds any Award Stock, such Seller agreed to the following: (i) to promptly transfer the Award Stock to the Investor promptly upon receipt of such Award Stock, (ii) to not sell, assign, encumber or in any other way transfer any of the Award Stock except to Investor, and (iii) to not exercise any Stock Options unless in connection with transferring the resulting Award Stock to Issuer with the consent of Issuer. Sellers agree that the Purchase Price constitutes in part consideration for the Award Stock and no further consideration from Issuer shall be paid in exchange for the Award Stock.</w:t>
      </w:r>
    </w:p>
    <w:p>
      <w:pPr>
        <w:spacing w:after="0" w:line="106" w:lineRule="exact"/>
        <w:rPr>
          <w:sz w:val="20"/>
          <w:szCs w:val="20"/>
          <w:color w:val="auto"/>
        </w:rPr>
      </w:pPr>
    </w:p>
    <w:p>
      <w:pPr>
        <w:jc w:val="both"/>
        <w:ind w:left="280" w:right="20"/>
        <w:spacing w:after="0" w:line="282" w:lineRule="auto"/>
        <w:rPr>
          <w:sz w:val="20"/>
          <w:szCs w:val="20"/>
          <w:color w:val="auto"/>
        </w:rPr>
      </w:pPr>
      <w:r>
        <w:rPr>
          <w:rFonts w:ascii="Times New Roman" w:cs="Times New Roman" w:eastAsia="Times New Roman" w:hAnsi="Times New Roman"/>
          <w:sz w:val="18"/>
          <w:szCs w:val="18"/>
          <w:color w:val="auto"/>
        </w:rPr>
        <w:t>Mr. Chang disclaims beneficial ownership with respect to the shares held by NXT3J, the shares entitled to CP Acquisitions upon conversion of its Convertible Note, and the options and shares held by Raymond Chang Jr., in each case except to the extent of his pecuniary interest therein.</w:t>
      </w:r>
    </w:p>
    <w:p>
      <w:pPr>
        <w:spacing w:after="0" w:line="81" w:lineRule="exact"/>
        <w:rPr>
          <w:sz w:val="20"/>
          <w:szCs w:val="20"/>
          <w:color w:val="auto"/>
        </w:rPr>
      </w:pPr>
    </w:p>
    <w:p>
      <w:pPr>
        <w:jc w:val="both"/>
        <w:ind w:left="320" w:hanging="318"/>
        <w:spacing w:after="0" w:line="261" w:lineRule="auto"/>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1,331,539 shares of Common Stock outstanding as of October 30, 2024, plus the shares of Common Stock issuable upon exercise of options and conversion of the Convertible Note in footnotes (1) and (2) above, subject to applicable beneficial ownership limitations, plus the shares of Common Stock issuable upon exercise of the warrants and options and conversion of the Convertible Note in footnotes (1) and (2) above, subject to applicable beneficial ownership limitations.</w:t>
      </w:r>
    </w:p>
    <w:p>
      <w:pPr>
        <w:spacing w:after="0" w:line="3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4547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45477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317" w:lineRule="auto"/>
        <w:tabs>
          <w:tab w:leader="none" w:pos="92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RTC3 2020 Irrevocable Trust</w:t>
      </w:r>
    </w:p>
    <w:p>
      <w:pPr>
        <w:spacing w:after="0" w:line="212" w:lineRule="exact"/>
        <w:rPr>
          <w:rFonts w:ascii="Times New Roman" w:cs="Times New Roman" w:eastAsia="Times New Roman" w:hAnsi="Times New Roman"/>
          <w:sz w:val="17"/>
          <w:szCs w:val="17"/>
          <w:b w:val="1"/>
          <w:bCs w:val="1"/>
          <w:color w:val="auto"/>
        </w:rPr>
      </w:pPr>
    </w:p>
    <w:p>
      <w:pPr>
        <w:ind w:left="920" w:hanging="782"/>
        <w:spacing w:after="0"/>
        <w:tabs>
          <w:tab w:leader="none" w:pos="9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20" w:hanging="294"/>
        <w:spacing w:after="0" w:line="207" w:lineRule="exact"/>
        <w:tabs>
          <w:tab w:leader="none" w:pos="1220" w:val="left"/>
        </w:tabs>
        <w:numPr>
          <w:ilvl w:val="1"/>
          <w:numId w:val="7"/>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14"/>
        <w:spacing w:after="0" w:line="207" w:lineRule="exact"/>
        <w:tabs>
          <w:tab w:leader="none" w:pos="1240" w:val="left"/>
        </w:tabs>
        <w:numPr>
          <w:ilvl w:val="1"/>
          <w:numId w:val="7"/>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Borders>
              <w:bottom w:val="single" w:sz="8" w:color="auto"/>
            </w:tcBorders>
          </w:tcPr>
          <w:p>
            <w:pPr>
              <w:spacing w:after="0"/>
              <w:rPr>
                <w:sz w:val="21"/>
                <w:szCs w:val="21"/>
                <w:color w:val="auto"/>
              </w:rPr>
            </w:pPr>
          </w:p>
        </w:tc>
        <w:tc>
          <w:tcPr>
            <w:tcW w:w="8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1340" w:type="dxa"/>
            <w:vAlign w:val="bottom"/>
            <w:vMerge w:val="continue"/>
          </w:tcPr>
          <w:p>
            <w:pPr>
              <w:spacing w:after="0"/>
              <w:rPr>
                <w:sz w:val="13"/>
                <w:szCs w:val="13"/>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72"/>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vMerge w:val="continue"/>
          </w:tcPr>
          <w:p>
            <w:pPr>
              <w:spacing w:after="0"/>
              <w:rPr>
                <w:sz w:val="6"/>
                <w:szCs w:val="6"/>
                <w:color w:val="auto"/>
              </w:rPr>
            </w:pPr>
          </w:p>
        </w:tc>
        <w:tc>
          <w:tcPr>
            <w:tcW w:w="8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34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0"/>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7"/>
                <w:szCs w:val="7"/>
                <w:color w:val="auto"/>
              </w:rPr>
            </w:pPr>
          </w:p>
        </w:tc>
        <w:tc>
          <w:tcPr>
            <w:tcW w:w="8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34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8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76" w:lineRule="auto"/>
        <w:tabs>
          <w:tab w:leader="none" w:pos="2600" w:val="left"/>
        </w:tabs>
        <w:numPr>
          <w:ilvl w:val="2"/>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0</w:t>
      </w:r>
    </w:p>
    <w:p>
      <w:pPr>
        <w:spacing w:after="0" w:line="244" w:lineRule="exact"/>
        <w:rPr>
          <w:rFonts w:ascii="Times New Roman" w:cs="Times New Roman" w:eastAsia="Times New Roman" w:hAnsi="Times New Roman"/>
          <w:sz w:val="18"/>
          <w:szCs w:val="18"/>
          <w:b w:val="1"/>
          <w:bCs w:val="1"/>
          <w:color w:val="auto"/>
        </w:rPr>
      </w:pPr>
    </w:p>
    <w:p>
      <w:pPr>
        <w:ind w:left="920" w:right="5240" w:hanging="782"/>
        <w:spacing w:after="0" w:line="286" w:lineRule="auto"/>
        <w:tabs>
          <w:tab w:leader="none" w:pos="9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0</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0.00%</w:t>
      </w:r>
      <w:r>
        <w:rPr>
          <w:rFonts w:ascii="Times New Roman" w:cs="Times New Roman" w:eastAsia="Times New Roman" w:hAnsi="Times New Roman"/>
          <w:sz w:val="29"/>
          <w:szCs w:val="29"/>
          <w:color w:val="auto"/>
          <w:vertAlign w:val="superscript"/>
        </w:rPr>
        <w:t>(1)</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OO</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1,331,539 shares of Common Stock outstanding as of October 30,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286" w:lineRule="auto"/>
        <w:tabs>
          <w:tab w:leader="none" w:pos="9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Names of Reporting Persons </w:t>
      </w:r>
      <w:r>
        <w:rPr>
          <w:rFonts w:ascii="Times New Roman" w:cs="Times New Roman" w:eastAsia="Times New Roman" w:hAnsi="Times New Roman"/>
          <w:sz w:val="18"/>
          <w:szCs w:val="18"/>
          <w:color w:val="auto"/>
        </w:rPr>
        <w:t>NXT3J Capital, LLC</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20" w:hanging="294"/>
        <w:spacing w:after="0" w:line="207" w:lineRule="exact"/>
        <w:tabs>
          <w:tab w:leader="none" w:pos="1220" w:val="left"/>
        </w:tabs>
        <w:numPr>
          <w:ilvl w:val="1"/>
          <w:numId w:val="11"/>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14"/>
        <w:spacing w:after="0" w:line="207" w:lineRule="exact"/>
        <w:tabs>
          <w:tab w:leader="none" w:pos="1240" w:val="left"/>
        </w:tabs>
        <w:numPr>
          <w:ilvl w:val="1"/>
          <w:numId w:val="11"/>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WC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Borders>
              <w:bottom w:val="single" w:sz="8" w:color="auto"/>
            </w:tcBorders>
          </w:tcPr>
          <w:p>
            <w:pPr>
              <w:spacing w:after="0"/>
              <w:rPr>
                <w:sz w:val="21"/>
                <w:szCs w:val="21"/>
                <w:color w:val="auto"/>
              </w:rPr>
            </w:pPr>
          </w:p>
        </w:tc>
        <w:tc>
          <w:tcPr>
            <w:tcW w:w="8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40" w:type="dxa"/>
            <w:vAlign w:val="bottom"/>
            <w:vMerge w:val="continue"/>
          </w:tcPr>
          <w:p>
            <w:pPr>
              <w:spacing w:after="0"/>
              <w:rPr>
                <w:sz w:val="16"/>
                <w:szCs w:val="16"/>
                <w:color w:val="auto"/>
              </w:rPr>
            </w:pPr>
          </w:p>
        </w:tc>
        <w:tc>
          <w:tcPr>
            <w:tcW w:w="58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40"/>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0"/>
                <w:szCs w:val="20"/>
                <w:color w:val="auto"/>
              </w:rPr>
            </w:pPr>
          </w:p>
        </w:tc>
        <w:tc>
          <w:tcPr>
            <w:tcW w:w="8960" w:type="dxa"/>
            <w:vAlign w:val="bottom"/>
          </w:tcPr>
          <w:p>
            <w:pPr>
              <w:ind w:left="320"/>
              <w:spacing w:after="0" w:line="240" w:lineRule="exact"/>
              <w:rPr>
                <w:sz w:val="20"/>
                <w:szCs w:val="20"/>
                <w:color w:val="auto"/>
              </w:rPr>
            </w:pPr>
            <w:r>
              <w:rPr>
                <w:rFonts w:ascii="Times New Roman" w:cs="Times New Roman" w:eastAsia="Times New Roman" w:hAnsi="Times New Roman"/>
                <w:sz w:val="27"/>
                <w:szCs w:val="27"/>
                <w:color w:val="auto"/>
                <w:vertAlign w:val="subscript"/>
              </w:rPr>
              <w:t>43</w:t>
            </w: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92"/>
        </w:trPr>
        <w:tc>
          <w:tcPr>
            <w:tcW w:w="1340" w:type="dxa"/>
            <w:vAlign w:val="bottom"/>
          </w:tcPr>
          <w:p>
            <w:pPr>
              <w:jc w:val="center"/>
              <w:ind w:right="230"/>
              <w:spacing w:after="0" w:line="192"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6"/>
                <w:szCs w:val="16"/>
                <w:color w:val="auto"/>
              </w:rPr>
            </w:pPr>
          </w:p>
        </w:tc>
        <w:tc>
          <w:tcPr>
            <w:tcW w:w="8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hanging="774"/>
        <w:spacing w:after="0"/>
        <w:tabs>
          <w:tab w:leader="none" w:pos="2600" w:val="left"/>
        </w:tabs>
        <w:numPr>
          <w:ilvl w:val="2"/>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Shared Dispositive Power</w:t>
      </w:r>
    </w:p>
    <w:p>
      <w:pPr>
        <w:spacing w:after="0" w:line="22" w:lineRule="exact"/>
        <w:rPr>
          <w:rFonts w:ascii="Times New Roman" w:cs="Times New Roman" w:eastAsia="Times New Roman" w:hAnsi="Times New Roman"/>
          <w:sz w:val="18"/>
          <w:szCs w:val="18"/>
          <w:b w:val="1"/>
          <w:bCs w:val="1"/>
          <w:color w:val="auto"/>
        </w:rPr>
      </w:pPr>
    </w:p>
    <w:p>
      <w:pPr>
        <w:ind w:left="2600"/>
        <w:spacing w:after="0" w:line="18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9"/>
          <w:szCs w:val="29"/>
          <w:color w:val="auto"/>
          <w:vertAlign w:val="subscript"/>
        </w:rPr>
        <w:t>43</w:t>
      </w:r>
      <w:r>
        <w:rPr>
          <w:rFonts w:ascii="Times New Roman" w:cs="Times New Roman" w:eastAsia="Times New Roman" w:hAnsi="Times New Roman"/>
          <w:sz w:val="13"/>
          <w:szCs w:val="13"/>
          <w:color w:val="auto"/>
        </w:rPr>
        <w:t>(1)</w:t>
      </w:r>
    </w:p>
    <w:p>
      <w:pPr>
        <w:spacing w:after="0" w:line="27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Aggregate Amount Beneficially Owned by Each Reporting Person</w:t>
      </w:r>
    </w:p>
    <w:p>
      <w:pPr>
        <w:spacing w:after="0" w:line="31" w:lineRule="exact"/>
        <w:rPr>
          <w:rFonts w:ascii="Times New Roman" w:cs="Times New Roman" w:eastAsia="Times New Roman" w:hAnsi="Times New Roman"/>
          <w:sz w:val="18"/>
          <w:szCs w:val="18"/>
          <w:b w:val="1"/>
          <w:bCs w:val="1"/>
          <w:color w:val="auto"/>
        </w:rPr>
      </w:pPr>
    </w:p>
    <w:p>
      <w:pPr>
        <w:ind w:left="920"/>
        <w:spacing w:after="0" w:line="18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9"/>
          <w:szCs w:val="29"/>
          <w:color w:val="auto"/>
          <w:vertAlign w:val="subscript"/>
        </w:rPr>
        <w:t>43</w:t>
      </w:r>
      <w:r>
        <w:rPr>
          <w:rFonts w:ascii="Times New Roman" w:cs="Times New Roman" w:eastAsia="Times New Roman" w:hAnsi="Times New Roman"/>
          <w:sz w:val="13"/>
          <w:szCs w:val="13"/>
          <w:color w:val="auto"/>
        </w:rPr>
        <w:t>(1)</w:t>
      </w:r>
    </w:p>
    <w:p>
      <w:pPr>
        <w:spacing w:after="0" w:line="27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0.0%</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43 shares of Common Stock held by NXT3J.</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1,331,539 shares of Common Stock outstanding as of October 30, 2024.</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40" w:right="8120" w:hanging="802"/>
        <w:spacing w:after="0" w:line="317" w:lineRule="auto"/>
        <w:tabs>
          <w:tab w:leader="none" w:pos="94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CP Acquisitions, LLC</w:t>
      </w:r>
    </w:p>
    <w:p>
      <w:pPr>
        <w:spacing w:after="0" w:line="212" w:lineRule="exact"/>
        <w:rPr>
          <w:rFonts w:ascii="Times New Roman" w:cs="Times New Roman" w:eastAsia="Times New Roman" w:hAnsi="Times New Roman"/>
          <w:sz w:val="17"/>
          <w:szCs w:val="17"/>
          <w:b w:val="1"/>
          <w:bCs w:val="1"/>
          <w:color w:val="auto"/>
        </w:rPr>
      </w:pPr>
    </w:p>
    <w:p>
      <w:pPr>
        <w:ind w:left="940" w:hanging="802"/>
        <w:spacing w:after="0"/>
        <w:tabs>
          <w:tab w:leader="none" w:pos="9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40" w:hanging="305"/>
        <w:spacing w:after="0" w:line="207" w:lineRule="exact"/>
        <w:tabs>
          <w:tab w:leader="none" w:pos="1240" w:val="left"/>
        </w:tabs>
        <w:numPr>
          <w:ilvl w:val="1"/>
          <w:numId w:val="15"/>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05"/>
        <w:spacing w:after="0" w:line="207" w:lineRule="exact"/>
        <w:tabs>
          <w:tab w:leader="none" w:pos="1240" w:val="left"/>
        </w:tabs>
        <w:numPr>
          <w:ilvl w:val="1"/>
          <w:numId w:val="15"/>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40" w:right="9060" w:hanging="802"/>
        <w:spacing w:after="0" w:line="317" w:lineRule="auto"/>
        <w:tabs>
          <w:tab w:leader="none" w:pos="94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Source of Funds </w:t>
      </w:r>
      <w:r>
        <w:rPr>
          <w:rFonts w:ascii="Times New Roman" w:cs="Times New Roman" w:eastAsia="Times New Roman" w:hAnsi="Times New Roman"/>
          <w:sz w:val="17"/>
          <w:szCs w:val="17"/>
          <w:color w:val="auto"/>
        </w:rPr>
        <w:t>WC (</w:t>
      </w:r>
      <w:r>
        <w:rPr>
          <w:rFonts w:ascii="Times New Roman" w:cs="Times New Roman" w:eastAsia="Times New Roman" w:hAnsi="Times New Roman"/>
          <w:sz w:val="17"/>
          <w:szCs w:val="17"/>
          <w:i w:val="1"/>
          <w:iCs w:val="1"/>
          <w:color w:val="auto"/>
        </w:rPr>
        <w:t>See</w:t>
      </w:r>
      <w:r>
        <w:rPr>
          <w:rFonts w:ascii="Times New Roman" w:cs="Times New Roman" w:eastAsia="Times New Roman" w:hAnsi="Times New Roman"/>
          <w:sz w:val="17"/>
          <w:szCs w:val="17"/>
          <w:color w:val="auto"/>
        </w:rPr>
        <w:t xml:space="preserve"> Item 3)</w:t>
      </w:r>
    </w:p>
    <w:p>
      <w:pPr>
        <w:spacing w:after="0" w:line="212" w:lineRule="exact"/>
        <w:rPr>
          <w:rFonts w:ascii="Times New Roman" w:cs="Times New Roman" w:eastAsia="Times New Roman" w:hAnsi="Times New Roman"/>
          <w:sz w:val="17"/>
          <w:szCs w:val="17"/>
          <w:b w:val="1"/>
          <w:bCs w:val="1"/>
          <w:color w:val="auto"/>
        </w:rPr>
      </w:pPr>
    </w:p>
    <w:p>
      <w:pPr>
        <w:ind w:left="940" w:hanging="802"/>
        <w:spacing w:after="0"/>
        <w:tabs>
          <w:tab w:leader="none" w:pos="9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4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40" w:right="7500" w:hanging="802"/>
        <w:spacing w:after="0" w:line="317" w:lineRule="auto"/>
        <w:tabs>
          <w:tab w:leader="none" w:pos="94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6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600" w:type="dxa"/>
            <w:vAlign w:val="bottom"/>
            <w:tcBorders>
              <w:bottom w:val="single" w:sz="8" w:color="auto"/>
            </w:tcBorders>
          </w:tcPr>
          <w:p>
            <w:pPr>
              <w:spacing w:after="0"/>
              <w:rPr>
                <w:sz w:val="21"/>
                <w:szCs w:val="21"/>
                <w:color w:val="auto"/>
              </w:rPr>
            </w:pPr>
          </w:p>
        </w:tc>
        <w:tc>
          <w:tcPr>
            <w:tcW w:w="8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40" w:type="dxa"/>
            <w:vAlign w:val="bottom"/>
            <w:vMerge w:val="continue"/>
          </w:tcPr>
          <w:p>
            <w:pPr>
              <w:spacing w:after="0"/>
              <w:rPr>
                <w:sz w:val="16"/>
                <w:szCs w:val="16"/>
                <w:color w:val="auto"/>
              </w:rPr>
            </w:pPr>
          </w:p>
        </w:tc>
        <w:tc>
          <w:tcPr>
            <w:tcW w:w="60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894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600" w:type="dxa"/>
            <w:vAlign w:val="bottom"/>
          </w:tcPr>
          <w:p>
            <w:pPr>
              <w:spacing w:after="0"/>
              <w:rPr>
                <w:sz w:val="21"/>
                <w:szCs w:val="21"/>
                <w:color w:val="auto"/>
              </w:rPr>
            </w:pPr>
          </w:p>
        </w:tc>
        <w:tc>
          <w:tcPr>
            <w:tcW w:w="894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919,407</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00" w:type="dxa"/>
            <w:vAlign w:val="bottom"/>
          </w:tcPr>
          <w:p>
            <w:pPr>
              <w:spacing w:after="0"/>
              <w:rPr>
                <w:sz w:val="15"/>
                <w:szCs w:val="15"/>
                <w:color w:val="auto"/>
              </w:rPr>
            </w:pPr>
          </w:p>
        </w:tc>
        <w:tc>
          <w:tcPr>
            <w:tcW w:w="8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60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60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60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9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600" w:type="dxa"/>
            <w:vAlign w:val="bottom"/>
          </w:tcPr>
          <w:p>
            <w:pPr>
              <w:spacing w:after="0"/>
              <w:rPr>
                <w:sz w:val="18"/>
                <w:szCs w:val="18"/>
                <w:color w:val="auto"/>
              </w:rPr>
            </w:pPr>
          </w:p>
        </w:tc>
        <w:tc>
          <w:tcPr>
            <w:tcW w:w="8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600" w:type="dxa"/>
            <w:vAlign w:val="bottom"/>
          </w:tcPr>
          <w:p>
            <w:pPr>
              <w:spacing w:after="0"/>
              <w:rPr>
                <w:sz w:val="20"/>
                <w:szCs w:val="20"/>
                <w:color w:val="auto"/>
              </w:rPr>
            </w:pPr>
          </w:p>
        </w:tc>
        <w:tc>
          <w:tcPr>
            <w:tcW w:w="8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20" w:right="6660" w:hanging="781"/>
        <w:spacing w:after="0" w:line="289" w:lineRule="auto"/>
        <w:tabs>
          <w:tab w:leader="none" w:pos="2620" w:val="left"/>
        </w:tabs>
        <w:numPr>
          <w:ilvl w:val="2"/>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919,407</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40" w:right="5240" w:hanging="788"/>
        <w:spacing w:after="0" w:line="295" w:lineRule="auto"/>
        <w:tabs>
          <w:tab w:leader="none" w:pos="94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919,407</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40" w:hanging="788"/>
        <w:spacing w:after="0"/>
        <w:tabs>
          <w:tab w:leader="none" w:pos="94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4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40" w:hanging="788"/>
        <w:spacing w:after="0"/>
        <w:tabs>
          <w:tab w:leader="none" w:pos="94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40.84%</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40" w:hanging="788"/>
        <w:spacing w:after="0"/>
        <w:tabs>
          <w:tab w:leader="none" w:pos="94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b w:val="1"/>
          <w:bCs w:val="1"/>
          <w:color w:val="auto"/>
        </w:rPr>
      </w:pPr>
    </w:p>
    <w:p>
      <w:pPr>
        <w:spacing w:after="0" w:line="274" w:lineRule="exact"/>
        <w:rPr>
          <w:rFonts w:ascii="Times New Roman" w:cs="Times New Roman" w:eastAsia="Times New Roman" w:hAnsi="Times New Roman"/>
          <w:sz w:val="18"/>
          <w:szCs w:val="18"/>
          <w:b w:val="1"/>
          <w:bCs w:val="1"/>
          <w:color w:val="auto"/>
        </w:rPr>
      </w:pPr>
    </w:p>
    <w:p>
      <w:pPr>
        <w:jc w:val="both"/>
        <w:ind w:left="340" w:hanging="332"/>
        <w:spacing w:after="0" w:line="254"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that number of shares of Common Stock issuable to CP Acquisitions, LLC (“</w:t>
      </w:r>
      <w:r>
        <w:rPr>
          <w:rFonts w:ascii="Times New Roman" w:cs="Times New Roman" w:eastAsia="Times New Roman" w:hAnsi="Times New Roman"/>
          <w:sz w:val="18"/>
          <w:szCs w:val="18"/>
          <w:i w:val="1"/>
          <w:iCs w:val="1"/>
          <w:color w:val="auto"/>
        </w:rPr>
        <w:t>CP Acquisitions</w:t>
      </w:r>
      <w:r>
        <w:rPr>
          <w:rFonts w:ascii="Times New Roman" w:cs="Times New Roman" w:eastAsia="Times New Roman" w:hAnsi="Times New Roman"/>
          <w:sz w:val="18"/>
          <w:szCs w:val="18"/>
          <w:color w:val="auto"/>
        </w:rPr>
        <w:t>”), an entity controlled by Mr. Chang, issuable to Mr. Chang upon the conversion of the Convertible Note due 2025 described herein with an outstanding principal amount of $3,500,000.00 and a conversion price of $21.90 per share (as may be adjusted per the Senior Secured Amended, Restated and Consolidated Convertible Note due 2025 from time to time), which conversion is subject to a 49.99% beneficial ownership limitation; provided that CP Acquisitions may assign its right to receive shares of Common Stock upon conversion to Mr. Chang and/or Ms. I-Tseng Jenny Chan, each a member of the Board, in which case the 49.99% beneficial ownership limitation will apply to each of them individually, and (ii) that number of shares of Common Stock issuable to CP Acquisitions or, at CP Acquisition’s election, pre-funded warrants to purchase shares of Common Stock issuable to CP Acquisitions upon conversion of the Junior Note due July 1, 2025, as amended by that certain Amendment No. 1, dated October 18, 2024 described herein with an outstanding principal amount of $3,000,000.00 and a conversion price of $3.9495 (as may be adjusted per the Junior Note), which pre-funded warrants are exercisable subject to a 49.99% beneficial ownership limitation.</w:t>
      </w:r>
    </w:p>
    <w:p>
      <w:pPr>
        <w:spacing w:after="0" w:line="106"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1,331,539 shares of Common Stock outstanding as of October 30, 2024, plus the shares of Common Stock issuable and issued upon exercise of the warrants and options and conversion of the Convertible Note in footnotes (1) and (2) above, subject to applicable beneficial ownership limitations.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4547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6454775"/>
                    </a:xfrm>
                    <a:prstGeom prst="rect">
                      <a:avLst/>
                    </a:prstGeom>
                    <a:noFill/>
                  </pic:spPr>
                </pic:pic>
              </a:graphicData>
            </a:graphic>
          </wp:anchor>
        </w:drawing>
      </w:r>
    </w:p>
    <w:p>
      <w:pPr>
        <w:spacing w:after="0" w:line="259" w:lineRule="exact"/>
        <w:rPr>
          <w:sz w:val="20"/>
          <w:szCs w:val="20"/>
          <w:color w:val="auto"/>
        </w:rPr>
      </w:pPr>
    </w:p>
    <w:p>
      <w:pPr>
        <w:ind w:left="940" w:right="8120" w:hanging="802"/>
        <w:spacing w:after="0" w:line="317" w:lineRule="auto"/>
        <w:tabs>
          <w:tab w:leader="none" w:pos="94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GIC Acquisition LLC</w:t>
      </w:r>
    </w:p>
    <w:p>
      <w:pPr>
        <w:spacing w:after="0" w:line="212" w:lineRule="exact"/>
        <w:rPr>
          <w:rFonts w:ascii="Times New Roman" w:cs="Times New Roman" w:eastAsia="Times New Roman" w:hAnsi="Times New Roman"/>
          <w:sz w:val="17"/>
          <w:szCs w:val="17"/>
          <w:b w:val="1"/>
          <w:bCs w:val="1"/>
          <w:color w:val="auto"/>
        </w:rPr>
      </w:pPr>
    </w:p>
    <w:p>
      <w:pPr>
        <w:ind w:left="940" w:hanging="802"/>
        <w:spacing w:after="0"/>
        <w:tabs>
          <w:tab w:leader="none" w:pos="9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40" w:hanging="305"/>
        <w:spacing w:after="0" w:line="207" w:lineRule="exact"/>
        <w:tabs>
          <w:tab w:leader="none" w:pos="1240" w:val="left"/>
        </w:tabs>
        <w:numPr>
          <w:ilvl w:val="1"/>
          <w:numId w:val="19"/>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05"/>
        <w:spacing w:after="0" w:line="207" w:lineRule="exact"/>
        <w:tabs>
          <w:tab w:leader="none" w:pos="1240" w:val="left"/>
        </w:tabs>
        <w:numPr>
          <w:ilvl w:val="1"/>
          <w:numId w:val="19"/>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40" w:hanging="802"/>
        <w:spacing w:after="0"/>
        <w:tabs>
          <w:tab w:leader="none" w:pos="9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40" w:right="9060" w:hanging="802"/>
        <w:spacing w:after="0" w:line="317" w:lineRule="auto"/>
        <w:tabs>
          <w:tab w:leader="none" w:pos="94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Source of Funds </w:t>
      </w:r>
      <w:r>
        <w:rPr>
          <w:rFonts w:ascii="Times New Roman" w:cs="Times New Roman" w:eastAsia="Times New Roman" w:hAnsi="Times New Roman"/>
          <w:sz w:val="17"/>
          <w:szCs w:val="17"/>
          <w:color w:val="auto"/>
        </w:rPr>
        <w:t>WC (</w:t>
      </w:r>
      <w:r>
        <w:rPr>
          <w:rFonts w:ascii="Times New Roman" w:cs="Times New Roman" w:eastAsia="Times New Roman" w:hAnsi="Times New Roman"/>
          <w:sz w:val="17"/>
          <w:szCs w:val="17"/>
          <w:i w:val="1"/>
          <w:iCs w:val="1"/>
          <w:color w:val="auto"/>
        </w:rPr>
        <w:t>See</w:t>
      </w:r>
      <w:r>
        <w:rPr>
          <w:rFonts w:ascii="Times New Roman" w:cs="Times New Roman" w:eastAsia="Times New Roman" w:hAnsi="Times New Roman"/>
          <w:sz w:val="17"/>
          <w:szCs w:val="17"/>
          <w:color w:val="auto"/>
        </w:rPr>
        <w:t xml:space="preserve"> Item 3)</w:t>
      </w:r>
    </w:p>
    <w:p>
      <w:pPr>
        <w:spacing w:after="0" w:line="212" w:lineRule="exact"/>
        <w:rPr>
          <w:rFonts w:ascii="Times New Roman" w:cs="Times New Roman" w:eastAsia="Times New Roman" w:hAnsi="Times New Roman"/>
          <w:sz w:val="17"/>
          <w:szCs w:val="17"/>
          <w:b w:val="1"/>
          <w:bCs w:val="1"/>
          <w:color w:val="auto"/>
        </w:rPr>
      </w:pPr>
    </w:p>
    <w:p>
      <w:pPr>
        <w:ind w:left="940" w:hanging="802"/>
        <w:spacing w:after="0"/>
        <w:tabs>
          <w:tab w:leader="none" w:pos="9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4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40" w:right="7500" w:hanging="802"/>
        <w:spacing w:after="0" w:line="317" w:lineRule="auto"/>
        <w:tabs>
          <w:tab w:leader="none" w:pos="94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6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600" w:type="dxa"/>
            <w:vAlign w:val="bottom"/>
            <w:tcBorders>
              <w:bottom w:val="single" w:sz="8" w:color="auto"/>
            </w:tcBorders>
          </w:tcPr>
          <w:p>
            <w:pPr>
              <w:spacing w:after="0"/>
              <w:rPr>
                <w:sz w:val="21"/>
                <w:szCs w:val="21"/>
                <w:color w:val="auto"/>
              </w:rPr>
            </w:pPr>
          </w:p>
        </w:tc>
        <w:tc>
          <w:tcPr>
            <w:tcW w:w="8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1340" w:type="dxa"/>
            <w:vAlign w:val="bottom"/>
            <w:vMerge w:val="continue"/>
          </w:tcPr>
          <w:p>
            <w:pPr>
              <w:spacing w:after="0"/>
              <w:rPr>
                <w:sz w:val="13"/>
                <w:szCs w:val="13"/>
                <w:color w:val="auto"/>
              </w:rPr>
            </w:pPr>
          </w:p>
        </w:tc>
        <w:tc>
          <w:tcPr>
            <w:tcW w:w="60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w:t>
            </w:r>
          </w:p>
        </w:tc>
        <w:tc>
          <w:tcPr>
            <w:tcW w:w="89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71"/>
        </w:trPr>
        <w:tc>
          <w:tcPr>
            <w:tcW w:w="134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600" w:type="dxa"/>
            <w:vAlign w:val="bottom"/>
            <w:vMerge w:val="continue"/>
          </w:tcPr>
          <w:p>
            <w:pPr>
              <w:spacing w:after="0"/>
              <w:rPr>
                <w:sz w:val="6"/>
                <w:szCs w:val="6"/>
                <w:color w:val="auto"/>
              </w:rPr>
            </w:pPr>
          </w:p>
        </w:tc>
        <w:tc>
          <w:tcPr>
            <w:tcW w:w="8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34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89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0"/>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00" w:type="dxa"/>
            <w:vAlign w:val="bottom"/>
          </w:tcPr>
          <w:p>
            <w:pPr>
              <w:spacing w:after="0"/>
              <w:rPr>
                <w:sz w:val="7"/>
                <w:szCs w:val="7"/>
                <w:color w:val="auto"/>
              </w:rPr>
            </w:pPr>
          </w:p>
        </w:tc>
        <w:tc>
          <w:tcPr>
            <w:tcW w:w="8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34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60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60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Each</w:t>
            </w:r>
          </w:p>
        </w:tc>
        <w:tc>
          <w:tcPr>
            <w:tcW w:w="60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9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600" w:type="dxa"/>
            <w:vAlign w:val="bottom"/>
          </w:tcPr>
          <w:p>
            <w:pPr>
              <w:spacing w:after="0"/>
              <w:rPr>
                <w:sz w:val="18"/>
                <w:szCs w:val="18"/>
                <w:color w:val="auto"/>
              </w:rPr>
            </w:pPr>
          </w:p>
        </w:tc>
        <w:tc>
          <w:tcPr>
            <w:tcW w:w="8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600" w:type="dxa"/>
            <w:vAlign w:val="bottom"/>
          </w:tcPr>
          <w:p>
            <w:pPr>
              <w:spacing w:after="0"/>
              <w:rPr>
                <w:sz w:val="20"/>
                <w:szCs w:val="20"/>
                <w:color w:val="auto"/>
              </w:rPr>
            </w:pPr>
          </w:p>
        </w:tc>
        <w:tc>
          <w:tcPr>
            <w:tcW w:w="8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20" w:right="6660" w:hanging="781"/>
        <w:spacing w:after="0" w:line="276" w:lineRule="auto"/>
        <w:tabs>
          <w:tab w:leader="none" w:pos="2620" w:val="left"/>
        </w:tabs>
        <w:numPr>
          <w:ilvl w:val="2"/>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0</w:t>
      </w:r>
    </w:p>
    <w:p>
      <w:pPr>
        <w:spacing w:after="0" w:line="244" w:lineRule="exact"/>
        <w:rPr>
          <w:rFonts w:ascii="Times New Roman" w:cs="Times New Roman" w:eastAsia="Times New Roman" w:hAnsi="Times New Roman"/>
          <w:sz w:val="18"/>
          <w:szCs w:val="18"/>
          <w:b w:val="1"/>
          <w:bCs w:val="1"/>
          <w:color w:val="auto"/>
        </w:rPr>
      </w:pPr>
    </w:p>
    <w:p>
      <w:pPr>
        <w:ind w:left="940" w:right="5240" w:hanging="788"/>
        <w:spacing w:after="0" w:line="286" w:lineRule="auto"/>
        <w:tabs>
          <w:tab w:leader="none" w:pos="94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0</w:t>
      </w:r>
    </w:p>
    <w:p>
      <w:pPr>
        <w:spacing w:after="0" w:line="235" w:lineRule="exact"/>
        <w:rPr>
          <w:rFonts w:ascii="Times New Roman" w:cs="Times New Roman" w:eastAsia="Times New Roman" w:hAnsi="Times New Roman"/>
          <w:sz w:val="18"/>
          <w:szCs w:val="18"/>
          <w:b w:val="1"/>
          <w:bCs w:val="1"/>
          <w:color w:val="auto"/>
        </w:rPr>
      </w:pPr>
    </w:p>
    <w:p>
      <w:pPr>
        <w:ind w:left="940" w:hanging="788"/>
        <w:spacing w:after="0"/>
        <w:tabs>
          <w:tab w:leader="none" w:pos="94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4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40" w:hanging="788"/>
        <w:spacing w:after="0"/>
        <w:tabs>
          <w:tab w:leader="none" w:pos="94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0.00%</w:t>
      </w:r>
      <w:r>
        <w:rPr>
          <w:rFonts w:ascii="Times New Roman" w:cs="Times New Roman" w:eastAsia="Times New Roman" w:hAnsi="Times New Roman"/>
          <w:sz w:val="29"/>
          <w:szCs w:val="29"/>
          <w:color w:val="auto"/>
          <w:vertAlign w:val="superscript"/>
        </w:rPr>
        <w:t>(1)</w:t>
      </w:r>
    </w:p>
    <w:p>
      <w:pPr>
        <w:spacing w:after="0" w:line="197" w:lineRule="exact"/>
        <w:rPr>
          <w:rFonts w:ascii="Times New Roman" w:cs="Times New Roman" w:eastAsia="Times New Roman" w:hAnsi="Times New Roman"/>
          <w:sz w:val="18"/>
          <w:szCs w:val="18"/>
          <w:b w:val="1"/>
          <w:bCs w:val="1"/>
          <w:color w:val="auto"/>
        </w:rPr>
      </w:pPr>
    </w:p>
    <w:p>
      <w:pPr>
        <w:ind w:left="940" w:hanging="788"/>
        <w:spacing w:after="0"/>
        <w:tabs>
          <w:tab w:leader="none" w:pos="94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1,331,539 shares of Common Stock outstanding as of October 30,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286" w:lineRule="auto"/>
        <w:tabs>
          <w:tab w:leader="none" w:pos="9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Names of Reporting Persons </w:t>
      </w:r>
      <w:r>
        <w:rPr>
          <w:rFonts w:ascii="Times New Roman" w:cs="Times New Roman" w:eastAsia="Times New Roman" w:hAnsi="Times New Roman"/>
          <w:sz w:val="18"/>
          <w:szCs w:val="18"/>
          <w:color w:val="auto"/>
        </w:rPr>
        <w:t>Raymond Chang Jr.</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20" w:hanging="294"/>
        <w:spacing w:after="0" w:line="207" w:lineRule="exact"/>
        <w:tabs>
          <w:tab w:leader="none" w:pos="1220" w:val="left"/>
        </w:tabs>
        <w:numPr>
          <w:ilvl w:val="1"/>
          <w:numId w:val="23"/>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14"/>
        <w:spacing w:after="0" w:line="207" w:lineRule="exact"/>
        <w:tabs>
          <w:tab w:leader="none" w:pos="1240" w:val="left"/>
        </w:tabs>
        <w:numPr>
          <w:ilvl w:val="1"/>
          <w:numId w:val="23"/>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Borders>
              <w:bottom w:val="single" w:sz="8" w:color="auto"/>
            </w:tcBorders>
          </w:tcPr>
          <w:p>
            <w:pPr>
              <w:spacing w:after="0"/>
              <w:rPr>
                <w:sz w:val="21"/>
                <w:szCs w:val="21"/>
                <w:color w:val="auto"/>
              </w:rPr>
            </w:pPr>
          </w:p>
        </w:tc>
        <w:tc>
          <w:tcPr>
            <w:tcW w:w="8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40" w:type="dxa"/>
            <w:vAlign w:val="bottom"/>
            <w:vMerge w:val="continue"/>
          </w:tcPr>
          <w:p>
            <w:pPr>
              <w:spacing w:after="0"/>
              <w:rPr>
                <w:sz w:val="16"/>
                <w:szCs w:val="16"/>
                <w:color w:val="auto"/>
              </w:rPr>
            </w:pPr>
          </w:p>
        </w:tc>
        <w:tc>
          <w:tcPr>
            <w:tcW w:w="58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4,838</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89" w:lineRule="auto"/>
        <w:tabs>
          <w:tab w:leader="none" w:pos="2600" w:val="left"/>
        </w:tabs>
        <w:numPr>
          <w:ilvl w:val="2"/>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4,838</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4,838</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0.0%</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jc w:val="both"/>
        <w:ind w:left="340" w:hanging="332"/>
        <w:spacing w:after="0" w:line="261"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up to 13 shares of Common Stock issuable upon exercise of stock options held by Mr. Chang, Jr., that are exercisable within 60 days of the date hereof and (ii) 4,825 restricted stock units that held by Raymond Chang Jr. that may vest or settle within 60 days of the date hereof. Does not include 2,184 shares of Common Stock underlying time-based restricted stock units that will not vest within 60 days of October 9, 2024 granted to Mr. Chang, Jr. under the Plan.</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1,331,539 shares of Common Stock outstanding as of October 30, 2024, plus 13 shares of Common Stock issuable upon exercise of the options described in footnote (1) above.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4719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6471920"/>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286" w:lineRule="auto"/>
        <w:tabs>
          <w:tab w:leader="none" w:pos="9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Names of Reporting Persons </w:t>
      </w:r>
      <w:r>
        <w:rPr>
          <w:rFonts w:ascii="Times New Roman" w:cs="Times New Roman" w:eastAsia="Times New Roman" w:hAnsi="Times New Roman"/>
          <w:sz w:val="18"/>
          <w:szCs w:val="18"/>
          <w:color w:val="auto"/>
        </w:rPr>
        <w:t>Chinwei Wang</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20" w:hanging="294"/>
        <w:spacing w:after="0" w:line="207" w:lineRule="exact"/>
        <w:tabs>
          <w:tab w:leader="none" w:pos="1220" w:val="left"/>
        </w:tabs>
        <w:numPr>
          <w:ilvl w:val="1"/>
          <w:numId w:val="27"/>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14"/>
        <w:spacing w:after="0" w:line="207" w:lineRule="exact"/>
        <w:tabs>
          <w:tab w:leader="none" w:pos="1240" w:val="left"/>
        </w:tabs>
        <w:numPr>
          <w:ilvl w:val="1"/>
          <w:numId w:val="27"/>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2" w:lineRule="exact"/>
        <w:rPr>
          <w:rFonts w:ascii="Times New Roman" w:cs="Times New Roman" w:eastAsia="Times New Roman" w:hAnsi="Times New Roman"/>
          <w:sz w:val="17"/>
          <w:szCs w:val="17"/>
          <w:b w:val="1"/>
          <w:bCs w:val="1"/>
          <w:color w:val="auto"/>
        </w:rPr>
      </w:pPr>
    </w:p>
    <w:p>
      <w:pPr>
        <w:ind w:left="2600" w:right="7240" w:hanging="774"/>
        <w:spacing w:after="0" w:line="286" w:lineRule="auto"/>
        <w:tabs>
          <w:tab w:leader="none" w:pos="2600" w:val="left"/>
        </w:tabs>
        <w:numPr>
          <w:ilvl w:val="2"/>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0</w:t>
      </w:r>
    </w:p>
    <w:p>
      <w:pPr>
        <w:spacing w:after="0" w:line="168" w:lineRule="exact"/>
        <w:rPr>
          <w:sz w:val="20"/>
          <w:szCs w:val="20"/>
          <w:color w:val="auto"/>
        </w:rPr>
      </w:pPr>
    </w:p>
    <w:tbl>
      <w:tblPr>
        <w:tblLayout w:type="fixed"/>
        <w:tblInd w:w="360" w:type="dxa"/>
        <w:tblCellMar>
          <w:top w:w="0" w:type="dxa"/>
          <w:left w:w="0" w:type="dxa"/>
          <w:bottom w:w="0" w:type="dxa"/>
          <w:right w:w="0" w:type="dxa"/>
        </w:tblCellMar>
      </w:tblPr>
      <w:tr>
        <w:trPr>
          <w:trHeight w:val="4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Borders>
              <w:bottom w:val="single" w:sz="8" w:color="auto"/>
            </w:tcBorders>
          </w:tcPr>
          <w:p>
            <w:pPr>
              <w:spacing w:after="0"/>
              <w:rPr>
                <w:sz w:val="3"/>
                <w:szCs w:val="3"/>
                <w:color w:val="auto"/>
              </w:rPr>
            </w:pPr>
          </w:p>
        </w:tc>
        <w:tc>
          <w:tcPr>
            <w:tcW w:w="8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340" w:type="dxa"/>
            <w:vAlign w:val="bottom"/>
            <w:vMerge w:val="continue"/>
          </w:tcPr>
          <w:p>
            <w:pPr>
              <w:spacing w:after="0"/>
              <w:rPr>
                <w:sz w:val="13"/>
                <w:szCs w:val="13"/>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72"/>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vMerge w:val="continue"/>
          </w:tcPr>
          <w:p>
            <w:pPr>
              <w:spacing w:after="0"/>
              <w:rPr>
                <w:sz w:val="6"/>
                <w:szCs w:val="6"/>
                <w:color w:val="auto"/>
              </w:rPr>
            </w:pPr>
          </w:p>
        </w:tc>
        <w:tc>
          <w:tcPr>
            <w:tcW w:w="8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134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0"/>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7"/>
                <w:szCs w:val="7"/>
                <w:color w:val="auto"/>
              </w:rPr>
            </w:pPr>
          </w:p>
        </w:tc>
        <w:tc>
          <w:tcPr>
            <w:tcW w:w="8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34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8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76" w:lineRule="auto"/>
        <w:tabs>
          <w:tab w:leader="none" w:pos="2600" w:val="left"/>
        </w:tabs>
        <w:numPr>
          <w:ilvl w:val="2"/>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0</w:t>
      </w:r>
    </w:p>
    <w:p>
      <w:pPr>
        <w:spacing w:after="0" w:line="244" w:lineRule="exact"/>
        <w:rPr>
          <w:rFonts w:ascii="Times New Roman" w:cs="Times New Roman" w:eastAsia="Times New Roman" w:hAnsi="Times New Roman"/>
          <w:sz w:val="18"/>
          <w:szCs w:val="18"/>
          <w:b w:val="1"/>
          <w:bCs w:val="1"/>
          <w:color w:val="auto"/>
        </w:rPr>
      </w:pPr>
    </w:p>
    <w:p>
      <w:pPr>
        <w:ind w:left="920" w:right="5240" w:hanging="782"/>
        <w:spacing w:after="0" w:line="286" w:lineRule="auto"/>
        <w:tabs>
          <w:tab w:leader="none" w:pos="92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0</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0.00%</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35"/>
          <w:szCs w:val="35"/>
          <w:color w:val="auto"/>
          <w:vertAlign w:val="superscript"/>
        </w:rPr>
        <w:t>)</w:t>
      </w:r>
    </w:p>
    <w:p>
      <w:pPr>
        <w:spacing w:after="0" w:line="15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1,331,539 shares of Common Stock outstanding as of October 30,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SCHEDULE 13D – EXPLANATORY NOTE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Amendment No. 10 to the statement on Schedule 13D (“</w:t>
      </w:r>
      <w:r>
        <w:rPr>
          <w:rFonts w:ascii="Times New Roman" w:cs="Times New Roman" w:eastAsia="Times New Roman" w:hAnsi="Times New Roman"/>
          <w:sz w:val="18"/>
          <w:szCs w:val="18"/>
          <w:i w:val="1"/>
          <w:iCs w:val="1"/>
          <w:color w:val="auto"/>
        </w:rPr>
        <w:t>Amendment No. 10</w:t>
      </w:r>
      <w:r>
        <w:rPr>
          <w:rFonts w:ascii="Times New Roman" w:cs="Times New Roman" w:eastAsia="Times New Roman" w:hAnsi="Times New Roman"/>
          <w:sz w:val="18"/>
          <w:szCs w:val="18"/>
          <w:color w:val="auto"/>
        </w:rPr>
        <w:t>”) amends the Schedule 13D originally filed by the Reporting Persons (as defined herein) on December 30, 2022, as amended by that certain Amendment No. 1 filed on October 31, 2023, Amendment No. 2 filed on January 29, 2024, Amendment No. 3 filed on March 1, 2024, Amendment No. 4 filed on March 29, 2024, Amendment No. 5 filed on May 23, 2024, Amendment No. 6 filed on August 6, 2024, Amendment No. 7, filed on August 16, 2024, Amendment No. 8 filed on September 4, 2024, and Amendment No. 9 filed on October 24, 2024 (collectively, the “</w:t>
      </w:r>
      <w:r>
        <w:rPr>
          <w:rFonts w:ascii="Times New Roman" w:cs="Times New Roman" w:eastAsia="Times New Roman" w:hAnsi="Times New Roman"/>
          <w:sz w:val="18"/>
          <w:szCs w:val="18"/>
          <w:i w:val="1"/>
          <w:iCs w:val="1"/>
          <w:color w:val="auto"/>
        </w:rPr>
        <w:t>Schedule 13D</w:t>
      </w:r>
      <w:r>
        <w:rPr>
          <w:rFonts w:ascii="Times New Roman" w:cs="Times New Roman" w:eastAsia="Times New Roman" w:hAnsi="Times New Roman"/>
          <w:sz w:val="18"/>
          <w:szCs w:val="18"/>
          <w:color w:val="auto"/>
        </w:rPr>
        <w:t>”), and relates to the shares of common stock, par value $0.001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of Agrify Corporation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beneficially owned by Raymond Nobu Chang (“</w:t>
      </w:r>
      <w:r>
        <w:rPr>
          <w:rFonts w:ascii="Times New Roman" w:cs="Times New Roman" w:eastAsia="Times New Roman" w:hAnsi="Times New Roman"/>
          <w:sz w:val="18"/>
          <w:szCs w:val="18"/>
          <w:i w:val="1"/>
          <w:iCs w:val="1"/>
          <w:color w:val="auto"/>
        </w:rPr>
        <w:t>Mr. Chang</w:t>
      </w:r>
      <w:r>
        <w:rPr>
          <w:rFonts w:ascii="Times New Roman" w:cs="Times New Roman" w:eastAsia="Times New Roman" w:hAnsi="Times New Roman"/>
          <w:sz w:val="18"/>
          <w:szCs w:val="18"/>
          <w:color w:val="auto"/>
        </w:rPr>
        <w:t>”), RTC3 2020 Irrevocable Trust (“</w:t>
      </w:r>
      <w:r>
        <w:rPr>
          <w:rFonts w:ascii="Times New Roman" w:cs="Times New Roman" w:eastAsia="Times New Roman" w:hAnsi="Times New Roman"/>
          <w:sz w:val="18"/>
          <w:szCs w:val="18"/>
          <w:i w:val="1"/>
          <w:iCs w:val="1"/>
          <w:color w:val="auto"/>
        </w:rPr>
        <w:t>RTC3</w:t>
      </w:r>
      <w:r>
        <w:rPr>
          <w:rFonts w:ascii="Times New Roman" w:cs="Times New Roman" w:eastAsia="Times New Roman" w:hAnsi="Times New Roman"/>
          <w:sz w:val="18"/>
          <w:szCs w:val="18"/>
          <w:color w:val="auto"/>
        </w:rPr>
        <w:t>”), NXT3J Capital, LLC (“</w:t>
      </w:r>
      <w:r>
        <w:rPr>
          <w:rFonts w:ascii="Times New Roman" w:cs="Times New Roman" w:eastAsia="Times New Roman" w:hAnsi="Times New Roman"/>
          <w:sz w:val="18"/>
          <w:szCs w:val="18"/>
          <w:i w:val="1"/>
          <w:iCs w:val="1"/>
          <w:color w:val="auto"/>
        </w:rPr>
        <w:t>NXT3J</w:t>
      </w:r>
      <w:r>
        <w:rPr>
          <w:rFonts w:ascii="Times New Roman" w:cs="Times New Roman" w:eastAsia="Times New Roman" w:hAnsi="Times New Roman"/>
          <w:sz w:val="18"/>
          <w:szCs w:val="18"/>
          <w:color w:val="auto"/>
        </w:rPr>
        <w:t>”), CP Acquisitions, LLC (“</w:t>
      </w:r>
      <w:r>
        <w:rPr>
          <w:rFonts w:ascii="Times New Roman" w:cs="Times New Roman" w:eastAsia="Times New Roman" w:hAnsi="Times New Roman"/>
          <w:sz w:val="18"/>
          <w:szCs w:val="18"/>
          <w:i w:val="1"/>
          <w:iCs w:val="1"/>
          <w:color w:val="auto"/>
        </w:rPr>
        <w:t>CP Acquisitions</w:t>
      </w:r>
      <w:r>
        <w:rPr>
          <w:rFonts w:ascii="Times New Roman" w:cs="Times New Roman" w:eastAsia="Times New Roman" w:hAnsi="Times New Roman"/>
          <w:sz w:val="18"/>
          <w:szCs w:val="18"/>
          <w:color w:val="auto"/>
        </w:rPr>
        <w:t>”), GIC Acquisition LLC (“</w:t>
      </w:r>
      <w:r>
        <w:rPr>
          <w:rFonts w:ascii="Times New Roman" w:cs="Times New Roman" w:eastAsia="Times New Roman" w:hAnsi="Times New Roman"/>
          <w:sz w:val="18"/>
          <w:szCs w:val="18"/>
          <w:i w:val="1"/>
          <w:iCs w:val="1"/>
          <w:color w:val="auto"/>
        </w:rPr>
        <w:t>GIC Acquisition</w:t>
      </w:r>
      <w:r>
        <w:rPr>
          <w:rFonts w:ascii="Times New Roman" w:cs="Times New Roman" w:eastAsia="Times New Roman" w:hAnsi="Times New Roman"/>
          <w:sz w:val="18"/>
          <w:szCs w:val="18"/>
          <w:color w:val="auto"/>
        </w:rPr>
        <w:t>”), Raymond Chang Jr. and Chinwei Wang (each, a “</w:t>
      </w:r>
      <w:r>
        <w:rPr>
          <w:rFonts w:ascii="Times New Roman" w:cs="Times New Roman" w:eastAsia="Times New Roman" w:hAnsi="Times New Roman"/>
          <w:sz w:val="18"/>
          <w:szCs w:val="18"/>
          <w:i w:val="1"/>
          <w:iCs w:val="1"/>
          <w:color w:val="auto"/>
        </w:rPr>
        <w:t>Reporting Person</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i w:val="1"/>
          <w:iCs w:val="1"/>
          <w:color w:val="auto"/>
        </w:rPr>
        <w:t>Reporting Persons</w:t>
      </w:r>
      <w:r>
        <w:rPr>
          <w:rFonts w:ascii="Times New Roman" w:cs="Times New Roman" w:eastAsia="Times New Roman" w:hAnsi="Times New Roman"/>
          <w:sz w:val="18"/>
          <w:szCs w:val="18"/>
          <w:color w:val="auto"/>
        </w:rPr>
        <w:t>”) with respect to shares of Common Stock that they may be deemed to have beneficial ownership.</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Rule 13d-2 of the Securities Exchange Act of 1934, as amended, except as specifically provided herein, this Amendment No. 10 does not modify any of the information previously reported on the Schedule 13D. Capitalized terms used but not otherwise defined in this Amendment No. 10 shall have the meanings ascribed to them in the Schedule 13D.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5(c) of the Schedule 13D is hereby amended and supplemented as follows: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Transactions with Investor</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RSLGH, LLC (the “</w:t>
      </w:r>
      <w:r>
        <w:rPr>
          <w:rFonts w:ascii="Times New Roman" w:cs="Times New Roman" w:eastAsia="Times New Roman" w:hAnsi="Times New Roman"/>
          <w:sz w:val="18"/>
          <w:szCs w:val="18"/>
          <w:i w:val="1"/>
          <w:iCs w:val="1"/>
          <w:color w:val="auto"/>
        </w:rPr>
        <w:t>Investor</w:t>
      </w:r>
      <w:r>
        <w:rPr>
          <w:rFonts w:ascii="Times New Roman" w:cs="Times New Roman" w:eastAsia="Times New Roman" w:hAnsi="Times New Roman"/>
          <w:sz w:val="18"/>
          <w:szCs w:val="18"/>
          <w:color w:val="auto"/>
        </w:rPr>
        <w:t>”), a subsidiary of Green Thumb Industries Inc. (“</w:t>
      </w:r>
      <w:r>
        <w:rPr>
          <w:rFonts w:ascii="Times New Roman" w:cs="Times New Roman" w:eastAsia="Times New Roman" w:hAnsi="Times New Roman"/>
          <w:sz w:val="18"/>
          <w:szCs w:val="18"/>
          <w:i w:val="1"/>
          <w:iCs w:val="1"/>
          <w:color w:val="auto"/>
        </w:rPr>
        <w:t>Green Thumb</w:t>
      </w:r>
      <w:r>
        <w:rPr>
          <w:rFonts w:ascii="Times New Roman" w:cs="Times New Roman" w:eastAsia="Times New Roman" w:hAnsi="Times New Roman"/>
          <w:sz w:val="18"/>
          <w:szCs w:val="18"/>
          <w:color w:val="auto"/>
        </w:rPr>
        <w:t>”), entered into that certain Purchase Agreement (the “</w:t>
      </w:r>
      <w:r>
        <w:rPr>
          <w:rFonts w:ascii="Times New Roman" w:cs="Times New Roman" w:eastAsia="Times New Roman" w:hAnsi="Times New Roman"/>
          <w:sz w:val="18"/>
          <w:szCs w:val="18"/>
          <w:i w:val="1"/>
          <w:iCs w:val="1"/>
          <w:color w:val="auto"/>
        </w:rPr>
        <w:t>Purchase Agreement</w:t>
      </w:r>
      <w:r>
        <w:rPr>
          <w:rFonts w:ascii="Times New Roman" w:cs="Times New Roman" w:eastAsia="Times New Roman" w:hAnsi="Times New Roman"/>
          <w:sz w:val="18"/>
          <w:szCs w:val="18"/>
          <w:color w:val="auto"/>
        </w:rPr>
        <w:t>”), dated November 5, 2024, with Mr. Chang (individually, and as the representative of the Sellers (as defined herein)), Chinwei Wang, Ms. Chan, CP Acquisitions, GIC, RTC, M Zion Capital, LLC, M Olivet Capital, LLC and M Cannan Capital, LLC (collectively, the “</w:t>
      </w:r>
      <w:r>
        <w:rPr>
          <w:rFonts w:ascii="Times New Roman" w:cs="Times New Roman" w:eastAsia="Times New Roman" w:hAnsi="Times New Roman"/>
          <w:sz w:val="18"/>
          <w:szCs w:val="18"/>
          <w:i w:val="1"/>
          <w:iCs w:val="1"/>
          <w:color w:val="auto"/>
        </w:rPr>
        <w:t>Sellers</w:t>
      </w:r>
      <w:r>
        <w:rPr>
          <w:rFonts w:ascii="Times New Roman" w:cs="Times New Roman" w:eastAsia="Times New Roman" w:hAnsi="Times New Roman"/>
          <w:sz w:val="18"/>
          <w:szCs w:val="18"/>
          <w:color w:val="auto"/>
        </w:rPr>
        <w:t>”) to purchase Common Stock and warrants to purchase Common Stock held by the Sellers (collectively, the “</w:t>
      </w:r>
      <w:r>
        <w:rPr>
          <w:rFonts w:ascii="Times New Roman" w:cs="Times New Roman" w:eastAsia="Times New Roman" w:hAnsi="Times New Roman"/>
          <w:sz w:val="18"/>
          <w:szCs w:val="18"/>
          <w:i w:val="1"/>
          <w:iCs w:val="1"/>
          <w:color w:val="auto"/>
        </w:rPr>
        <w:t>Sellers Equity</w:t>
      </w:r>
      <w:r>
        <w:rPr>
          <w:rFonts w:ascii="Times New Roman" w:cs="Times New Roman" w:eastAsia="Times New Roman" w:hAnsi="Times New Roman"/>
          <w:sz w:val="18"/>
          <w:szCs w:val="18"/>
          <w:color w:val="auto"/>
        </w:rPr>
        <w:t>”). In particular, with respect to the Reporting Persons entered into stock powers and common stock warrant assignment forms to dispose of each of the following:</w:t>
      </w:r>
    </w:p>
    <w:p>
      <w:pPr>
        <w:spacing w:after="0" w:line="185"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Chang, individually, transferred 38 shares of Common Stock to Investor;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Chinwei Wang, individually, transferred 105,263 shares of Common Stock to Investor;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RTC transferred 382,658 shares of Common Stock to Investor;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 Acquisitions assigned warrants to purchase 5,069,162 shares of Common Stock held by CP Acquisitions that are exercisable within 60 days of the date hereof, subject to a 9.99% beneficial ownership limitation, to Investor;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GIC assigned pre-funded warrants to purchase 1,085,123 shares of Common Stock held by GIC that are exercisable within 60 days of the date hereof, as amended by that certain Amendment to Pre-Funded Common Stock Purchase Warrant, dated August 28, 2024, by and between Issuer and GIC, and subject to a 49.99% beneficial ownership limitation;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RTC assigned warrants to purchase 15,385 shares of Common Stock held by RTC that are exercisable within 60 days of the date hereof, subject to a 9.99% beneficial ownership limitation, to Investor.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exchange for the Sellers Equity, subject to the other terms and conditions in the Purchase Agreement, Investor shall pay Sellers $18,280,000.00 (the “</w:t>
      </w: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 comprised of a combination of cash and subordinate voting shares of Green Thumb (the “</w:t>
      </w:r>
      <w:r>
        <w:rPr>
          <w:rFonts w:ascii="Times New Roman" w:cs="Times New Roman" w:eastAsia="Times New Roman" w:hAnsi="Times New Roman"/>
          <w:sz w:val="18"/>
          <w:szCs w:val="18"/>
          <w:i w:val="1"/>
          <w:iCs w:val="1"/>
          <w:color w:val="auto"/>
        </w:rPr>
        <w:t>Share Consideration”)</w:t>
      </w:r>
      <w:r>
        <w:rPr>
          <w:rFonts w:ascii="Times New Roman" w:cs="Times New Roman" w:eastAsia="Times New Roman" w:hAnsi="Times New Roman"/>
          <w:sz w:val="18"/>
          <w:szCs w:val="18"/>
          <w:color w:val="auto"/>
        </w:rPr>
        <w:t xml:space="preserve"> as payment, in three tranches. The second tranche is subject to other future contingencies, after which the Reporting Persons expect to cease to be Reporting Persons.</w:t>
      </w:r>
    </w:p>
    <w:p>
      <w:pPr>
        <w:spacing w:after="0" w:line="17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In the event any Seller holds any restricted stock units (“</w:t>
      </w:r>
      <w:r>
        <w:rPr>
          <w:rFonts w:ascii="Times New Roman" w:cs="Times New Roman" w:eastAsia="Times New Roman" w:hAnsi="Times New Roman"/>
          <w:sz w:val="18"/>
          <w:szCs w:val="18"/>
          <w:i w:val="1"/>
          <w:iCs w:val="1"/>
          <w:color w:val="auto"/>
        </w:rPr>
        <w:t>Restricted Stock</w:t>
      </w:r>
      <w:r>
        <w:rPr>
          <w:rFonts w:ascii="Times New Roman" w:cs="Times New Roman" w:eastAsia="Times New Roman" w:hAnsi="Times New Roman"/>
          <w:sz w:val="18"/>
          <w:szCs w:val="18"/>
          <w:color w:val="auto"/>
        </w:rPr>
        <w:t>”) or stock options (“</w:t>
      </w: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of the Issuer granted under any equity incentive plan of the Issuer or otherwise (the “</w:t>
      </w:r>
      <w:r>
        <w:rPr>
          <w:rFonts w:ascii="Times New Roman" w:cs="Times New Roman" w:eastAsia="Times New Roman" w:hAnsi="Times New Roman"/>
          <w:sz w:val="18"/>
          <w:szCs w:val="18"/>
          <w:i w:val="1"/>
          <w:iCs w:val="1"/>
          <w:color w:val="auto"/>
        </w:rPr>
        <w:t>Equity Awards</w:t>
      </w:r>
      <w:r>
        <w:rPr>
          <w:rFonts w:ascii="Times New Roman" w:cs="Times New Roman" w:eastAsia="Times New Roman" w:hAnsi="Times New Roman"/>
          <w:sz w:val="18"/>
          <w:szCs w:val="18"/>
          <w:color w:val="auto"/>
        </w:rPr>
        <w:t>” and the common stock of the Issuer underlying such Equity Awards, the “</w:t>
      </w:r>
      <w:r>
        <w:rPr>
          <w:rFonts w:ascii="Times New Roman" w:cs="Times New Roman" w:eastAsia="Times New Roman" w:hAnsi="Times New Roman"/>
          <w:sz w:val="18"/>
          <w:szCs w:val="18"/>
          <w:i w:val="1"/>
          <w:iCs w:val="1"/>
          <w:color w:val="auto"/>
        </w:rPr>
        <w:t>Award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such Seller agreed to the following: (i) to promptly transfer the Award Stock to Investor promptly upon receipt of such Award Stock, (ii) to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 assign, encumber or in any other way transfer any of the Award Stock except to Investor, and (iii) to not exercise any Stock Options unless in connection with transferring the resulting Award Stock to Issuer with the consent of Issuer. Sellers agree that the Purchase Price constitutes in part consideration for the Award Stock and no further consideration from Issuer shall be paid in exchange for the Award Stock.</w:t>
      </w:r>
    </w:p>
    <w:p>
      <w:pPr>
        <w:spacing w:after="0" w:line="18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Purchase Agreement includes customary indemnification, limitations of liability, and representations and warranties. No price per share was associated with these disposals of the Sellers Equity.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summary of the Purchase Agreement does not purport to be complete.</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Resignation of Director and Chief Executive Officer</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5, 2024, immediately following the execution of the Purchase Agreement, Mr. Chang resigned as a member of the Board of Directors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of the Issuer and any subsidiaries and as President and Chief Executive Officer of the Issuer, and I-Tseng Jenny Chan (“</w:t>
      </w:r>
      <w:r>
        <w:rPr>
          <w:rFonts w:ascii="Times New Roman" w:cs="Times New Roman" w:eastAsia="Times New Roman" w:hAnsi="Times New Roman"/>
          <w:sz w:val="18"/>
          <w:szCs w:val="18"/>
          <w:i w:val="1"/>
          <w:iCs w:val="1"/>
          <w:color w:val="auto"/>
        </w:rPr>
        <w:t>Ms. Chan</w:t>
      </w:r>
      <w:r>
        <w:rPr>
          <w:rFonts w:ascii="Times New Roman" w:cs="Times New Roman" w:eastAsia="Times New Roman" w:hAnsi="Times New Roman"/>
          <w:sz w:val="18"/>
          <w:szCs w:val="18"/>
          <w:color w:val="auto"/>
        </w:rPr>
        <w:t>”) resigned as a member of the Board.</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Severance Agreement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November 5, 2024, in connection with Mr. Chang’s transactions with the Investor and his resignation as Chairman and Chief Executive Officer, the Issuer entered into a Severance Agreement with Mr. Chang (the “</w:t>
      </w:r>
      <w:r>
        <w:rPr>
          <w:rFonts w:ascii="Times New Roman" w:cs="Times New Roman" w:eastAsia="Times New Roman" w:hAnsi="Times New Roman"/>
          <w:sz w:val="18"/>
          <w:szCs w:val="18"/>
          <w:i w:val="1"/>
          <w:iCs w:val="1"/>
          <w:color w:val="auto"/>
        </w:rPr>
        <w:t>Severance Agreement</w:t>
      </w:r>
      <w:r>
        <w:rPr>
          <w:rFonts w:ascii="Times New Roman" w:cs="Times New Roman" w:eastAsia="Times New Roman" w:hAnsi="Times New Roman"/>
          <w:sz w:val="18"/>
          <w:szCs w:val="18"/>
          <w:color w:val="auto"/>
        </w:rPr>
        <w:t>”). Pursuant to the Severance Agreement, Mr. Chang will be entitled to severance payments with an aggregate amount of $1.0 million payable through February 1, 2027. Mr. Chang will also be entitled to COBRA reimbursement payments through February 1, 2027 or through the last date in which he is eligible for COBRA. The Severance Agreement includes a customary release of claims by Mr. Chang in favor of the Issuer.</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summary of the Severance Agreement does not purport to be complete, and is qualified in its entirety by reference to a copy of the Severance Agreement that is filed as Exhibit 10.1 to the Issuer’s Current Report on Form 8-K, filed with the SEC on November 5, 2024, which is attached as exhibit 1 to this Schedule 13D and is incorporated herein by reference.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The information provided or incorporated by reference in </w:t>
      </w:r>
      <w:r>
        <w:rPr>
          <w:rFonts w:ascii="Times New Roman" w:cs="Times New Roman" w:eastAsia="Times New Roman" w:hAnsi="Times New Roman"/>
          <w:sz w:val="18"/>
          <w:szCs w:val="18"/>
          <w:i w:val="1"/>
          <w:iCs w:val="1"/>
          <w:u w:val="single" w:color="auto"/>
          <w:color w:val="auto"/>
        </w:rPr>
        <w:t>Item 5</w:t>
      </w:r>
      <w:r>
        <w:rPr>
          <w:rFonts w:ascii="Times New Roman" w:cs="Times New Roman" w:eastAsia="Times New Roman" w:hAnsi="Times New Roman"/>
          <w:sz w:val="18"/>
          <w:szCs w:val="18"/>
          <w:i w:val="1"/>
          <w:iCs w:val="1"/>
          <w:color w:val="auto"/>
        </w:rPr>
        <w:t xml:space="preserve"> of this Schedule 13D, is hereby incorporated herein by this reference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Item 6 is hereby amended and modified to include the following (which shall be in addition to the information previously included in the Schedule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13D):</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as set forth in the Purchase Agreement or Severance Agreement, or herein, the Reporting Persons do not have any contracts, arrangements, understandings or relationships (legal or otherwise) with any person with respect to any securities of the Issuer, including, but not limited to, any contracts, arrangements, understandings or relationships concerning the call options, put options, security-based swaps or any other derivative securities, transfer or voting of such securities, finder’s fees, joint ventures, loan or option arrangements, guarantees of profits, division of profits or losses, or the giving or withholding of proxies.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91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 w:lineRule="exact"/>
        <w:rPr>
          <w:sz w:val="20"/>
          <w:szCs w:val="20"/>
          <w:color w:val="auto"/>
        </w:rPr>
      </w:pPr>
    </w:p>
    <w:p>
      <w:pPr>
        <w:ind w:left="1140" w:right="20" w:hanging="1132"/>
        <w:spacing w:after="0" w:line="282" w:lineRule="auto"/>
        <w:tabs>
          <w:tab w:leader="none" w:pos="1140" w:val="left"/>
        </w:tabs>
        <w:numPr>
          <w:ilvl w:val="0"/>
          <w:numId w:val="32"/>
        </w:numPr>
        <w:rPr>
          <w:rFonts w:ascii="Times New Roman" w:cs="Times New Roman" w:eastAsia="Times New Roman" w:hAnsi="Times New Roman"/>
          <w:sz w:val="18"/>
          <w:szCs w:val="18"/>
          <w:u w:val="single" w:color="auto"/>
          <w:color w:val="0000EE"/>
        </w:rPr>
      </w:pPr>
      <w:hyperlink r:id="rId30">
        <w:r>
          <w:rPr>
            <w:rFonts w:ascii="Times New Roman" w:cs="Times New Roman" w:eastAsia="Times New Roman" w:hAnsi="Times New Roman"/>
            <w:sz w:val="18"/>
            <w:szCs w:val="18"/>
            <w:u w:val="single" w:color="auto"/>
            <w:color w:val="0000EE"/>
          </w:rPr>
          <w:t>Severance Agreement, dated November 5, 2024, between Agrify Corporation and Raymond Chang (incorporated by reference to Exhibit</w:t>
        </w:r>
      </w:hyperlink>
      <w:r>
        <w:rPr>
          <w:rFonts w:ascii="Times New Roman" w:cs="Times New Roman" w:eastAsia="Times New Roman" w:hAnsi="Times New Roman"/>
          <w:sz w:val="18"/>
          <w:szCs w:val="18"/>
          <w:u w:val="single" w:color="auto"/>
          <w:color w:val="0000EE"/>
        </w:rPr>
        <w:t xml:space="preserve"> </w:t>
      </w:r>
      <w:hyperlink r:id="rId30">
        <w:r>
          <w:rPr>
            <w:rFonts w:ascii="Times New Roman" w:cs="Times New Roman" w:eastAsia="Times New Roman" w:hAnsi="Times New Roman"/>
            <w:sz w:val="18"/>
            <w:szCs w:val="18"/>
            <w:u w:val="single" w:color="auto"/>
            <w:color w:val="0000EE"/>
          </w:rPr>
          <w:t>4.1 to the Issuer's Current Report on Form 8-K, filed with the SEC on November 6, 2024).</w:t>
        </w:r>
      </w:hyperlink>
    </w:p>
    <w:p>
      <w:pPr>
        <w:spacing w:after="0" w:line="37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7,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Raymond Nobu Chang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Raymond Nobu Chang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RTC3 2020 Irrevocable Trust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Johanna Wise Sullivan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Johanna Wise Sullivan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NXT3J Capital, LLC</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Nobu Chang</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Nobu Chang</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CP Acquisitions, LLC</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Nobu Chang</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Nobu Chang</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GIC Acquisition LLC</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Nobu Chang</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Nobu Chang</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Raymond Chang, Jr.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Raymond Chang,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Raymond Chang, Jr.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Chinwei Wang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Chinwei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Chinwei Wang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
    <w:nsid w:val="519B500D"/>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3">
    <w:nsid w:val="431BD7B7"/>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4">
    <w:nsid w:val="3F2DBA31"/>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
    <w:nsid w:val="7C83E458"/>
    <w:multiLevelType w:val="hybridMultilevel"/>
    <w:lvl w:ilvl="0">
      <w:lvlJc w:val="left"/>
      <w:lvlText w:val="(%1)"/>
      <w:numFmt w:val="decimal"/>
      <w:start w:val="3"/>
    </w:lvl>
  </w:abstractNum>
  <w:abstractNum w:abstractNumId="6">
    <w:nsid w:val="257130A3"/>
    <w:multiLevelType w:val="hybridMultilevel"/>
    <w:lvl w:ilvl="0">
      <w:lvlJc w:val="left"/>
      <w:lvlText w:val="%1."/>
      <w:numFmt w:val="decimal"/>
      <w:start w:val="1"/>
    </w:lvl>
    <w:lvl w:ilvl="1">
      <w:lvlJc w:val="left"/>
      <w:lvlText w:val="(%2)"/>
      <w:numFmt w:val="lowerLetter"/>
      <w:start w:val="1"/>
    </w:lvl>
  </w:abstractNum>
  <w:abstractNum w:abstractNumId="7">
    <w:nsid w:val="62BBD95A"/>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8">
    <w:nsid w:val="436C6125"/>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9">
    <w:nsid w:val="628C895D"/>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0">
    <w:nsid w:val="333AB105"/>
    <w:multiLevelType w:val="hybridMultilevel"/>
    <w:lvl w:ilvl="0">
      <w:lvlJc w:val="left"/>
      <w:lvlText w:val="%1."/>
      <w:numFmt w:val="decimal"/>
      <w:start w:val="1"/>
    </w:lvl>
    <w:lvl w:ilvl="1">
      <w:lvlJc w:val="left"/>
      <w:lvlText w:val="(%2)"/>
      <w:numFmt w:val="lowerLetter"/>
      <w:start w:val="1"/>
    </w:lvl>
  </w:abstractNum>
  <w:abstractNum w:abstractNumId="11">
    <w:nsid w:val="721DA317"/>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2">
    <w:nsid w:val="2443A858"/>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3">
    <w:nsid w:val="2D1D5AE9"/>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4">
    <w:nsid w:val="6763845E"/>
    <w:multiLevelType w:val="hybridMultilevel"/>
    <w:lvl w:ilvl="0">
      <w:lvlJc w:val="left"/>
      <w:lvlText w:val="%1."/>
      <w:numFmt w:val="decimal"/>
      <w:start w:val="1"/>
    </w:lvl>
    <w:lvl w:ilvl="1">
      <w:lvlJc w:val="left"/>
      <w:lvlText w:val="(%2)"/>
      <w:numFmt w:val="lowerLetter"/>
      <w:start w:val="1"/>
    </w:lvl>
  </w:abstractNum>
  <w:abstractNum w:abstractNumId="15">
    <w:nsid w:val="75A2A8D4"/>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6">
    <w:nsid w:val="8EDBDAB"/>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7">
    <w:nsid w:val="79838CB2"/>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8">
    <w:nsid w:val="4353D0CD"/>
    <w:multiLevelType w:val="hybridMultilevel"/>
    <w:lvl w:ilvl="0">
      <w:lvlJc w:val="left"/>
      <w:lvlText w:val="%1."/>
      <w:numFmt w:val="decimal"/>
      <w:start w:val="1"/>
    </w:lvl>
    <w:lvl w:ilvl="1">
      <w:lvlJc w:val="left"/>
      <w:lvlText w:val="(%2)"/>
      <w:numFmt w:val="lowerLetter"/>
      <w:start w:val="1"/>
    </w:lvl>
  </w:abstractNum>
  <w:abstractNum w:abstractNumId="19">
    <w:nsid w:val="B03E0C6"/>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20">
    <w:nsid w:val="189A769B"/>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21">
    <w:nsid w:val="54E49EB4"/>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2">
    <w:nsid w:val="71F32454"/>
    <w:multiLevelType w:val="hybridMultilevel"/>
    <w:lvl w:ilvl="0">
      <w:lvlJc w:val="left"/>
      <w:lvlText w:val="%1."/>
      <w:numFmt w:val="decimal"/>
      <w:start w:val="1"/>
    </w:lvl>
    <w:lvl w:ilvl="1">
      <w:lvlJc w:val="left"/>
      <w:lvlText w:val="(%2)"/>
      <w:numFmt w:val="lowerLetter"/>
      <w:start w:val="1"/>
    </w:lvl>
  </w:abstractNum>
  <w:abstractNum w:abstractNumId="23">
    <w:nsid w:val="2CA88611"/>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24">
    <w:nsid w:val="836C40E"/>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25">
    <w:nsid w:val="2901D82"/>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6">
    <w:nsid w:val="3A95F874"/>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7">
    <w:nsid w:val="8138641"/>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28">
    <w:nsid w:val="1E7FF521"/>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29">
    <w:nsid w:val="7C3DBD3D"/>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0" Type="http://schemas.openxmlformats.org/officeDocument/2006/relationships/hyperlink" Target="http://www.sec.gov/Archives/edgar/data/1800637/000121390024094613/ea022010001ex4-1_agrif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2024-11-07T21:04:30Z</dcterms:created>
  <dcterms:modified xsi:type="dcterms:W3CDTF">2024-11-07T21:04:30Z</dcterms:modified>
</cp:coreProperties>
</file>