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0719-s8_rythm.htm"/>
      <w:bookmarkStart w:id="1" w:name="ksea0300719s8_rythm"/>
      <w:bookmarkEnd w:id="0"/>
      <w:bookmarkEnd w:id="1"/>
      <w:r>
        <w:rPr>
          <w:b/>
        </w:rPr>
        <w:t>As filed with the Securities and Exchange Commission on August 26,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855"/>
        <w:gridCol w:w="60"/>
        <w:gridCol w:w="1775"/>
      </w:tblGrid>
      <w:tr>
        <w:trPr/>
        <w:tc>
          <w:tcPr>
            <w:tcW w:w="2855" w:type="dxa"/>
            <w:tcBorders>
              <w:bottom w:val="single" w:sz="12" w:space="0" w:color="000000"/>
            </w:tcBorders>
            <w:vAlign w:val="center"/>
          </w:tcPr>
          <w:p>
            <w:pPr>
              <w:pStyle w:val="TableContents"/>
              <w:bidi w:val="0"/>
              <w:spacing w:before="0" w:after="283"/>
              <w:jc w:val="center"/>
              <w:rPr>
                <w:b/>
              </w:rPr>
            </w:pPr>
            <w:r>
              <w:rPr>
                <w:b/>
              </w:rPr>
              <w:t>Nevada</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30-0943453</w:t>
            </w:r>
          </w:p>
        </w:tc>
      </w:tr>
      <w:tr>
        <w:trPr/>
        <w:tc>
          <w:tcPr>
            <w:tcW w:w="2855" w:type="dxa"/>
            <w:tcBorders/>
            <w:tcMar>
              <w:bottom w:w="0" w:type="dxa"/>
            </w:tcMar>
            <w:vAlign w:val="center"/>
          </w:tcPr>
          <w:p>
            <w:pPr>
              <w:pStyle w:val="TableContents"/>
              <w:bidi w:val="0"/>
              <w:spacing w:before="0" w:after="283"/>
              <w:jc w:val="center"/>
              <w:rPr/>
            </w:pPr>
            <w:r>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r>
          </w:p>
        </w:tc>
      </w:tr>
      <w:tr>
        <w:trPr/>
        <w:tc>
          <w:tcPr>
            <w:tcW w:w="2855" w:type="dxa"/>
            <w:tcBorders/>
            <w:tcMar>
              <w:bottom w:w="0" w:type="dxa"/>
            </w:tcMar>
            <w:vAlign w:val="center"/>
          </w:tcPr>
          <w:p>
            <w:pPr>
              <w:pStyle w:val="TableContents"/>
              <w:bidi w:val="0"/>
              <w:spacing w:before="0" w:after="283"/>
              <w:jc w:val="center"/>
              <w:rPr/>
            </w:pPr>
            <w:r>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875"/>
        <w:gridCol w:w="60"/>
        <w:gridCol w:w="1085"/>
      </w:tblGrid>
      <w:tr>
        <w:trPr/>
        <w:tc>
          <w:tcPr>
            <w:tcW w:w="3875" w:type="dxa"/>
            <w:tcBorders/>
            <w:vAlign w:val="center"/>
          </w:tcPr>
          <w:p>
            <w:pPr>
              <w:pStyle w:val="TableContents"/>
              <w:bidi w:val="0"/>
              <w:spacing w:before="0" w:after="283"/>
              <w:jc w:val="center"/>
              <w:rPr>
                <w:b/>
              </w:rPr>
            </w:pPr>
            <w:r>
              <w:rPr>
                <w:b/>
              </w:rPr>
              <w:t>2220 Hicks Road, Suite 210</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875" w:type="dxa"/>
            <w:tcBorders>
              <w:bottom w:val="single" w:sz="12" w:space="0" w:color="000000"/>
            </w:tcBorders>
            <w:tcMar>
              <w:bottom w:w="28" w:type="dxa"/>
            </w:tcMar>
            <w:vAlign w:val="center"/>
          </w:tcPr>
          <w:p>
            <w:pPr>
              <w:pStyle w:val="TableContents"/>
              <w:bidi w:val="0"/>
              <w:spacing w:before="0" w:after="283"/>
              <w:jc w:val="center"/>
              <w:rPr>
                <w:b/>
              </w:rPr>
            </w:pPr>
            <w:r>
              <w:rPr>
                <w:b/>
              </w:rPr>
              <w:t>Rolling Meadows, IL</w:t>
            </w:r>
          </w:p>
        </w:tc>
        <w:tc>
          <w:tcPr>
            <w:tcW w:w="6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60008 </w:t>
            </w:r>
          </w:p>
        </w:tc>
      </w:tr>
      <w:tr>
        <w:trPr/>
        <w:tc>
          <w:tcPr>
            <w:tcW w:w="387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RYTHM, INC. 2022 Omnibus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Kovler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2220 Hicks Road, Suite 210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Rolling Meadows, IL 60008</w:t>
        <w:br/>
      </w: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(855) 420-0020</w:t>
        <w:br/>
      </w: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3" w:right="0" w:hanging="0"/>
        <w:jc w:val="center"/>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With a copy to</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A. Petitt,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Blank Rome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 High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Boston, MA 02110</w:t>
      </w:r>
    </w:p>
    <w:p>
      <w:pPr>
        <w:pStyle w:val="TextBody"/>
        <w:bidi w:val="0"/>
        <w:spacing w:before="0" w:after="0"/>
        <w:ind w:left="113"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(617) 415-1200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RYTHM, Inc., a Nevada corporation (the “Company,” “we,” “us” or “our”), previously registered 435,097 shares of the Company’s common stock, $0.001 par value per share (the “Common Stock”), available for issuance pursuant to the RYTHM, Inc. 2022 Omnibus Equity Incentive Plan, as amended (the “Plan”). The Company registered such shares of Common Stock under the Plan on a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Statement filed with the Securities and Exchange Commission (“SEC”) on July 1, 2022 (Registration Number 333-265950), a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Statement filed with the SEC on November 26, 2024 (Registration Number 333-283453), and a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Registration Statement filed with the SEC on June 12, 2025 (Registration Number 333-287986) in accordance with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Company’s shareholders approved an amendment to the Plan (the “Plan Amendment”) to increase the number of shares of Common Stock which may be issued pursuant to the Plan by an additional 115,000 shares (the “Additional Shares”). This Registration Statement on Form S-8 is being filed to register the Additional Shares for issuance under the Plan pursuant to the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numbers set forth above retroactively reflect the 1-for-10 reverse stock split completed by the Company on October 18, 2022, the 1-for-20 reverse stock split completed by the Company on July 5, 2023, and the 1-for-15 reverse stock split completed by the Company on October 8, 2024,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Pursuant to General Instruction E of Form S-8, the contents of the Registration Statement on </w:t>
      </w:r>
      <w:hyperlink r:id="rId5">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filed with the SEC on July 1, 2022 (File No. 333-265950) are incorporated herein by reference, except to the extent supplemented, amended or superseded by the information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w:t>
      </w:r>
      <w:r>
        <w:rPr>
          <w:rFonts w:ascii="Times New Roman;Times;Serif" w:hAnsi="Times New Roman;Times;Serif"/>
          <w:b/>
          <w:i w:val="false"/>
          <w:caps/>
          <w:sz w:val="2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w:t>
      </w:r>
      <w:r>
        <w:rPr>
          <w:rFonts w:ascii="Times New Roman;Times;Serif" w:hAnsi="Times New Roman;Times;Serif"/>
          <w:b/>
          <w:i w:val="false"/>
          <w:caps/>
          <w:sz w:val="20"/>
        </w:rPr>
        <w:t xml:space="preserve">3. </w:t>
      </w:r>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Registration Statement the information we file with it, which means that we can disclose important information to you by referring you to those documents. The information incorporated by reference is considered to be part of this Registration Statement, and information that we file later with the SEC will automatically update and supersede this information. This Registration Statement incorporates by reference the documents listed below (other than portions of these documents that are deemed furnished under applicable SEC rules rather than filed and exhibits furnished in connection with such items):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283"/>
              <w:jc w:val="both"/>
              <w:rPr/>
            </w:pPr>
            <w:r>
              <w:rPr/>
              <w:t xml:space="preserve">Our Annual Report on </w:t>
            </w:r>
            <w:hyperlink r:id="rId6">
              <w:r>
                <w:rPr>
                  <w:rStyle w:val="InternetLink"/>
                </w:rPr>
                <w:t>Form 10-K</w:t>
              </w:r>
            </w:hyperlink>
            <w:r>
              <w:rPr/>
              <w:t xml:space="preserve"> for the year ended December 31, 2025 filed with the SEC March 3, 2026;</w:t>
            </w:r>
          </w:p>
        </w:tc>
      </w:tr>
    </w:tbl>
    <w:p>
      <w:pPr>
        <w:pStyle w:val="TextBody"/>
        <w:bidi w:val="0"/>
        <w:spacing w:before="0" w:after="0"/>
        <w:ind w:left="37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 xml:space="preserve">Our Quarterly Reports on Form 10-Q for the quarters ended March 31, 2026, filed with the SEC on </w:t>
            </w:r>
            <w:hyperlink r:id="rId7">
              <w:r>
                <w:rPr>
                  <w:rStyle w:val="InternetLink"/>
                </w:rPr>
                <w:t>May 5, 2026</w:t>
              </w:r>
            </w:hyperlink>
            <w:r>
              <w:rPr/>
              <w:t xml:space="preserve"> and June 30, 2026, filed with the SEC on </w:t>
            </w:r>
            <w:hyperlink r:id="rId8">
              <w:r>
                <w:rPr>
                  <w:rStyle w:val="InternetLink"/>
                </w:rPr>
                <w:t>August 4, 2026</w:t>
              </w:r>
            </w:hyperlink>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c)</w:t>
            </w:r>
          </w:p>
        </w:tc>
        <w:tc>
          <w:tcPr>
            <w:tcW w:w="9971" w:type="dxa"/>
            <w:tcBorders/>
            <w:vAlign w:val="center"/>
          </w:tcPr>
          <w:p>
            <w:pPr>
              <w:pStyle w:val="TableContents"/>
              <w:bidi w:val="0"/>
              <w:spacing w:before="0" w:after="283"/>
              <w:jc w:val="both"/>
              <w:rPr/>
            </w:pPr>
            <w:r>
              <w:rPr/>
              <w:t xml:space="preserve">Our Current Reports on Form 8-K filed with the SEC on </w:t>
            </w:r>
            <w:hyperlink r:id="rId9">
              <w:r>
                <w:rPr>
                  <w:rStyle w:val="InternetLink"/>
                </w:rPr>
                <w:t>April 1, 2026</w:t>
              </w:r>
            </w:hyperlink>
            <w:r>
              <w:rPr/>
              <w:t xml:space="preserve">, </w:t>
            </w:r>
            <w:hyperlink r:id="rId10">
              <w:r>
                <w:rPr>
                  <w:rStyle w:val="InternetLink"/>
                </w:rPr>
                <w:t>June 16, 2026,</w:t>
              </w:r>
            </w:hyperlink>
            <w:r>
              <w:rPr/>
              <w:t xml:space="preserve"> and </w:t>
            </w:r>
            <w:hyperlink r:id="rId11">
              <w:r>
                <w:rPr>
                  <w:rStyle w:val="InternetLink"/>
                </w:rPr>
                <w:t>August 11, 2026</w:t>
              </w:r>
            </w:hyperlink>
            <w:r>
              <w:rPr/>
              <w:t>;</w:t>
            </w:r>
          </w:p>
        </w:tc>
      </w:tr>
    </w:tbl>
    <w:p>
      <w:pPr>
        <w:pStyle w:val="TextBody"/>
        <w:bidi w:val="0"/>
        <w:spacing w:before="0" w:after="0"/>
        <w:ind w:left="0" w:right="0" w:hanging="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1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d)</w:t>
            </w:r>
          </w:p>
        </w:tc>
        <w:tc>
          <w:tcPr>
            <w:tcW w:w="8315" w:type="dxa"/>
            <w:tcBorders/>
            <w:vAlign w:val="center"/>
          </w:tcPr>
          <w:p>
            <w:pPr>
              <w:pStyle w:val="TableContents"/>
              <w:bidi w:val="0"/>
              <w:spacing w:before="0" w:after="283"/>
              <w:jc w:val="both"/>
              <w:rPr/>
            </w:pPr>
            <w:r>
              <w:rPr/>
              <w:t xml:space="preserve">Our Definitive Proxy Statement on </w:t>
            </w:r>
            <w:hyperlink r:id="rId12">
              <w:r>
                <w:rPr>
                  <w:rStyle w:val="InternetLink"/>
                </w:rPr>
                <w:t>Schedule 14A</w:t>
              </w:r>
            </w:hyperlink>
            <w:r>
              <w:rPr/>
              <w:t xml:space="preserve"> filed with the SEC on April 27,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e)</w:t>
            </w:r>
          </w:p>
        </w:tc>
        <w:tc>
          <w:tcPr>
            <w:tcW w:w="10013" w:type="dxa"/>
            <w:tcBorders/>
            <w:vAlign w:val="center"/>
          </w:tcPr>
          <w:p>
            <w:pPr>
              <w:pStyle w:val="TableContents"/>
              <w:bidi w:val="0"/>
              <w:spacing w:before="0" w:after="283"/>
              <w:jc w:val="both"/>
              <w:rPr/>
            </w:pPr>
            <w:r>
              <w:rPr/>
              <w:t xml:space="preserve">The Description of our Common Stock Registered Pursuant to Section 12 of the Securities Exchange Act of 1934 filed with the SEC on April 2, 2021 as </w:t>
            </w:r>
            <w:hyperlink r:id="rId13">
              <w:r>
                <w:rPr>
                  <w:rStyle w:val="InternetLink"/>
                </w:rPr>
                <w:t>Exhibit 4.5</w:t>
              </w:r>
            </w:hyperlink>
            <w:r>
              <w:rPr/>
              <w:t xml:space="preserve"> to our Annual Report on </w:t>
            </w:r>
            <w:hyperlink r:id="rId14">
              <w:r>
                <w:rPr>
                  <w:rStyle w:val="InternetLink"/>
                </w:rPr>
                <w:t>Form 10-K</w:t>
              </w:r>
            </w:hyperlink>
            <w:r>
              <w:rPr/>
              <w:t xml:space="preserve"> for the fiscal year ended December 31,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registrant subsequently files pursuant to Sections 13(a), 13(c), 14 and 15(d) of the Exchange Act (other than any such documents or portions thereof that are deemed to have been furnished and not filed in accordance with the rules of the SEC),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r>
        <w:rPr>
          <w:rFonts w:ascii="Times New Roman;Times;Serif" w:hAnsi="Times New Roman;Times;Serif"/>
          <w:b/>
          <w:i w:val="false"/>
          <w:caps/>
          <w:sz w:val="20"/>
        </w:rPr>
        <w:t xml:space="preserve">. </w:t>
      </w: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both"/>
              <w:rPr>
                <w:b/>
              </w:rPr>
            </w:pPr>
            <w:r>
              <w:rPr>
                <w:b/>
              </w:rPr>
              <w:t>Document</w:t>
            </w:r>
          </w:p>
        </w:tc>
      </w:tr>
      <w:tr>
        <w:trPr/>
        <w:tc>
          <w:tcPr>
            <w:tcW w:w="890" w:type="dxa"/>
            <w:tcBorders/>
            <w:shd w:fill="CCEEFF" w:val="clear"/>
            <w:tcMar>
              <w:bottom w:w="0" w:type="dxa"/>
            </w:tcMar>
            <w:vAlign w:val="center"/>
          </w:tcPr>
          <w:p>
            <w:pPr>
              <w:pStyle w:val="TableContents"/>
              <w:bidi w:val="0"/>
              <w:spacing w:before="0" w:after="283"/>
              <w:jc w:val="left"/>
              <w:rPr/>
            </w:pPr>
            <w:r>
              <w:rPr/>
              <w:t xml:space="preserve">4.1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5">
              <w:r>
                <w:rPr>
                  <w:rStyle w:val="InternetLink"/>
                </w:rPr>
                <w:t>Articles of Incorporation of the Registrant (incorporated by reference to Exhibit 3.1 to the Registrant’s Amendment No. 1 to Registration Statement on Form S-1 filed with the Securities and Exchange Commission on January 13, 2021)</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6">
              <w:r>
                <w:rPr>
                  <w:rStyle w:val="InternetLink"/>
                </w:rPr>
                <w:t>Certificate of Amendment to the Articles of Incorporation of the Registrant, filed July 11, 2022 (incorporated by reference to Exhibit 3.1 to</w:t>
              </w:r>
            </w:hyperlink>
            <w:hyperlink r:id="rId17">
              <w:r>
                <w:rPr>
                  <w:rStyle w:val="InternetLink"/>
                  <w:u w:val="single"/>
                </w:rPr>
                <w:t> </w:t>
              </w:r>
            </w:hyperlink>
            <w:hyperlink r:id="rId18">
              <w:r>
                <w:rPr>
                  <w:rStyle w:val="InternetLink"/>
                </w:rPr>
                <w:t>the Registrant’s Current Report on Form 8-K filed with the Securities and Exchange Commission on July 14, 2022).</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9">
              <w:r>
                <w:rPr>
                  <w:rStyle w:val="InternetLink"/>
                </w:rPr>
                <w:t>Certificate of Amendment to the Articles of Incorporation of the Registrant, filed October 17, 2022 (incorporated by reference to Exhibit</w:t>
              </w:r>
            </w:hyperlink>
            <w:hyperlink r:id="rId20">
              <w:r>
                <w:rPr>
                  <w:rStyle w:val="InternetLink"/>
                  <w:u w:val="single"/>
                </w:rPr>
                <w:t> </w:t>
              </w:r>
            </w:hyperlink>
            <w:hyperlink r:id="rId21">
              <w:r>
                <w:rPr>
                  <w:rStyle w:val="InternetLink"/>
                </w:rPr>
                <w:t>3.1 to the Registrant’s Current Report on Form 8-K filed with the Securities and Exchange Commission on October 17, 2022).</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2">
              <w:r>
                <w:rPr>
                  <w:rStyle w:val="InternetLink"/>
                </w:rPr>
                <w:t>Certificate of Amendment to the Articles of Incorporation of the Registrant, filed March 1, 2023 (incorporated by reference to Exhibit 3.1</w:t>
              </w:r>
            </w:hyperlink>
            <w:hyperlink r:id="rId23">
              <w:r>
                <w:rPr>
                  <w:rStyle w:val="InternetLink"/>
                  <w:u w:val="single"/>
                </w:rPr>
                <w:t> </w:t>
              </w:r>
            </w:hyperlink>
            <w:hyperlink r:id="rId24">
              <w:r>
                <w:rPr>
                  <w:rStyle w:val="InternetLink"/>
                </w:rPr>
                <w:t>to the Registrant’s Current Report filed with the Securities and Exchange Commission on March 3, 2023).</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5">
              <w:r>
                <w:rPr>
                  <w:rStyle w:val="InternetLink"/>
                </w:rPr>
                <w:t>Certificate of Change to Articles of Incorporation of Agrify Corporation, filed June 30, 2023 (incorporated by reference to Exhibit 3.1 to</w:t>
              </w:r>
            </w:hyperlink>
            <w:hyperlink r:id="rId26">
              <w:r>
                <w:rPr>
                  <w:rStyle w:val="InternetLink"/>
                  <w:u w:val="single"/>
                </w:rPr>
                <w:t> </w:t>
              </w:r>
            </w:hyperlink>
            <w:hyperlink r:id="rId27">
              <w:r>
                <w:rPr>
                  <w:rStyle w:val="InternetLink"/>
                </w:rPr>
                <w:t>the Registrant’s Current Report on Form 8-K filed with the Securities and Exchange Commission on July 3, 2023).</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8">
              <w:r>
                <w:rPr>
                  <w:rStyle w:val="InternetLink"/>
                </w:rPr>
                <w:t>Certificate of Amendment to the Articles of Incorporation of the Registrant, filed January 22, 2024 (incorporated by reference to Exhibit 3.1</w:t>
              </w:r>
            </w:hyperlink>
            <w:hyperlink r:id="rId29">
              <w:r>
                <w:rPr>
                  <w:rStyle w:val="InternetLink"/>
                  <w:u w:val="single"/>
                </w:rPr>
                <w:t> </w:t>
              </w:r>
            </w:hyperlink>
            <w:hyperlink r:id="rId30">
              <w:r>
                <w:rPr>
                  <w:rStyle w:val="InternetLink"/>
                </w:rPr>
                <w:t>to the Registrant’s Current Report on Form 8-K filed with the Securities and Exchange Commission on January 25, 2024).</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31">
              <w:r>
                <w:rPr>
                  <w:rStyle w:val="InternetLink"/>
                </w:rPr>
                <w:t>Certificate of Amendment to Articles of Incorporation of the Registrant, filed October 3, 2024 (incorporated by reference to Exhibit 3.1 to the Registrant’s Current Report on Form 8-K filed with the Securities and Exchange Commission on October 4, 2024)</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 xml:space="preserve">4.8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32">
              <w:r>
                <w:rPr>
                  <w:rStyle w:val="InternetLink"/>
                </w:rPr>
                <w:t>Third Amended and Restated Certificate of Designations of the Series A Convertible Preferred Stock of the Registrant (incorporated by reference to Exhibit 3.2 to the Registrant’s Amendment No. 1 to Registration Statement on Form S-1 filed with the Securities and Exchange Commission on January 13, 2021)</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33">
              <w:r>
                <w:rPr>
                  <w:rStyle w:val="InternetLink"/>
                </w:rPr>
                <w:t>Third Amended and Restated Bylaws of the Registrant (incorporated by reference to Exhibit 3.2 to the Registrants Current Report on Form 8-K filed with the Securities and Exchange Commission on August 27, 2025)</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 xml:space="preserve">4.10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34">
              <w:r>
                <w:rPr>
                  <w:rStyle w:val="InternetLink"/>
                </w:rPr>
                <w:t>2022 RYTHM, Inc. Omnibus Equity Incentive Plan, as amended (incorporated by reference to Appendix A to the Registrant’s Definitive Proxy Statement on Schedule 14A filed with the Securities and Exchange Commission on April 27, 2026)</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071901ex5-1.htm">
              <w:r>
                <w:rPr>
                  <w:rStyle w:val="InternetLink"/>
                  <w:strike w:val="false"/>
                  <w:dstrike w:val="false"/>
                  <w:u w:val="none"/>
                  <w:effect w:val="none"/>
                </w:rPr>
                <w:t>Opinion of Fennemore Craig, P.C.</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 xml:space="preserve">23.1*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071901ex23-1.htm">
              <w:r>
                <w:rPr>
                  <w:rStyle w:val="InternetLink"/>
                  <w:strike w:val="false"/>
                  <w:dstrike w:val="false"/>
                  <w:u w:val="none"/>
                  <w:effect w:val="none"/>
                </w:rPr>
                <w:t>Consent of GuzmanGray, Independent Registered Public Accounting Firm</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071901ex5-1.htm">
              <w:r>
                <w:rPr>
                  <w:rStyle w:val="InternetLink"/>
                  <w:strike w:val="false"/>
                  <w:dstrike w:val="false"/>
                  <w:u w:val="none"/>
                  <w:effect w:val="none"/>
                </w:rPr>
                <w:t>Consent of Fennemore Craig, P.C. (contained in Exhibit 5.1)</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poa_001">
              <w:r>
                <w:rPr>
                  <w:rStyle w:val="InternetLink"/>
                  <w:strike w:val="false"/>
                  <w:dstrike w:val="false"/>
                  <w:u w:val="none"/>
                  <w:effect w:val="none"/>
                </w:rPr>
                <w:t>Power of Attorney (included on the signature page)</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071901ex-fee.htm">
              <w:r>
                <w:rPr>
                  <w:rStyle w:val="InternetLink"/>
                  <w:strike w:val="false"/>
                  <w:dstrike w:val="false"/>
                  <w:u w:val="none"/>
                  <w:effect w:val="none"/>
                </w:rPr>
                <w:t>Calculation of Filing Fees Table</w:t>
              </w:r>
            </w:hyperlink>
          </w:p>
        </w:tc>
      </w:tr>
    </w:tbl>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August 26, 2026.</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85"/>
        <w:gridCol w:w="4415"/>
        <w:gridCol w:w="75"/>
      </w:tblGrid>
      <w:tr>
        <w:trPr/>
        <w:tc>
          <w:tcPr>
            <w:tcW w:w="5200" w:type="dxa"/>
            <w:gridSpan w:val="2"/>
            <w:tcBorders/>
            <w:vAlign w:val="center"/>
          </w:tcPr>
          <w:p>
            <w:pPr>
              <w:pStyle w:val="TableContents"/>
              <w:bidi w:val="0"/>
              <w:spacing w:before="0" w:after="283"/>
              <w:jc w:val="left"/>
              <w:rPr>
                <w:b/>
              </w:rPr>
            </w:pPr>
            <w:r>
              <w:rPr>
                <w:b/>
              </w:rPr>
              <w:t>RYTHM, INC.</w:t>
            </w:r>
          </w:p>
        </w:tc>
        <w:tc>
          <w:tcPr>
            <w:tcW w:w="75" w:type="dxa"/>
            <w:tcBorders/>
            <w:vAlign w:val="center"/>
          </w:tcPr>
          <w:p>
            <w:pPr>
              <w:pStyle w:val="TableContents"/>
              <w:bidi w:val="0"/>
              <w:spacing w:before="0" w:after="283"/>
              <w:jc w:val="left"/>
              <w:rPr/>
            </w:pPr>
            <w:r>
              <w:rPr/>
              <w:t> </w:t>
            </w:r>
          </w:p>
        </w:tc>
      </w:tr>
      <w:tr>
        <w:trPr/>
        <w:tc>
          <w:tcPr>
            <w:tcW w:w="52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By:</w:t>
            </w:r>
          </w:p>
        </w:tc>
        <w:tc>
          <w:tcPr>
            <w:tcW w:w="4415" w:type="dxa"/>
            <w:tcBorders>
              <w:bottom w:val="single" w:sz="12" w:space="0" w:color="000000"/>
            </w:tcBorders>
            <w:tcMar>
              <w:bottom w:w="28" w:type="dxa"/>
            </w:tcMar>
            <w:vAlign w:val="center"/>
          </w:tcPr>
          <w:p>
            <w:pPr>
              <w:pStyle w:val="TableContents"/>
              <w:bidi w:val="0"/>
              <w:spacing w:before="0" w:after="283"/>
              <w:jc w:val="left"/>
              <w:rPr/>
            </w:pPr>
            <w:r>
              <w:rPr/>
              <w:t>/s/ Benjamin Kovler</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xml:space="preserve">Name:  </w:t>
            </w:r>
          </w:p>
        </w:tc>
        <w:tc>
          <w:tcPr>
            <w:tcW w:w="4415" w:type="dxa"/>
            <w:tcBorders/>
            <w:vAlign w:val="center"/>
          </w:tcPr>
          <w:p>
            <w:pPr>
              <w:pStyle w:val="TableContents"/>
              <w:bidi w:val="0"/>
              <w:spacing w:before="0" w:after="283"/>
              <w:jc w:val="left"/>
              <w:rPr/>
            </w:pPr>
            <w:r>
              <w:rPr/>
              <w:t>Benjamin Kovler</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Title:</w:t>
            </w:r>
          </w:p>
        </w:tc>
        <w:tc>
          <w:tcPr>
            <w:tcW w:w="4415" w:type="dxa"/>
            <w:tcBorders/>
            <w:vAlign w:val="center"/>
          </w:tcPr>
          <w:p>
            <w:pPr>
              <w:pStyle w:val="TableContents"/>
              <w:bidi w:val="0"/>
              <w:spacing w:before="0" w:after="283"/>
              <w:jc w:val="left"/>
              <w:rPr/>
            </w:pPr>
            <w:r>
              <w:rPr/>
              <w:t>Chairman and Interim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o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each of Benjamin Kovler and Brad Asher, as his true and lawful attorney-in-fact and agent, with full power of substitution and resubstitution, for him and in his name, place and stead, in any and all capacities, to sign any and all amendments to this Registration Statement on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28" w:type="dxa"/>
          <w:right w:w="0" w:type="dxa"/>
        </w:tblCellMar>
      </w:tblPr>
      <w:tblGrid>
        <w:gridCol w:w="2075"/>
        <w:gridCol w:w="60"/>
        <w:gridCol w:w="4415"/>
        <w:gridCol w:w="60"/>
        <w:gridCol w:w="1625"/>
      </w:tblGrid>
      <w:tr>
        <w:trPr/>
        <w:tc>
          <w:tcPr>
            <w:tcW w:w="2075" w:type="dxa"/>
            <w:tcBorders>
              <w:bottom w:val="single" w:sz="12" w:space="0" w:color="000000"/>
            </w:tcBorders>
            <w:vAlign w:val="center"/>
          </w:tcPr>
          <w:p>
            <w:pPr>
              <w:pStyle w:val="TableContents"/>
              <w:bidi w:val="0"/>
              <w:spacing w:before="0" w:after="283"/>
              <w:jc w:val="left"/>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4415"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Date</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Benjamin Kovler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Chairman and Interim Chief Executive Officer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Benjamin Kovler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Brad Asher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Chief Financial Officer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Brad Asher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Max Holtzman</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Max Holtzman</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Timothy Mahoney</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Timothy Mahoney</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Armon Vakili</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Armon Vakili</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Peter Shapiro</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Peter Shapiro</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Krishnan Varier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Krishnan Varier</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r>
        <w:trPr/>
        <w:tc>
          <w:tcPr>
            <w:tcW w:w="2075" w:type="dxa"/>
            <w:tcBorders>
              <w:bottom w:val="single" w:sz="12" w:space="0" w:color="000000"/>
            </w:tcBorders>
            <w:vAlign w:val="center"/>
          </w:tcPr>
          <w:p>
            <w:pPr>
              <w:pStyle w:val="TableContents"/>
              <w:bidi w:val="0"/>
              <w:spacing w:before="0" w:after="283"/>
              <w:jc w:val="left"/>
              <w:rPr/>
            </w:pPr>
            <w:r>
              <w:rPr/>
              <w:t>/s/ Sanjay Tolia</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August 26, 2026</w:t>
            </w:r>
          </w:p>
        </w:tc>
      </w:tr>
      <w:tr>
        <w:trPr/>
        <w:tc>
          <w:tcPr>
            <w:tcW w:w="2075" w:type="dxa"/>
            <w:tcBorders/>
            <w:tcMar>
              <w:bottom w:w="0" w:type="dxa"/>
            </w:tcMar>
            <w:vAlign w:val="center"/>
          </w:tcPr>
          <w:p>
            <w:pPr>
              <w:pStyle w:val="TableContents"/>
              <w:bidi w:val="0"/>
              <w:spacing w:before="0" w:after="283"/>
              <w:jc w:val="left"/>
              <w:rPr/>
            </w:pPr>
            <w:r>
              <w:rPr/>
              <w:t>Sanjay Tolia</w:t>
            </w:r>
          </w:p>
        </w:tc>
        <w:tc>
          <w:tcPr>
            <w:tcW w:w="60" w:type="dxa"/>
            <w:tcBorders/>
            <w:tcMar>
              <w:bottom w:w="0" w:type="dxa"/>
            </w:tcMar>
            <w:vAlign w:val="center"/>
          </w:tcPr>
          <w:p>
            <w:pPr>
              <w:pStyle w:val="TableContents"/>
              <w:bidi w:val="0"/>
              <w:spacing w:before="0" w:after="283"/>
              <w:jc w:val="center"/>
              <w:rPr/>
            </w:pPr>
            <w:r>
              <w:rPr/>
              <w:t> </w:t>
            </w:r>
          </w:p>
        </w:tc>
        <w:tc>
          <w:tcPr>
            <w:tcW w:w="44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ea030071901ex5-1.htm"/>
      <w:bookmarkStart w:id="4" w:name="ksea030071901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7620000" cy="7810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 Hicks Road, Suite 210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Rolling Meadows, Illinois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 RYTHM, Inc./Registration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Nevada counsel to RYTHM, Inc., a Nevada corporation (the “Company”), in connection with the registration by the Company of 115,000 shares (the “Shares”) of its common stock, $0.001 par value (the “Common Stock”) that have been or may be issued pursuant to the Company’s 2022 Omnibus Equity Incentive Plan, as amended (the “Plan”) on Form S-8 (the “Registration Statement”) under the Securities Act of 1933, as amended (“Securities Act”), as filed with the Securities and Exchange Commission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opinions, we have examined originals or copies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certain actions of the Board of Directors, the Compensation Committee of the Board of Directors, and stockholders of the Company relating to the adoption and approval of the Plan and such other matters as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from officers and agents of the Company and from public officials, and have relied upon, such certificates, representations, and assurances as we have deemed necessary and appropriate for purposes of rendering this opinion letter. We have also examined such corporate charter documents, records, certificates, and instruments (collectively with the documents identified in (a) through (c) above, the “Documents”) as we deem necessary or advisable to render the opinions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FENNEMORE.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legal capacity and competency of all natural persons executing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genuineness of all signatures on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authenticity of all Documents submitted to us as originals, and the conformity to original documents of all Documents submitted to us as copies;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the parties to such Documents, other than the Company, had the power, corporate or other, to enter into and perform all obligations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such Documents are enforceable in accordance with their terms with respect to all parties thereto;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at the time of issuance of any Shares, the Company validly exists and is duly qualified and in good standing under the laws of Nevada;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than with respect to the Company, the due authorization by all requisite action, corporate or other, of the execution and delivery by all parties of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the accuracy and completeness of the information, factual matters, representations, and warranties contained in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also assumed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or prior to the time of issuance and delivery, the Shares will be registered by the transfer agent and registrar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keep reserved a sufficient number of shares of its Common Stock to satisfy its obligations for issuances of Shares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issuance of any of the Shares, the total number of shares of the Company’s Common Stock issued and outstanding will not exceed the total number of shares of Common Stock that the Company is then authorized to issue under its charter documents;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stock grant, stock option, or other security exercisable or exchangeable for a Share under the Plan has been, or will be, duly authorized, validly granted, and duly exercised or exchanged in accordance with the terms of the Plan, at the time of any grant of a Share or exercise of such stock option or other security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FENNEMORE.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RYTHM,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limitations and qualifications set forth herein, we are of the opinion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that have been or may be issued under the Plan are duly authorized shares of the Company’s Common Stock;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as, and when issued against receipt of the consideration therefor in accordance with the provisions of the Plan and in accordance with the Registration Statement,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468" w:type="dxa"/>
        <w:jc w:val="left"/>
        <w:tblInd w:w="0" w:type="dxa"/>
        <w:tblLayout w:type="fixed"/>
        <w:tblCellMar>
          <w:top w:w="0" w:type="dxa"/>
          <w:left w:w="0" w:type="dxa"/>
          <w:bottom w:w="0" w:type="dxa"/>
          <w:right w:w="0" w:type="dxa"/>
        </w:tblCellMar>
      </w:tblPr>
      <w:tblGrid>
        <w:gridCol w:w="183"/>
        <w:gridCol w:w="2285"/>
      </w:tblGrid>
      <w:tr>
        <w:trPr/>
        <w:tc>
          <w:tcPr>
            <w:tcW w:w="183" w:type="dxa"/>
            <w:tcBorders/>
            <w:vAlign w:val="center"/>
          </w:tcPr>
          <w:p>
            <w:pPr>
              <w:pStyle w:val="TableContents"/>
              <w:bidi w:val="0"/>
              <w:spacing w:before="0" w:after="0"/>
              <w:ind w:left="108" w:right="108" w:hanging="0"/>
              <w:jc w:val="left"/>
              <w:rPr>
                <w:caps w:val="false"/>
                <w:smallCaps w:val="false"/>
              </w:rPr>
            </w:pPr>
            <w:r>
              <w:rPr>
                <w:caps w:val="false"/>
                <w:smallCaps w:val="false"/>
              </w:rPr>
              <w:t> </w:t>
            </w:r>
          </w:p>
          <w:p>
            <w:pPr>
              <w:pStyle w:val="TableContents"/>
              <w:bidi w:val="0"/>
              <w:spacing w:before="0" w:after="0"/>
              <w:ind w:left="108" w:right="108" w:hanging="0"/>
              <w:jc w:val="left"/>
              <w:rPr>
                <w:caps w:val="false"/>
                <w:smallCaps w:val="false"/>
              </w:rPr>
            </w:pPr>
            <w:r>
              <w:rPr>
                <w:caps w:val="false"/>
                <w:smallCaps w:val="false"/>
              </w:rPr>
              <w:t> </w:t>
            </w:r>
          </w:p>
        </w:tc>
        <w:tc>
          <w:tcPr>
            <w:tcW w:w="22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Fennemore Craig, P.C.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Fennemore Craig,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tmor/cdol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ea030071901ex23-1.htm"/>
      <w:bookmarkStart w:id="6" w:name="ksea030071901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RYTHM, Inc. (formerly Agrify Corporation) of our report dated March 3, 2026, relating to the consolidated financial statements of RYTHM, Inc. (formerly Agrify Corporation) as of December 31, 2025 and 2024 and for the two years in the period ended December 31, 2025, included in its Annual Report on Form 10-K for the year ended December 31, 2025, as filed with the Securities and Exchange Commission on March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GuzmanGray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Costa Mesa,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2026</w:t>
      </w:r>
    </w:p>
    <w:p>
      <w:pPr>
        <w:pStyle w:val="TextBody"/>
        <w:bidi w:val="0"/>
        <w:spacing w:before="0" w:after="240"/>
        <w:jc w:val="right"/>
        <w:rPr>
          <w:rFonts w:ascii="Times New Roman;Times;Serif" w:hAnsi="Times New Roman;Times;Serif"/>
          <w:b/>
          <w:i w:val="false"/>
          <w:caps w:val="false"/>
          <w:smallCaps w:val="false"/>
          <w:sz w:val="24"/>
        </w:rPr>
      </w:pPr>
      <w:bookmarkStart w:id="7" w:name="ea030071901ex-fee.htm"/>
      <w:bookmarkStart w:id="8" w:name="ksea030071901exfee"/>
      <w:bookmarkEnd w:id="7"/>
      <w:bookmarkEnd w:id="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RYTHM,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Securities</w:t>
      </w:r>
    </w:p>
    <w:tbl>
      <w:tblPr>
        <w:tblW w:w="10205" w:type="dxa"/>
        <w:jc w:val="left"/>
        <w:tblInd w:w="0" w:type="dxa"/>
        <w:tblLayout w:type="fixed"/>
        <w:tblCellMar>
          <w:top w:w="0" w:type="dxa"/>
          <w:left w:w="0" w:type="dxa"/>
          <w:bottom w:w="0" w:type="dxa"/>
          <w:right w:w="0" w:type="dxa"/>
        </w:tblCellMar>
      </w:tblPr>
      <w:tblGrid>
        <w:gridCol w:w="833"/>
        <w:gridCol w:w="60"/>
        <w:gridCol w:w="1336"/>
        <w:gridCol w:w="60"/>
        <w:gridCol w:w="575"/>
        <w:gridCol w:w="60"/>
        <w:gridCol w:w="1113"/>
        <w:gridCol w:w="60"/>
        <w:gridCol w:w="1053"/>
        <w:gridCol w:w="60"/>
        <w:gridCol w:w="211"/>
        <w:gridCol w:w="845"/>
        <w:gridCol w:w="60"/>
        <w:gridCol w:w="146"/>
        <w:gridCol w:w="1342"/>
        <w:gridCol w:w="60"/>
        <w:gridCol w:w="1040"/>
        <w:gridCol w:w="60"/>
        <w:gridCol w:w="205"/>
        <w:gridCol w:w="1026"/>
      </w:tblGrid>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r>
      <w:tr>
        <w:trPr/>
        <w:tc>
          <w:tcPr>
            <w:tcW w:w="833"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336"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13"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53"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pPr>
            <w:r>
              <w:rPr/>
              <w:t> </w:t>
            </w:r>
          </w:p>
        </w:tc>
      </w:tr>
      <w:tr>
        <w:trPr/>
        <w:tc>
          <w:tcPr>
            <w:tcW w:w="833"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Common stock, par value $0.001 per share, that may be issued under the RYTHM, Inc. 2022 Omnibus Equity Incentive Plan</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115,000</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jc w:val="right"/>
              <w:rPr/>
            </w:pPr>
            <w:r>
              <w:rPr/>
              <w:t>20.63</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2,372,450.00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026" w:type="dxa"/>
            <w:tcBorders/>
            <w:vAlign w:val="center"/>
          </w:tcPr>
          <w:p>
            <w:pPr>
              <w:pStyle w:val="TableContents"/>
              <w:bidi w:val="0"/>
              <w:spacing w:before="0" w:after="283"/>
              <w:jc w:val="right"/>
              <w:rPr/>
            </w:pPr>
            <w:r>
              <w:rPr/>
              <w:t>327.63</w:t>
            </w:r>
          </w:p>
        </w:tc>
      </w:tr>
      <w:tr>
        <w:trPr/>
        <w:tc>
          <w:tcPr>
            <w:tcW w:w="8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bottom w:val="single" w:sz="8" w:space="0" w:color="000000"/>
            </w:tcBorders>
            <w:tcMar>
              <w:bottom w:w="28" w:type="dxa"/>
            </w:tcMar>
            <w:vAlign w:val="center"/>
          </w:tcPr>
          <w:p>
            <w:pPr>
              <w:pStyle w:val="TableContents"/>
              <w:bidi w:val="0"/>
              <w:spacing w:before="0" w:after="283"/>
              <w:jc w:val="left"/>
              <w:rPr/>
            </w:pPr>
            <w:r>
              <w:rPr/>
              <w:t> </w:t>
            </w:r>
          </w:p>
        </w:tc>
        <w:tc>
          <w:tcPr>
            <w:tcW w:w="134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266" w:type="dxa"/>
            <w:gridSpan w:val="12"/>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w:t>
            </w:r>
          </w:p>
        </w:tc>
        <w:tc>
          <w:tcPr>
            <w:tcW w:w="1342" w:type="dxa"/>
            <w:tcBorders/>
            <w:vAlign w:val="center"/>
          </w:tcPr>
          <w:p>
            <w:pPr>
              <w:pStyle w:val="TableContents"/>
              <w:bidi w:val="0"/>
              <w:spacing w:before="0" w:after="283"/>
              <w:jc w:val="right"/>
              <w:rPr/>
            </w:pPr>
            <w:r>
              <w:rPr/>
              <w:t>2,372,450.00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327.63</w:t>
            </w:r>
          </w:p>
        </w:tc>
      </w:tr>
      <w:tr>
        <w:trPr/>
        <w:tc>
          <w:tcPr>
            <w:tcW w:w="6266" w:type="dxa"/>
            <w:gridSpan w:val="12"/>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bottom w:val="single" w:sz="8" w:space="0" w:color="000000"/>
            </w:tcBorders>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266" w:type="dxa"/>
            <w:gridSpan w:val="12"/>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bottom w:val="double" w:sz="8" w:space="0" w:color="000000"/>
            </w:tcBorders>
            <w:tcMar>
              <w:bottom w:w="28" w:type="dxa"/>
            </w:tcMar>
            <w:vAlign w:val="center"/>
          </w:tcPr>
          <w:p>
            <w:pPr>
              <w:pStyle w:val="TableContents"/>
              <w:bidi w:val="0"/>
              <w:spacing w:before="0" w:after="283"/>
              <w:jc w:val="left"/>
              <w:rPr/>
            </w:pPr>
            <w:r>
              <w:rPr/>
              <w:t>$</w:t>
            </w:r>
          </w:p>
        </w:tc>
        <w:tc>
          <w:tcPr>
            <w:tcW w:w="1026" w:type="dxa"/>
            <w:tcBorders>
              <w:bottom w:val="double" w:sz="8" w:space="0" w:color="000000"/>
            </w:tcBorders>
            <w:tcMar>
              <w:bottom w:w="28" w:type="dxa"/>
            </w:tcMar>
            <w:vAlign w:val="center"/>
          </w:tcPr>
          <w:p>
            <w:pPr>
              <w:pStyle w:val="TableContents"/>
              <w:bidi w:val="0"/>
              <w:spacing w:before="0" w:after="283"/>
              <w:jc w:val="right"/>
              <w:rPr/>
            </w:pPr>
            <w:r>
              <w:rPr/>
              <w:t>327.63</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$0.001 per share of the Registrant (the "Common Stock") that may become issuable under the RYTHM, Inc. 2022 Omnibus Equity Incentive Plan, as amended (the "2022 Plan") as a result of any stock dividend, stock split, recapitalization or other similar transaction which results in an increase in the number of shares of the Registrant's outstanding Common Stock.</w:t>
              <w:br/>
              <w:br/>
              <w:t>Estimated solely for the purpose of calculating the registration fee pursuant to Rules 457(c) and 457(h) under the Securities Act and based upon the average of the high and low prices of Common Stock, as reported on The Nasdaq Capital Market on August 19, 2026, which date is within five business days prior to the filing of this Registration Statement, which was $20.63 per share.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0637/000121390022036363/ea162280-s8_agrifycorp.htm" TargetMode="External"/><Relationship Id="rId3" Type="http://schemas.openxmlformats.org/officeDocument/2006/relationships/hyperlink" Target="https://www.sec.gov/Archives/edgar/data/1800637/000121390024102292/ea0222463-s8_agrify.htm" TargetMode="External"/><Relationship Id="rId4" Type="http://schemas.openxmlformats.org/officeDocument/2006/relationships/hyperlink" Target="https://www.sec.gov/Archives/edgar/data/1800637/000121390025053886/ea0245495-s8_agrify.htm" TargetMode="External"/><Relationship Id="rId5" Type="http://schemas.openxmlformats.org/officeDocument/2006/relationships/hyperlink" Target="https://www.sec.gov/Archives/edgar/data/1800637/000121390022036363/ea162280-s8_agrifycorp.htm" TargetMode="External"/><Relationship Id="rId6" Type="http://schemas.openxmlformats.org/officeDocument/2006/relationships/hyperlink" Target="https://www.sec.gov/ix?doc=/Archives/edgar/data/1800637/000121390026023069/ea0277197-10k_rythm.htm" TargetMode="External"/><Relationship Id="rId7" Type="http://schemas.openxmlformats.org/officeDocument/2006/relationships/hyperlink" Target="https://www.sec.gov/ix?doc=/Archives/edgar/data/1800637/000121390026052195/ea0287069-10q_rythm.htm" TargetMode="External"/><Relationship Id="rId8" Type="http://schemas.openxmlformats.org/officeDocument/2006/relationships/hyperlink" Target="https://www.sec.gov/ix?doc=/Archives/edgar/data/1800637/000121390026084899/ea0299278-10q_rythm.htm" TargetMode="External"/><Relationship Id="rId9" Type="http://schemas.openxmlformats.org/officeDocument/2006/relationships/hyperlink" Target="https://www.sec.gov/ix?doc=/Archives/edgar/data/1800637/000121390026037996/ea0284475-8k_rythm.htm" TargetMode="External"/><Relationship Id="rId10" Type="http://schemas.openxmlformats.org/officeDocument/2006/relationships/hyperlink" Target="https://www.sec.gov/ix?doc=/Archives/edgar/data/1800637/000121390026069851/ea0295164-8k_rythm.htm" TargetMode="External"/><Relationship Id="rId11" Type="http://schemas.openxmlformats.org/officeDocument/2006/relationships/hyperlink" Target="https://www.sec.gov/ix?doc=/Archives/edgar/data/1800637/000121390026087480/ea0301464-8k_rythm.htm" TargetMode="External"/><Relationship Id="rId12" Type="http://schemas.openxmlformats.org/officeDocument/2006/relationships/hyperlink" Target="https://www.sec.gov/ix?doc=/Archives/edgar/data/1800637/000121390026047684/ea0286708-02.htm" TargetMode="External"/><Relationship Id="rId13" Type="http://schemas.openxmlformats.org/officeDocument/2006/relationships/hyperlink" Target="https://www.sec.gov/Archives/edgar/data/1800637/000121390021019992/f10k2020ex4-5_agrifycorp.htm" TargetMode="External"/><Relationship Id="rId14" Type="http://schemas.openxmlformats.org/officeDocument/2006/relationships/hyperlink" Target="https://www.sec.gov/Archives/edgar/data/1800637/000121390021019992/f10k2020_agrifycorporation.htm" TargetMode="External"/><Relationship Id="rId15" Type="http://schemas.openxmlformats.org/officeDocument/2006/relationships/hyperlink" Target="https://www.sec.gov/Archives/edgar/data/1800637/000121390021001799/fs12020a1ex3-1_agrify.htm" TargetMode="External"/><Relationship Id="rId16" Type="http://schemas.openxmlformats.org/officeDocument/2006/relationships/hyperlink" Target="https://www.sec.gov/Archives/edgar/data/1800637/000121390022039420/ea162872ex3-1_agrify.htm" TargetMode="External"/><Relationship Id="rId17" Type="http://schemas.openxmlformats.org/officeDocument/2006/relationships/hyperlink" Target="https://www.sec.gov/Archives/edgar/data/1800637/000121390022039420/ea162872ex3-1_agrify.htm" TargetMode="External"/><Relationship Id="rId18" Type="http://schemas.openxmlformats.org/officeDocument/2006/relationships/hyperlink" Target="https://www.sec.gov/Archives/edgar/data/1800637/000121390022039420/ea162872ex3-1_agrify.htm" TargetMode="External"/><Relationship Id="rId19" Type="http://schemas.openxmlformats.org/officeDocument/2006/relationships/hyperlink" Target="https://www.sec.gov/Archives/edgar/data/1800637/000121390022064269/ea167213ex3-1agrifycorp.htm" TargetMode="External"/><Relationship Id="rId20" Type="http://schemas.openxmlformats.org/officeDocument/2006/relationships/hyperlink" Target="https://www.sec.gov/Archives/edgar/data/1800637/000121390022064269/ea167213ex3-1agrifycorp.htm" TargetMode="External"/><Relationship Id="rId21" Type="http://schemas.openxmlformats.org/officeDocument/2006/relationships/hyperlink" Target="https://www.sec.gov/Archives/edgar/data/1800637/000121390022064269/ea167213ex3-1agrifycorp.htm" TargetMode="External"/><Relationship Id="rId22" Type="http://schemas.openxmlformats.org/officeDocument/2006/relationships/hyperlink" Target="https://www.sec.gov/Archives/edgar/data/1800637/000121390023017011/ea174612ex3-1_agrifycorp.htm" TargetMode="External"/><Relationship Id="rId23" Type="http://schemas.openxmlformats.org/officeDocument/2006/relationships/hyperlink" Target="https://www.sec.gov/Archives/edgar/data/1800637/000121390023017011/ea174612ex3-1_agrifycorp.htm" TargetMode="External"/><Relationship Id="rId24" Type="http://schemas.openxmlformats.org/officeDocument/2006/relationships/hyperlink" Target="https://www.sec.gov/Archives/edgar/data/1800637/000121390023017011/ea174612ex3-1_agrifycorp.htm" TargetMode="External"/><Relationship Id="rId25" Type="http://schemas.openxmlformats.org/officeDocument/2006/relationships/hyperlink" Target="https://www.sec.gov/Archives/edgar/data/1800637/000121390023053790/ea181262ex3-1_agrify.htm" TargetMode="External"/><Relationship Id="rId26" Type="http://schemas.openxmlformats.org/officeDocument/2006/relationships/hyperlink" Target="https://www.sec.gov/Archives/edgar/data/1800637/000121390023053790/ea181262ex3-1_agrify.htm" TargetMode="External"/><Relationship Id="rId27" Type="http://schemas.openxmlformats.org/officeDocument/2006/relationships/hyperlink" Target="https://www.sec.gov/Archives/edgar/data/1800637/000121390023053790/ea181262ex3-1_agrify.htm" TargetMode="External"/><Relationship Id="rId28" Type="http://schemas.openxmlformats.org/officeDocument/2006/relationships/hyperlink" Target="https://www.sec.gov/Archives/edgar/data/1800637/000121390024006275/ea192155ex3-1_agrify.htm" TargetMode="External"/><Relationship Id="rId29" Type="http://schemas.openxmlformats.org/officeDocument/2006/relationships/hyperlink" Target="https://www.sec.gov/Archives/edgar/data/1800637/000121390024006275/ea192155ex3-1_agrify.htm" TargetMode="External"/><Relationship Id="rId30" Type="http://schemas.openxmlformats.org/officeDocument/2006/relationships/hyperlink" Target="https://www.sec.gov/Archives/edgar/data/1800637/000121390024006275/ea192155ex3-1_agrify.htm" TargetMode="External"/><Relationship Id="rId31" Type="http://schemas.openxmlformats.org/officeDocument/2006/relationships/hyperlink" Target="https://www.sec.gov/Archives/edgar/data/1800637/000121390024085199/ea021670501ex3-1_agrify.htm" TargetMode="External"/><Relationship Id="rId32" Type="http://schemas.openxmlformats.org/officeDocument/2006/relationships/hyperlink" Target="https://www.sec.gov/Archives/edgar/data/1800637/000121390021001799/fs12020a1ex3-2_agrify.htm" TargetMode="External"/><Relationship Id="rId33" Type="http://schemas.openxmlformats.org/officeDocument/2006/relationships/hyperlink" Target="https://www.sec.gov/Archives/edgar/data/1800637/000121390025081148/ea025469501ex3-2_agrify.htm" TargetMode="External"/><Relationship Id="rId34" Type="http://schemas.openxmlformats.org/officeDocument/2006/relationships/hyperlink" Target="https://www.sec.gov/ix?doc=/Archives/edgar/data/1800637/000121390026047684/ea0286708-02.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3071</Words>
  <Characters>16111</Characters>
  <CharactersWithSpaces>19320</CharactersWithSpaces>
  <Paragraphs>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