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Chang Raymond Nobu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Chairman</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3"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516"/>
        <w:gridCol w:w="285"/>
        <w:gridCol w:w="906"/>
        <w:gridCol w:w="801"/>
        <w:gridCol w:w="891"/>
        <w:gridCol w:w="636"/>
        <w:gridCol w:w="801"/>
        <w:gridCol w:w="936"/>
        <w:gridCol w:w="831"/>
        <w:gridCol w:w="1236"/>
      </w:tblGrid>
      <w:tr>
        <w:trPr>
          <w:tblHeader w:val="true"/>
        </w:trPr>
        <w:tc>
          <w:tcPr>
            <w:tcW w:w="1238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8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09/19/2025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CP Acquisitions, LLC</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27, 2023, CP Acquisitions, LLC ("CP Acquisitions") and an institutional investor (the "Existing Lender") entered into a Note Purchase and Sale Agreement, in which CP Acquisitions acquired from the Existing Lender a Senior Secured Convertible Note due 2025 (the "Note") issued by Agrify Corporation (the "Issuer") with an outstanding principal amount of $8,840,000.00, which as of the date of this Amendment No. 1 is convertible, subject to stockholder approval and a 4.99% beneficial ownership limitation, into shares of common stock of the Issuer at a current conversion price of $7.64 per share, as may be adjusted per the Note from time to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Nobu Chang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1402"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4071</Characters>
  <CharactersWithSpaces>4762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