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0"/>
        </w:trPr>
        <w:tc>
          <w:tcPr>
            <w:tcW w:w="3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8"/>
        </w:trPr>
        <w:tc>
          <w:tcPr>
            <w:tcW w:w="3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32"/>
        </w:trPr>
        <w:tc>
          <w:tcPr>
            <w:tcW w:w="3200" w:type="dxa"/>
            <w:vAlign w:val="bottom"/>
          </w:tcPr>
          <w:p>
            <w:pPr>
              <w:spacing w:after="0"/>
              <w:rPr>
                <w:sz w:val="24"/>
                <w:szCs w:val="24"/>
                <w:color w:val="auto"/>
              </w:rPr>
            </w:pPr>
          </w:p>
        </w:tc>
        <w:tc>
          <w:tcPr>
            <w:tcW w:w="48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March 30, 2025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14"/>
        </w:trPr>
        <w:tc>
          <w:tcPr>
            <w:tcW w:w="3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48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52"/>
        </w:trPr>
        <w:tc>
          <w:tcPr>
            <w:tcW w:w="32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820" w:type="dxa"/>
            <w:vAlign w:val="bottom"/>
            <w:gridSpan w:val="5"/>
          </w:tcPr>
          <w:p>
            <w:pPr>
              <w:jc w:val="right"/>
              <w:ind w:right="144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32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200" w:type="dxa"/>
            <w:vAlign w:val="bottom"/>
            <w:tcBorders>
              <w:top w:val="single" w:sz="8" w:color="auto"/>
            </w:tcBorders>
          </w:tcPr>
          <w:p>
            <w:pPr>
              <w:jc w:val="center"/>
              <w:ind w:left="7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920" w:type="dxa"/>
            <w:vAlign w:val="bottom"/>
            <w:tcBorders>
              <w:top w:val="single" w:sz="8" w:color="auto"/>
            </w:tcBorders>
            <w:gridSpan w:val="3"/>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0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of incorporation)</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8020" w:type="dxa"/>
            <w:vAlign w:val="bottom"/>
            <w:gridSpan w:val="6"/>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45"/>
        </w:trPr>
        <w:tc>
          <w:tcPr>
            <w:tcW w:w="3200" w:type="dxa"/>
            <w:vAlign w:val="bottom"/>
            <w:tcBorders>
              <w:bottom w:val="single" w:sz="8" w:color="auto"/>
            </w:tcBorders>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3"/>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220" w:type="dxa"/>
            <w:vAlign w:val="bottom"/>
            <w:gridSpan w:val="3"/>
          </w:tcPr>
          <w:p>
            <w:pPr>
              <w:jc w:val="center"/>
              <w:ind w:right="21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30, 2025, the Board of Directors (the “Board”) of Agrify Corporation (the “Company”) approved the discontinuation (the “Discontinuation”) of the Company’s legacy extraction business, which includes hydrocarbon, alcohol, solventless, post-processing, and lab equipment (the “Extraction Business”), in order to refocus the Company’s resources on its hemp-derived beverage business. In connection with the Discontinuation, the Company expects to reduce its workforce by nine employees by April 1, 2025 and to dispose of any remaining inventory relating to the Extraction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filing of this Current Report on Form 8-K, the Company is in the process of quantifying the charges it will incur under generally accepted accounting principles as a result of the Discontinuation. To the extent that the Company determines that material charges will be incurred in connection with the Discontinuation, the Company will file an amendment to this Current Report on Form 8-K within four business days after the determination is made, which amendment will disclose the estimated amount of the charges.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concerning the Company and other matters. All statements contained in this Current Report on Form 8-K that do not relate to matters of historical fact should be considered forward-looking statements including, without limitation, statements regarding the timing and magnitude of the expected workforce reduction and its intention to refocus resources on its hemp-derived beverage business.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Current Report on Form 8-K are only predictions. The Company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Investors should carefully consider the risks and uncertainties that affect the Company’s business, including those described in our filings with the Securities and Exchange Commission (“SEC”), including under the caption “Risk Factors” in the Company’s Annual Report on Form 10-K filed for the year ended December 31, 2024 with the SEC, which can be obtained on the SEC website at www.sec.gov. These forward-looking statements speak only as of the date of this communication. Except as required by applicable law, the Company does not plan to publicly update or revise any forward-looking statements, whether as a result of any new information, future events or otherwise. Investors are advised, however, to consult any further disclosures the Company makes on related subjects in our public announcements and filings with the SEC.</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2025</w:t>
      </w:r>
    </w:p>
    <w:p>
      <w:pPr>
        <w:spacing w:after="0" w:line="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5715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Brad Asher</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2025-03-31T16:15:03Z</dcterms:created>
  <dcterms:modified xsi:type="dcterms:W3CDTF">2025-03-31T16:15:03Z</dcterms:modified>
</cp:coreProperties>
</file>