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6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538" w:right="1440" w:bottom="1440" w:gutter="0" w:footer="0" w:header="0"/>
        </w:sectPr>
      </w:pPr>
    </w:p>
    <w:p>
      <w:pPr>
        <w:spacing w:after="0" w:line="19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3060" w:space="720"/>
            <w:col w:w="5239"/>
          </w:cols>
          <w:pgMar w:left="1440" w:top="538" w:right="1440" w:bottom="1440" w:gutter="0" w:footer="0" w:header="0"/>
          <w:type w:val="continuous"/>
        </w:sectPr>
      </w:pPr>
    </w:p>
    <w:p>
      <w:pPr>
        <w:spacing w:after="0" w:line="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1" w:lineRule="exact"/>
        <w:rPr>
          <w:sz w:val="24"/>
          <w:szCs w:val="24"/>
          <w:color w:val="auto"/>
        </w:rPr>
      </w:pPr>
    </w:p>
    <w:p>
      <w:pPr>
        <w:sectPr>
          <w:pgSz w:w="11900" w:h="16838" w:orient="portrait"/>
          <w:cols w:equalWidth="0" w:num="2">
            <w:col w:w="3440" w:space="340"/>
            <w:col w:w="5239"/>
          </w:cols>
          <w:pgMar w:left="1440" w:top="538" w:right="1440" w:bottom="1440" w:gutter="0" w:footer="0" w:header="0"/>
          <w:type w:val="continuous"/>
        </w:sectPr>
      </w:pPr>
    </w:p>
    <w:p>
      <w:pPr>
        <w:spacing w:after="0" w:line="2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38" w:right="1440" w:bottom="1440" w:gutter="0" w:footer="0" w:header="0"/>
          <w:type w:val="continuous"/>
        </w:sectPr>
      </w:pPr>
    </w:p>
    <w:p>
      <w:pPr>
        <w:spacing w:after="0" w:line="22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379" w:hanging="6"/>
        <w:spacing w:after="0" w:line="272" w:lineRule="exact"/>
        <w:tabs>
          <w:tab w:leader="none" w:pos="98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Agrify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97"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24"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8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519430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38"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453390</wp:posOffset>
            </wp:positionV>
            <wp:extent cx="848360" cy="715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AGRIFY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August 12, 2024</w:t>
      </w:r>
    </w:p>
    <w:p>
      <w:pPr>
        <w:spacing w:after="0" w:line="8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445770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704215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153670</wp:posOffset>
            </wp:positionV>
            <wp:extent cx="848360" cy="715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July 22, 2024</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5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On behalf of the Board of Directors, I am pleased to invite you to attend the Agrify Corporation (“Agrify” or the “Company”) Virtual Annual Meeting of Stockholders to be Monday, August 12, 2024, at 10:00 a.m. Eastern Time. To be admitted to the Annual Meeting at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you must enter the control number found on your proxy card, voting instruction form or notice you previously received. You may vote during the Annual Meeting by following the instructions available on the meeting website during the meeting.</w:t>
      </w:r>
    </w:p>
    <w:p>
      <w:pPr>
        <w:spacing w:after="0" w:line="3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00" w:hanging="406"/>
        <w:spacing w:after="0"/>
        <w:tabs>
          <w:tab w:leader="none" w:pos="14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each for a one-year term;</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GuzmanGray as the Company’s independent registered public accounting firm for the fiscal year ending December 31, 2024;</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 an amendment to the pre-funded warrants issued by the Company on May 21, 2024 to increase in the number of shares of Common Stock underlying such warrants upon the occurrence of certain equity issuances;</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89"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2,500,000 shares; and</w:t>
      </w:r>
    </w:p>
    <w:p>
      <w:pPr>
        <w:spacing w:after="0" w:line="28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Annual Meeting in order to solicit additional proxies if there are not sufficient shares to be voted in favor of any of the foregoing proposals at the time of the Annual Meeting.</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July 17, 2024, the Company had 14,230,004 shares of Common Stock outstanding. Only shareholders of record as of the close of business on July 17, 2024 are entitled to receive notice of, to attend, and to vote at, the Annual Meeting.</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us. </w:t>
      </w:r>
      <w:r>
        <w:rPr>
          <w:rFonts w:ascii="Times New Roman" w:cs="Times New Roman" w:eastAsia="Times New Roman" w:hAnsi="Times New Roman"/>
          <w:sz w:val="17"/>
          <w:szCs w:val="17"/>
          <w:color w:val="auto"/>
        </w:rPr>
        <w:t>Alternatively, you may cast your vote by telephone, or through the Internet. Instructions for voting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telephone or through the Internet are included with your </w:t>
      </w: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227965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2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45720</wp:posOffset>
            </wp:positionV>
            <wp:extent cx="72390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Raymond Chang</w:t>
      </w:r>
    </w:p>
    <w:p>
      <w:pPr>
        <w:spacing w:after="0" w:line="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2468 Industrial Row Drive, Troy, MI 48084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2468 Industrial Row Drive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Troy, Michigan 48084</w:t>
      </w:r>
    </w:p>
    <w:p>
      <w:pPr>
        <w:spacing w:after="0" w:line="4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August 12, 2024</w:t>
      </w:r>
    </w:p>
    <w:p>
      <w:pPr>
        <w:spacing w:after="0" w:line="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Agrify Corporation (“Agrify”) will hold its Virtual Annual Meeting of Stockholders on August 12, 2024 at 10:00 a.m., Eastern Time. To be admitted to the Annual Meeting at </w:t>
      </w:r>
      <w:r>
        <w:rPr>
          <w:rFonts w:ascii="Times New Roman" w:cs="Times New Roman" w:eastAsia="Times New Roman" w:hAnsi="Times New Roman"/>
          <w:sz w:val="17"/>
          <w:szCs w:val="17"/>
          <w:i w:val="1"/>
          <w:iCs w:val="1"/>
          <w:color w:val="auto"/>
        </w:rPr>
        <w:t xml:space="preserve">www.virtualshareholdermeeting.com/AGFY2024, </w:t>
      </w:r>
      <w:r>
        <w:rPr>
          <w:rFonts w:ascii="Times New Roman" w:cs="Times New Roman" w:eastAsia="Times New Roman" w:hAnsi="Times New Roman"/>
          <w:sz w:val="17"/>
          <w:szCs w:val="17"/>
          <w:color w:val="auto"/>
        </w:rPr>
        <w:t>you must enter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 You may vote during the Annual Meeting by following the instructions available on the meeting website during the meeting.</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58"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each for a one-year term;</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GuzmanGray as the Company’s independent registered public accounting firm for the fiscal year ending December 31, 2024;</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 an amendment to the pre-funded warrants issued by the Company on May 21, 2024 to increase in the number of shares of Common Stock underlying such warrants upon the occurrence of certain equity issuances.</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89"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2,500,000 shares; and</w:t>
      </w:r>
    </w:p>
    <w:p>
      <w:pPr>
        <w:spacing w:after="0" w:line="302"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Annual Meeting in order to solicit additional proxies if there are not sufficient shares to be voted in favor of any of the foregoing proposals at the time of the Annual Meeting.</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selected July 17, 2024 as the record date for determining stockholders entitled to vote at the Annual Meeting. As of July 17, 2024, Agrify had 14,230,004 shares of Common Stock outstanding. A list of stockholders on that date will be available for inspection at Agrify’s corporate headquarters, 2468 Industrial Row Drive, Troy, Michigan 48084, during normal business hours for the ten-day period prior to the Annual Meeting. Only holders of our Common Stock as of the close of business on July 17, 2024 are entitled to vote at the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229235</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 or about July 22, 2024, we are mailing to our stockholders our proxy statement, proxy and 2023 Annual Report on Form 10-K, as amended.</w:t>
      </w:r>
    </w:p>
    <w:p>
      <w:pPr>
        <w:spacing w:after="0" w:line="14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45720</wp:posOffset>
            </wp:positionV>
            <wp:extent cx="72390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Raymond Chang</w:t>
      </w:r>
    </w:p>
    <w:p>
      <w:pPr>
        <w:spacing w:after="0" w:line="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Troy, Michigan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July 22, 2024</w:t>
      </w:r>
    </w:p>
    <w:p>
      <w:pPr>
        <w:spacing w:after="0" w:line="138"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Annual Meeting of Stockholders Meeting to be Held on August 12, 2024: The Notice of Annual Meeting and Proxy Statement and our 2023 Annual Report on Form 10-K, as amended,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2468 Industrial Row Drive • Troy, Michigan 48084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annual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237490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top w:val="single" w:sz="8" w:color="CCEEFF"/>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GENERAL INFORMATION</w:t>
            </w:r>
          </w:p>
        </w:tc>
        <w:tc>
          <w:tcPr>
            <w:tcW w:w="5000" w:type="dxa"/>
            <w:vAlign w:val="bottom"/>
            <w:tcBorders>
              <w:top w:val="single" w:sz="8" w:color="CCEEFF"/>
              <w:bottom w:val="single" w:sz="8" w:color="CCEEFF"/>
            </w:tcBorders>
            <w:gridSpan w:val="20"/>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ITEM 1 — ELECTION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CORPORATE GOVERNANCE</w:t>
            </w:r>
          </w:p>
        </w:tc>
        <w:tc>
          <w:tcPr>
            <w:tcW w:w="480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STOCK OWNERSHIP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2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EQUITY COMPENSATION PLANS</w:t>
            </w:r>
          </w:p>
        </w:tc>
        <w:tc>
          <w:tcPr>
            <w:tcW w:w="4420" w:type="dxa"/>
            <w:vAlign w:val="bottom"/>
            <w:tcBorders>
              <w:bottom w:val="single" w:sz="8" w:color="CCEEFF"/>
            </w:tcBorders>
            <w:gridSpan w:val="1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6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COMPENSATION OF NAMED EXECUTIVE OFFICERS</w:t>
            </w:r>
          </w:p>
        </w:tc>
        <w:tc>
          <w:tcPr>
            <w:tcW w:w="288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REPORT OF THE AUDIT COMMITTEE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2 — RATIFICATION OF AUDITOR APPOINTMENT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60" w:type="dxa"/>
            <w:vAlign w:val="bottom"/>
            <w:tcBorders>
              <w:bottom w:val="single" w:sz="8" w:color="0000EE"/>
            </w:tcBorders>
            <w:gridSpan w:val="25"/>
          </w:tcPr>
          <w:p>
            <w:pPr>
              <w:spacing w:after="0" w:line="171" w:lineRule="exact"/>
              <w:rPr>
                <w:sz w:val="20"/>
                <w:szCs w:val="20"/>
                <w:color w:val="auto"/>
              </w:rPr>
            </w:pPr>
            <w:r>
              <w:rPr>
                <w:rFonts w:ascii="Times New Roman" w:cs="Times New Roman" w:eastAsia="Times New Roman" w:hAnsi="Times New Roman"/>
                <w:sz w:val="17"/>
                <w:szCs w:val="17"/>
                <w:color w:val="0000EE"/>
              </w:rPr>
              <w:t>ITEM 3 — APPROVAL OF AN AMENDMENT OF THE ARTICLES OF INCORPORATION</w:t>
            </w:r>
          </w:p>
        </w:tc>
        <w:tc>
          <w:tcPr>
            <w:tcW w:w="38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27"/>
          </w:tcPr>
          <w:p>
            <w:pPr>
              <w:spacing w:after="0" w:line="189" w:lineRule="exact"/>
              <w:rPr>
                <w:sz w:val="20"/>
                <w:szCs w:val="20"/>
                <w:color w:val="auto"/>
              </w:rPr>
            </w:pPr>
            <w:r>
              <w:rPr>
                <w:rFonts w:ascii="Times New Roman" w:cs="Times New Roman" w:eastAsia="Times New Roman" w:hAnsi="Times New Roman"/>
                <w:sz w:val="17"/>
                <w:szCs w:val="17"/>
                <w:color w:val="0000EE"/>
              </w:rPr>
              <w:t>TO EFFECT THE REVERSE STOCK SPLIT</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40" w:type="dxa"/>
            <w:vAlign w:val="bottom"/>
            <w:tcBorders>
              <w:bottom w:val="single" w:sz="8" w:color="0000EE"/>
            </w:tcBorders>
            <w:gridSpan w:val="24"/>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ITEM 4 — APPROVAL OF AN INCREASE IN THE NUMBER OF SHARES OF COMMON</w:t>
            </w:r>
          </w:p>
        </w:tc>
        <w:tc>
          <w:tcPr>
            <w:tcW w:w="40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300" w:type="dxa"/>
            <w:vAlign w:val="bottom"/>
            <w:tcBorders>
              <w:bottom w:val="single" w:sz="8" w:color="0000EE"/>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STOCK UNDERLYING PRE-FUNDED WARRANTS UPON AN AMENDMENT AND</w:t>
            </w:r>
          </w:p>
        </w:tc>
        <w:tc>
          <w:tcPr>
            <w:tcW w:w="600" w:type="dxa"/>
            <w:vAlign w:val="bottom"/>
            <w:tcBorders>
              <w:bottom w:val="single" w:sz="8" w:color="CCEEFF"/>
            </w:tcBorders>
            <w:gridSpan w:val="5"/>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CERTAIN EQUITY ISSUANCES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020" w:type="dxa"/>
            <w:vAlign w:val="bottom"/>
            <w:tcBorders>
              <w:bottom w:val="single" w:sz="8" w:color="0000EE"/>
            </w:tcBorders>
            <w:gridSpan w:val="22"/>
          </w:tcPr>
          <w:p>
            <w:pPr>
              <w:spacing w:after="0" w:line="171" w:lineRule="exact"/>
              <w:rPr>
                <w:sz w:val="20"/>
                <w:szCs w:val="20"/>
                <w:color w:val="auto"/>
              </w:rPr>
            </w:pPr>
            <w:r>
              <w:rPr>
                <w:rFonts w:ascii="Times New Roman" w:cs="Times New Roman" w:eastAsia="Times New Roman" w:hAnsi="Times New Roman"/>
                <w:sz w:val="17"/>
                <w:szCs w:val="17"/>
                <w:color w:val="0000EE"/>
              </w:rPr>
              <w:t>ITEM 5 — APPROVAL OF AN AMENDMENT TO THE 2022 OMNIBUS EQUITY</w:t>
            </w:r>
          </w:p>
        </w:tc>
        <w:tc>
          <w:tcPr>
            <w:tcW w:w="1020" w:type="dxa"/>
            <w:vAlign w:val="bottom"/>
            <w:gridSpan w:val="6"/>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27"/>
          </w:tcPr>
          <w:p>
            <w:pPr>
              <w:spacing w:after="0" w:line="189" w:lineRule="exact"/>
              <w:rPr>
                <w:sz w:val="20"/>
                <w:szCs w:val="20"/>
                <w:color w:val="auto"/>
              </w:rPr>
            </w:pPr>
            <w:r>
              <w:rPr>
                <w:rFonts w:ascii="Times New Roman" w:cs="Times New Roman" w:eastAsia="Times New Roman" w:hAnsi="Times New Roman"/>
                <w:sz w:val="17"/>
                <w:szCs w:val="17"/>
                <w:color w:val="0000EE"/>
              </w:rPr>
              <w:t>INCENTIVE PLAN</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ITEM 6 — APPROVAL OF THE ADJOURNMENT OF THE ANNUAL MEETING IN ORDER</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top w:val="single" w:sz="8" w:color="0000EE"/>
              <w:bottom w:val="single" w:sz="8" w:color="CCEEFF"/>
            </w:tcBorders>
            <w:shd w:val="clear" w:color="auto" w:fill="CCEEFF"/>
          </w:tcPr>
          <w:p>
            <w:pPr>
              <w:spacing w:after="0"/>
              <w:rPr>
                <w:sz w:val="21"/>
                <w:szCs w:val="21"/>
                <w:color w:val="auto"/>
              </w:rPr>
            </w:pPr>
          </w:p>
        </w:tc>
        <w:tc>
          <w:tcPr>
            <w:tcW w:w="2860" w:type="dxa"/>
            <w:vAlign w:val="bottom"/>
            <w:tcBorders>
              <w:top w:val="single" w:sz="8" w:color="0000EE"/>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TO SOLICIT ADDITIONAL PROXIES</w:t>
            </w:r>
          </w:p>
        </w:tc>
        <w:tc>
          <w:tcPr>
            <w:tcW w:w="3800" w:type="dxa"/>
            <w:vAlign w:val="bottom"/>
            <w:tcBorders>
              <w:top w:val="single" w:sz="8" w:color="0000EE"/>
              <w:bottom w:val="single" w:sz="8" w:color="CCEEFF"/>
            </w:tcBorders>
            <w:gridSpan w:val="11"/>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EXPENSES OF SOLICITATION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70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2340" w:type="dxa"/>
            <w:vAlign w:val="bottom"/>
            <w:tcBorders>
              <w:bottom w:val="single" w:sz="8" w:color="CCEEFF"/>
            </w:tcBorders>
            <w:gridSpan w:val="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ANTI-HEDGING POLICY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OTHER MATTERS</w:t>
            </w:r>
          </w:p>
        </w:tc>
        <w:tc>
          <w:tcPr>
            <w:tcW w:w="5640" w:type="dxa"/>
            <w:vAlign w:val="bottom"/>
            <w:tcBorders>
              <w:bottom w:val="single" w:sz="8" w:color="CCEEFF"/>
            </w:tcBorders>
            <w:gridSpan w:val="2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ADVANCE NOTICE PROCEDURES AND STOCKHOLDER PROPOSALS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8"/>
          </w:tcPr>
          <w:p>
            <w:pPr>
              <w:spacing w:after="0" w:line="171" w:lineRule="exact"/>
              <w:rPr>
                <w:sz w:val="20"/>
                <w:szCs w:val="20"/>
                <w:color w:val="auto"/>
              </w:rPr>
            </w:pPr>
            <w:r>
              <w:rPr>
                <w:rFonts w:ascii="Times New Roman" w:cs="Times New Roman" w:eastAsia="Times New Roman" w:hAnsi="Times New Roman"/>
                <w:sz w:val="17"/>
                <w:szCs w:val="17"/>
                <w:color w:val="0000EE"/>
              </w:rPr>
              <w:t>APPENDIX A: AGRIFY CORPORATION 2022 OMNIBUS EQUITY INCENTIVE PLAN (AS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940" w:type="dxa"/>
            <w:vAlign w:val="bottom"/>
            <w:tcBorders>
              <w:top w:val="single" w:sz="8" w:color="0000EE"/>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EE"/>
              </w:rPr>
              <w:t>AMENDED)</w:t>
            </w:r>
          </w:p>
        </w:tc>
        <w:tc>
          <w:tcPr>
            <w:tcW w:w="5660" w:type="dxa"/>
            <w:vAlign w:val="bottom"/>
            <w:tcBorders>
              <w:top w:val="single" w:sz="8" w:color="0000EE"/>
            </w:tcBorders>
            <w:gridSpan w:val="24"/>
          </w:tcPr>
          <w:p>
            <w:pPr>
              <w:spacing w:after="0"/>
              <w:rPr>
                <w:sz w:val="16"/>
                <w:szCs w:val="16"/>
                <w:color w:val="auto"/>
              </w:rPr>
            </w:pPr>
          </w:p>
        </w:tc>
        <w:tc>
          <w:tcPr>
            <w:tcW w:w="300" w:type="dxa"/>
            <w:vAlign w:val="bottom"/>
            <w:gridSpan w:val="2"/>
          </w:tcPr>
          <w:p>
            <w:pPr>
              <w:spacing w:after="0"/>
              <w:rPr>
                <w:sz w:val="16"/>
                <w:szCs w:val="16"/>
                <w:color w:val="auto"/>
              </w:rPr>
            </w:pPr>
          </w:p>
        </w:tc>
        <w:tc>
          <w:tcPr>
            <w:tcW w:w="800" w:type="dxa"/>
            <w:vAlign w:val="bottom"/>
          </w:tcPr>
          <w:p>
            <w:pPr>
              <w:ind w:left="260"/>
              <w:spacing w:after="0" w:line="189" w:lineRule="exact"/>
              <w:rPr>
                <w:sz w:val="20"/>
                <w:szCs w:val="20"/>
                <w:color w:val="auto"/>
              </w:rPr>
            </w:pPr>
            <w:r>
              <w:rPr>
                <w:rFonts w:ascii="Times New Roman" w:cs="Times New Roman" w:eastAsia="Times New Roman" w:hAnsi="Times New Roman"/>
                <w:sz w:val="17"/>
                <w:szCs w:val="17"/>
                <w:color w:val="auto"/>
              </w:rPr>
              <w:t>A-1</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Information</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Annual Meeting of Stockholders of Agrify Corporation (the “Company” or “Agrify”) to be held on August 12, 2024, beginning at 10:00 a.m., Eastern Time, and any postponements or adjournments thereof (the “Annual Meeting”). This proxy statement was prepared at the direction of our Board of Directors to solicit your proxy for use at the Annual Meeting. On or about July 22, 2024, we are mailing to our stockholders our proxy statement, Annual Report and proxy materials.</w:t>
      </w:r>
    </w:p>
    <w:p>
      <w:pPr>
        <w:spacing w:after="0" w:line="316" w:lineRule="exact"/>
        <w:rPr>
          <w:sz w:val="20"/>
          <w:szCs w:val="20"/>
          <w:color w:val="auto"/>
        </w:rPr>
      </w:pPr>
    </w:p>
    <w:p>
      <w:pPr>
        <w:jc w:val="both"/>
        <w:ind w:left="580" w:right="579" w:firstLine="419"/>
        <w:spacing w:after="0" w:line="275" w:lineRule="auto"/>
        <w:rPr>
          <w:sz w:val="20"/>
          <w:szCs w:val="20"/>
          <w:color w:val="auto"/>
        </w:rPr>
      </w:pPr>
      <w:r>
        <w:rPr>
          <w:rFonts w:ascii="Times New Roman" w:cs="Times New Roman" w:eastAsia="Times New Roman" w:hAnsi="Times New Roman"/>
          <w:sz w:val="17"/>
          <w:szCs w:val="17"/>
          <w:color w:val="auto"/>
        </w:rPr>
        <w:t xml:space="preserve">To be admitted to the Annual Meeting at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Annual Meeting by following the instructions available on the meeting website during the meeting.</w:t>
      </w:r>
    </w:p>
    <w:p>
      <w:pPr>
        <w:spacing w:after="0" w:line="310" w:lineRule="exact"/>
        <w:rPr>
          <w:sz w:val="20"/>
          <w:szCs w:val="20"/>
          <w:color w:val="auto"/>
        </w:rPr>
      </w:pPr>
    </w:p>
    <w:p>
      <w:pPr>
        <w:ind w:left="1000" w:hanging="426"/>
        <w:spacing w:after="0"/>
        <w:tabs>
          <w:tab w:leader="none" w:pos="10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jc w:val="both"/>
        <w:ind w:left="1000" w:right="579" w:hanging="426"/>
        <w:spacing w:after="0" w:line="270" w:lineRule="auto"/>
        <w:tabs>
          <w:tab w:leader="none" w:pos="97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Annual Meeting. Certain directors, officers and employees of Agrify may (without compensation) solicit proxies on our behalf by mail, phone, fax, Internet or at the Annual Meeting.</w:t>
      </w:r>
    </w:p>
    <w:p>
      <w:pPr>
        <w:spacing w:after="0" w:line="101" w:lineRule="exact"/>
        <w:rPr>
          <w:sz w:val="20"/>
          <w:szCs w:val="20"/>
          <w:color w:val="auto"/>
        </w:rPr>
      </w:pPr>
    </w:p>
    <w:p>
      <w:pPr>
        <w:ind w:left="1000" w:hanging="426"/>
        <w:spacing w:after="0"/>
        <w:tabs>
          <w:tab w:leader="none" w:pos="10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jc w:val="both"/>
        <w:ind w:left="1000" w:right="599" w:hanging="426"/>
        <w:spacing w:after="0" w:line="276" w:lineRule="auto"/>
        <w:tabs>
          <w:tab w:leader="none" w:pos="9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any solicitation of proxies. Agrify also will reimburse banks, brokers, custodians, nominees and fiduciaries for their reasonable charges and expenses to forward our proxy materials to the beneficial owners of Agrify Common Stock.</w:t>
      </w:r>
    </w:p>
    <w:p>
      <w:pPr>
        <w:spacing w:after="0" w:line="83" w:lineRule="exact"/>
        <w:rPr>
          <w:sz w:val="20"/>
          <w:szCs w:val="20"/>
          <w:color w:val="auto"/>
        </w:rPr>
      </w:pPr>
    </w:p>
    <w:p>
      <w:pPr>
        <w:ind w:left="1000" w:hanging="426"/>
        <w:spacing w:after="0"/>
        <w:tabs>
          <w:tab w:leader="none" w:pos="10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80" w:hanging="406"/>
        <w:spacing w:after="0"/>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six items scheduled to be voted on at the Annual Meeting:</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The election of Raymond Chang, Max Holtzman, I-Tseng Jenny Chan, Timothy Mahoney, and Krishnan Varier to the Board of Directors;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The ratification of the appointment of GuzmanGray as our independent registered public accounting firm for the fiscal year ending December 31, 2024 (the “Auditor Appointment”);</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The approval of 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 (the “Reverse Stock Split”);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4 — The approval, as required by Nasdaq Listing Rule 5635, of an amendment to the pre-funded warrants issued by the Company on May 21, 2024 to increase in the number of shares of Common Stock underlying such warrants upon the occurrence of certain equity issuances (the “Warrant Adjustment Proposal”).</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5 — The approval of an amendment to the Agrify Corporation 2022 Omnibus Equity Incentive Plan to increase the number of shares of Common Stock available for issuance thereunder by 2,500,000 (the “Equity Plan Proposal”); and</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6 — The approval of an adjournment of the Annual Meeting in order to solicit additional proxies if there are not sufficient shares to be voted in favor of any of the foregoing proposals at the time of the Annual Meeting (the “Adjournment Proposal”).</w:t>
      </w:r>
    </w:p>
    <w:p>
      <w:pPr>
        <w:spacing w:after="0" w:line="96" w:lineRule="exact"/>
        <w:rPr>
          <w:sz w:val="20"/>
          <w:szCs w:val="20"/>
          <w:color w:val="auto"/>
        </w:rPr>
      </w:pPr>
    </w:p>
    <w:p>
      <w:pPr>
        <w:ind w:left="1000" w:hanging="426"/>
        <w:spacing w:after="0"/>
        <w:tabs>
          <w:tab w:leader="none" w:pos="10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47" w:lineRule="exact"/>
        <w:rPr>
          <w:sz w:val="20"/>
          <w:szCs w:val="20"/>
          <w:color w:val="auto"/>
        </w:rPr>
      </w:pPr>
    </w:p>
    <w:p>
      <w:pPr>
        <w:jc w:val="both"/>
        <w:ind w:left="1000" w:right="579" w:hanging="426"/>
        <w:spacing w:after="0" w:line="276" w:lineRule="auto"/>
        <w:tabs>
          <w:tab w:leader="none" w:pos="97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July 17, 2024, the record date for the Annual Meeting (the “Record Date”), can vote. If you owned Common Stock on the Record Date, you have one vote per share for each Item up for vote at the Annual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58" w:lineRule="exact"/>
        <w:rPr>
          <w:sz w:val="20"/>
          <w:szCs w:val="20"/>
          <w:color w:val="auto"/>
        </w:rPr>
      </w:pPr>
    </w:p>
    <w:p>
      <w:pPr>
        <w:jc w:val="both"/>
        <w:ind w:left="1000" w:right="579" w:hanging="426"/>
        <w:spacing w:after="0" w:line="278" w:lineRule="auto"/>
        <w:tabs>
          <w:tab w:leader="none" w:pos="9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Annual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96" w:lineRule="exact"/>
        <w:rPr>
          <w:sz w:val="20"/>
          <w:szCs w:val="20"/>
          <w:color w:val="auto"/>
        </w:rPr>
      </w:pPr>
    </w:p>
    <w:p>
      <w:pPr>
        <w:jc w:val="both"/>
        <w:ind w:left="1000" w:right="579"/>
        <w:spacing w:after="0" w:line="263" w:lineRule="auto"/>
        <w:rPr>
          <w:sz w:val="20"/>
          <w:szCs w:val="20"/>
          <w:color w:val="auto"/>
        </w:rPr>
      </w:pPr>
      <w:r>
        <w:rPr>
          <w:rFonts w:ascii="Times New Roman" w:cs="Times New Roman" w:eastAsia="Times New Roman" w:hAnsi="Times New Roman"/>
          <w:sz w:val="17"/>
          <w:szCs w:val="17"/>
          <w:color w:val="auto"/>
        </w:rPr>
        <w:t xml:space="preserve">You will be able to participate in the Annual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xml:space="preserve">.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type your question into the “Ask a Question” field,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click “Submit.” Questions pertinent to meeting matters will be read and answered during the meeting, subject to time constraints.</w:t>
      </w:r>
    </w:p>
    <w:p>
      <w:pPr>
        <w:spacing w:after="0" w:line="308"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79" w:lineRule="exact"/>
        <w:rPr>
          <w:sz w:val="20"/>
          <w:szCs w:val="20"/>
          <w:color w:val="auto"/>
        </w:rPr>
      </w:pPr>
    </w:p>
    <w:p>
      <w:pPr>
        <w:ind w:left="1000" w:hanging="426"/>
        <w:spacing w:after="0"/>
        <w:tabs>
          <w:tab w:leader="none" w:pos="10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60" w:lineRule="exact"/>
        <w:rPr>
          <w:sz w:val="20"/>
          <w:szCs w:val="20"/>
          <w:color w:val="auto"/>
        </w:rPr>
      </w:pPr>
    </w:p>
    <w:p>
      <w:pPr>
        <w:jc w:val="both"/>
        <w:ind w:left="1000" w:right="599" w:hanging="426"/>
        <w:spacing w:after="0" w:line="267" w:lineRule="auto"/>
        <w:tabs>
          <w:tab w:leader="none" w:pos="97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August 11, 2024.</w:t>
      </w:r>
    </w:p>
    <w:p>
      <w:pPr>
        <w:spacing w:after="0" w:line="89" w:lineRule="exact"/>
        <w:rPr>
          <w:sz w:val="20"/>
          <w:szCs w:val="20"/>
          <w:color w:val="auto"/>
        </w:rPr>
      </w:pPr>
    </w:p>
    <w:p>
      <w:pPr>
        <w:ind w:left="1000" w:hanging="426"/>
        <w:spacing w:after="0"/>
        <w:tabs>
          <w:tab w:leader="none" w:pos="100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60" w:lineRule="exact"/>
        <w:rPr>
          <w:sz w:val="20"/>
          <w:szCs w:val="20"/>
          <w:color w:val="auto"/>
        </w:rPr>
      </w:pPr>
    </w:p>
    <w:p>
      <w:pPr>
        <w:ind w:left="980" w:hanging="406"/>
        <w:spacing w:after="0"/>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for each of the seven proposals as follows:</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“WITHHOLD” </w:t>
      </w:r>
      <w:r>
        <w:rPr>
          <w:rFonts w:ascii="Times New Roman" w:cs="Times New Roman" w:eastAsia="Times New Roman" w:hAnsi="Times New Roman"/>
          <w:sz w:val="17"/>
          <w:szCs w:val="17"/>
          <w:color w:val="auto"/>
        </w:rPr>
        <w:t>with respect to each nominee to our Board of Directors specified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1 of this proxy statement;</w:t>
      </w:r>
    </w:p>
    <w:p>
      <w:pPr>
        <w:spacing w:after="0" w:line="63"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ratification and approval of the Auditor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Appointment described in Item 2 of this proxy statement;</w:t>
      </w:r>
    </w:p>
    <w:p>
      <w:pPr>
        <w:spacing w:after="0" w:line="76"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Reverse Stock Split described in Item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Warrant Adjustment Proposal described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Item 4 of this proxy statement;</w:t>
      </w:r>
    </w:p>
    <w:p>
      <w:pPr>
        <w:spacing w:after="0" w:line="63"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Equity Plan Proposal described in Item 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Adjournment Proposal described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6 of this proxy statement.</w:t>
      </w:r>
    </w:p>
    <w:p>
      <w:pPr>
        <w:spacing w:after="0" w:line="78"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nominees for director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of Items 2 through 6. Giving a proxy will not affect your right to vote your shares at the Annual Meeting. If you attend the Annual Meeting, you may revoke your proxy and vote at the Annual Meeting if you wish.</w:t>
      </w:r>
    </w:p>
    <w:p>
      <w:pPr>
        <w:spacing w:after="0" w:line="88" w:lineRule="exact"/>
        <w:rPr>
          <w:sz w:val="20"/>
          <w:szCs w:val="20"/>
          <w:color w:val="auto"/>
        </w:rPr>
      </w:pPr>
    </w:p>
    <w:p>
      <w:pPr>
        <w:ind w:left="1000" w:hanging="426"/>
        <w:spacing w:after="0"/>
        <w:tabs>
          <w:tab w:leader="none" w:pos="100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withhold my vote for an individual director?</w:t>
      </w:r>
    </w:p>
    <w:p>
      <w:pPr>
        <w:spacing w:after="0" w:line="160" w:lineRule="exact"/>
        <w:rPr>
          <w:sz w:val="20"/>
          <w:szCs w:val="20"/>
          <w:color w:val="auto"/>
        </w:rPr>
      </w:pPr>
    </w:p>
    <w:p>
      <w:pPr>
        <w:ind w:left="980" w:hanging="406"/>
        <w:spacing w:after="0"/>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Withheld votes are not included in the vote tally for the election of directors. If you wish your shares to be</w:t>
      </w:r>
    </w:p>
    <w:p>
      <w:pPr>
        <w:spacing w:after="0" w:line="32" w:lineRule="exact"/>
        <w:rPr>
          <w:sz w:val="20"/>
          <w:szCs w:val="20"/>
          <w:color w:val="auto"/>
        </w:rPr>
      </w:pPr>
    </w:p>
    <w:p>
      <w:pPr>
        <w:jc w:val="both"/>
        <w:ind w:left="1000" w:right="599"/>
        <w:spacing w:after="0" w:line="263" w:lineRule="auto"/>
        <w:rPr>
          <w:sz w:val="20"/>
          <w:szCs w:val="20"/>
          <w:color w:val="auto"/>
        </w:rPr>
      </w:pPr>
      <w:r>
        <w:rPr>
          <w:rFonts w:ascii="Times New Roman" w:cs="Times New Roman" w:eastAsia="Times New Roman" w:hAnsi="Times New Roman"/>
          <w:sz w:val="17"/>
          <w:szCs w:val="17"/>
          <w:color w:val="auto"/>
        </w:rPr>
        <w:t xml:space="preserve">voted for some nominees, and not voted for others, then indicate the name(s) of the nominee(s) for whom you are withholding authority to vote by writing the name(s) of such nominee(s) in the space provided in the proxy. If you wish to withhold authority to vote for all nominees, check the box marked </w:t>
      </w:r>
      <w:r>
        <w:rPr>
          <w:rFonts w:ascii="Times New Roman" w:cs="Times New Roman" w:eastAsia="Times New Roman" w:hAnsi="Times New Roman"/>
          <w:sz w:val="17"/>
          <w:szCs w:val="17"/>
          <w:b w:val="1"/>
          <w:bCs w:val="1"/>
          <w:color w:val="auto"/>
        </w:rPr>
        <w:t>“WITHHOLD ALL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60" w:lineRule="exact"/>
        <w:rPr>
          <w:sz w:val="20"/>
          <w:szCs w:val="20"/>
          <w:color w:val="auto"/>
        </w:rPr>
      </w:pPr>
    </w:p>
    <w:p>
      <w:pPr>
        <w:jc w:val="both"/>
        <w:ind w:left="1000" w:right="579" w:hanging="426"/>
        <w:spacing w:after="0" w:line="265" w:lineRule="auto"/>
        <w:tabs>
          <w:tab w:leader="none" w:pos="9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104" w:lineRule="exact"/>
        <w:rPr>
          <w:sz w:val="20"/>
          <w:szCs w:val="20"/>
          <w:color w:val="auto"/>
        </w:rPr>
      </w:pPr>
    </w:p>
    <w:p>
      <w:pPr>
        <w:ind w:left="1000" w:hanging="426"/>
        <w:spacing w:after="0"/>
        <w:tabs>
          <w:tab w:leader="none" w:pos="100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47" w:lineRule="exact"/>
        <w:rPr>
          <w:sz w:val="20"/>
          <w:szCs w:val="20"/>
          <w:color w:val="auto"/>
        </w:rPr>
      </w:pPr>
    </w:p>
    <w:p>
      <w:pPr>
        <w:jc w:val="both"/>
        <w:ind w:left="1000" w:right="579" w:hanging="426"/>
        <w:spacing w:after="0" w:line="263" w:lineRule="auto"/>
        <w:tabs>
          <w:tab w:leader="none" w:pos="97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election of directors, or Item 4, the Warrant Adjustment Proposal, Item 5, the Equity Plan Proposal, and Item 6, the Adjournment Proposal. Brokers will be able to vote on the approval of the Item 2, the Auditor Appointment, and Item 3, the Reverse Stock Split, in the absence of your instructions as those matters are considered “discretionary” items.</w:t>
      </w:r>
    </w:p>
    <w:p>
      <w:pPr>
        <w:spacing w:after="0" w:line="110" w:lineRule="exact"/>
        <w:rPr>
          <w:sz w:val="20"/>
          <w:szCs w:val="20"/>
          <w:color w:val="auto"/>
        </w:rPr>
      </w:pPr>
    </w:p>
    <w:p>
      <w:pPr>
        <w:ind w:left="1000" w:right="599" w:hanging="426"/>
        <w:spacing w:after="0" w:line="299" w:lineRule="auto"/>
        <w:tabs>
          <w:tab w:leader="none" w:pos="997"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the proposals at the Annual Meeting?</w:t>
      </w:r>
    </w:p>
    <w:p>
      <w:pPr>
        <w:spacing w:after="0" w:line="78" w:lineRule="exact"/>
        <w:rPr>
          <w:sz w:val="20"/>
          <w:szCs w:val="20"/>
          <w:color w:val="auto"/>
        </w:rPr>
      </w:pPr>
    </w:p>
    <w:p>
      <w:pPr>
        <w:jc w:val="both"/>
        <w:ind w:left="1000" w:right="579" w:hanging="426"/>
        <w:spacing w:after="0" w:line="260" w:lineRule="auto"/>
        <w:tabs>
          <w:tab w:leader="none" w:pos="97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Broker non-votes and abstentions on any matter are included in determining the number of shares represented for the purpose of determining whether a quorum is present at a stockholders’ meeting. Because directors will be elected by a plurality of the votes cast (i.e., the five director nominees receiving the greatest number of votes will be elected) at the Annual Meeting, an abstention would have no effect on the vote concerning the election of directors and thus is not being offered as a voting option in the election of directors under Item 1. Under Nevada law, broker non-votes are not considered to be entitled to vote on the matter and, thus, will not have any impact on the outcome of Items 4, 5, and 6. Although abstentions are considered present and entitled to vote on a matter, abstentions are not considered to be votes cast under Nevada law, and thus will have no impact on the outcome of Items 4, 5, and 6, each of which requires the favorable vote of a majority of the votes cast at the Annual Meeting by stockholders entitled to vote on the matter. </w:t>
      </w:r>
      <w:r>
        <w:rPr>
          <w:rFonts w:ascii="Times New Roman" w:cs="Times New Roman" w:eastAsia="Times New Roman" w:hAnsi="Times New Roman"/>
          <w:sz w:val="17"/>
          <w:szCs w:val="17"/>
          <w:b w:val="1"/>
          <w:bCs w:val="1"/>
          <w:color w:val="auto"/>
        </w:rPr>
        <w:t>Item 3 requires the favorable vote of a majority of our outstanding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 of Common Stock, so any shares not voted (whether by abstention or otherwise) will have the same effect as a vote “against” Item 3. Accordingly, it is important that beneficial owners instruct their brokers how they wish to vote their shares on Item 3.</w:t>
      </w:r>
    </w:p>
    <w:p>
      <w:pPr>
        <w:spacing w:after="0" w:line="98" w:lineRule="exact"/>
        <w:rPr>
          <w:sz w:val="20"/>
          <w:szCs w:val="20"/>
          <w:color w:val="auto"/>
        </w:rPr>
      </w:pPr>
    </w:p>
    <w:p>
      <w:pPr>
        <w:ind w:left="1000" w:hanging="426"/>
        <w:spacing w:after="0"/>
        <w:tabs>
          <w:tab w:leader="none" w:pos="100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60" w:lineRule="exact"/>
        <w:rPr>
          <w:sz w:val="20"/>
          <w:szCs w:val="20"/>
          <w:color w:val="auto"/>
        </w:rPr>
      </w:pPr>
    </w:p>
    <w:p>
      <w:pPr>
        <w:jc w:val="both"/>
        <w:ind w:left="1000" w:right="579" w:hanging="426"/>
        <w:spacing w:after="0" w:line="267" w:lineRule="auto"/>
        <w:tabs>
          <w:tab w:leader="none" w:pos="97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Annual Meeting will not by itself revoke a previously granted proxy; however, delivery of a later dated proxy before the polls close at the Annual Meeting will revoke a proxy previously granted.</w:t>
      </w:r>
    </w:p>
    <w:p>
      <w:pPr>
        <w:spacing w:after="0" w:line="103" w:lineRule="exact"/>
        <w:rPr>
          <w:sz w:val="20"/>
          <w:szCs w:val="20"/>
          <w:color w:val="auto"/>
        </w:rPr>
      </w:pPr>
    </w:p>
    <w:p>
      <w:pPr>
        <w:ind w:left="1000" w:hanging="426"/>
        <w:spacing w:after="0"/>
        <w:tabs>
          <w:tab w:leader="none" w:pos="10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47" w:lineRule="exact"/>
        <w:rPr>
          <w:sz w:val="20"/>
          <w:szCs w:val="20"/>
          <w:color w:val="auto"/>
        </w:rPr>
      </w:pPr>
    </w:p>
    <w:p>
      <w:pPr>
        <w:ind w:left="980" w:hanging="406"/>
        <w:spacing w:after="0"/>
        <w:tabs>
          <w:tab w:leader="none" w:pos="9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of the five nominees to our Board of Directors as described in Item 1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76"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and approval of the Auditor Appointment as described in Item 2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w:t>
      </w:r>
    </w:p>
    <w:p>
      <w:pPr>
        <w:spacing w:after="0" w:line="63"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Reverse Stock Split described in Item 3 of this proxy statement;</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69" w:lineRule="auto"/>
        <w:tabs>
          <w:tab w:leader="none" w:pos="141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Warrant Adjustment Proposal described in Item 4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34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Equity Plan Proposal described in Item 5 of this proxy statement;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Adjournment Proposal described in Item 6 of this proxy statement.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jc w:val="both"/>
        <w:ind w:left="1000" w:right="599" w:hanging="426"/>
        <w:spacing w:after="0" w:line="270" w:lineRule="auto"/>
        <w:tabs>
          <w:tab w:leader="none" w:pos="97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July 17, 2024, we had 14,230,004 shares of Common Stock, $0.001 par value, outstanding and 61 holders of record. Each share of our Common Stock is entitled to one vote per share. The holders of a majority of the total outstanding shares entitled to vote, present at the Annual Meeting or represented by proxy, will constitute a quorum for the transaction of business at the Annual Meeting.</w:t>
      </w:r>
    </w:p>
    <w:p>
      <w:pPr>
        <w:spacing w:after="0" w:line="101" w:lineRule="exact"/>
        <w:rPr>
          <w:sz w:val="20"/>
          <w:szCs w:val="20"/>
          <w:color w:val="auto"/>
        </w:rPr>
      </w:pPr>
    </w:p>
    <w:p>
      <w:pPr>
        <w:ind w:left="1000" w:hanging="426"/>
        <w:spacing w:after="0"/>
        <w:tabs>
          <w:tab w:leader="none" w:pos="100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47" w:lineRule="exact"/>
        <w:rPr>
          <w:sz w:val="20"/>
          <w:szCs w:val="20"/>
          <w:color w:val="auto"/>
        </w:rPr>
      </w:pPr>
    </w:p>
    <w:p>
      <w:pPr>
        <w:jc w:val="both"/>
        <w:ind w:left="1000" w:right="579" w:hanging="426"/>
        <w:spacing w:after="0" w:line="270" w:lineRule="auto"/>
        <w:tabs>
          <w:tab w:leader="none" w:pos="97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Annual Meeting, then the stockholders who are represented may adjourn the Annual Meeting until a quorum is present. The time and place of an adjourned meeting, if necessary, would be announced at the time the adjournment is taken and no other notice would be given. Voting cannot take place unless a quorum is present.</w:t>
      </w:r>
    </w:p>
    <w:p>
      <w:pPr>
        <w:spacing w:after="0" w:line="101" w:lineRule="exact"/>
        <w:rPr>
          <w:sz w:val="20"/>
          <w:szCs w:val="20"/>
          <w:color w:val="auto"/>
        </w:rPr>
      </w:pPr>
    </w:p>
    <w:p>
      <w:pPr>
        <w:ind w:left="1000" w:hanging="426"/>
        <w:spacing w:after="0"/>
        <w:tabs>
          <w:tab w:leader="none" w:pos="100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60" w:lineRule="exact"/>
        <w:rPr>
          <w:sz w:val="20"/>
          <w:szCs w:val="20"/>
          <w:color w:val="auto"/>
        </w:rPr>
      </w:pPr>
    </w:p>
    <w:p>
      <w:pPr>
        <w:ind w:left="980" w:hanging="406"/>
        <w:spacing w:after="0"/>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are elected by a plurality of the votes cast. This means that the five nominees will be elected if they receive more affirmative votes than any other nominees.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ratify the Auditor Appointment in Item 2.</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Reverse Stock Split in Item 3.</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Warrant Adjustment Proposal in Item 4.</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Equity Plan Proposal in Item 5.</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Adjournment Proposal in Item 6.</w:t>
      </w:r>
    </w:p>
    <w:p>
      <w:pPr>
        <w:spacing w:after="0" w:line="66" w:lineRule="exact"/>
        <w:rPr>
          <w:sz w:val="20"/>
          <w:szCs w:val="20"/>
          <w:color w:val="auto"/>
        </w:rPr>
      </w:pPr>
    </w:p>
    <w:p>
      <w:pPr>
        <w:ind w:left="1000" w:hanging="426"/>
        <w:spacing w:after="0"/>
        <w:tabs>
          <w:tab w:leader="none" w:pos="100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60" w:lineRule="exact"/>
        <w:rPr>
          <w:sz w:val="20"/>
          <w:szCs w:val="20"/>
          <w:color w:val="auto"/>
        </w:rPr>
      </w:pPr>
    </w:p>
    <w:p>
      <w:pPr>
        <w:jc w:val="both"/>
        <w:ind w:left="1000" w:right="599" w:hanging="426"/>
        <w:spacing w:after="0" w:line="267" w:lineRule="auto"/>
        <w:tabs>
          <w:tab w:leader="none" w:pos="97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limit the matters presented at an Annual Meeting to those in a notice of Annual Meeting and those otherwise properly presented at an Annual Meeting. Since none of our stockholders provided notice for any other business matters during the applicable period set forth in our Amended and Restated Bylaws, no matters other than those included in the Notice of Annual Meeting may properly come before the Annual Meeting.</w:t>
      </w:r>
    </w:p>
    <w:p>
      <w:pPr>
        <w:spacing w:after="0" w:line="103" w:lineRule="exact"/>
        <w:rPr>
          <w:sz w:val="20"/>
          <w:szCs w:val="20"/>
          <w:color w:val="auto"/>
        </w:rPr>
      </w:pPr>
    </w:p>
    <w:p>
      <w:pPr>
        <w:ind w:left="1000" w:hanging="426"/>
        <w:spacing w:after="0"/>
        <w:tabs>
          <w:tab w:leader="none" w:pos="10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47" w:lineRule="exact"/>
        <w:rPr>
          <w:sz w:val="20"/>
          <w:szCs w:val="20"/>
          <w:color w:val="auto"/>
        </w:rPr>
      </w:pPr>
    </w:p>
    <w:p>
      <w:pPr>
        <w:jc w:val="center"/>
        <w:ind w:left="4460" w:right="1179" w:hanging="3886"/>
        <w:spacing w:after="0" w:line="372" w:lineRule="auto"/>
        <w:tabs>
          <w:tab w:leader="none" w:pos="97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193675</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 ELECTION OF DIRECTORS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(which is sometimes referred to in this proxy statement as our “Board”) currently consists of Raymond Chang, Max Holtzman, I-Tseng Jenny Chan, Timothy Mahoney and Krishnan Varier. You and the other stockholders are requested to vote for the nominees set forth below to serve as directors until the 2025 Annual Meeting of Stockholders or until their successors are duly elected and qualified. The individuals named as proxies will vote the enclosed proxy for the election of all nominees listed below, unless you direct them to withhold your votes. If any nominee becomes unable to serve as a director before the Annual Meeting (or decides not to serve), the individuals named as proxies may vote for a substitute or we may reduce the number of members of the Board. There are no family relationships among any of our executive officers or directors.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 quorum is present, individual nominees will be elected by a plurality of the votes of shares present at the Annual Meeting or represented by proxy at the Annual Meeting. This means that the five nominees will be elected if they receive more affirmative votes than any other nominees.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each of the following nominees.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director nominees, the year they became directors, their principal occupations or employment for at least the past five years and certain of their other directorships.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 for Election</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040" w:type="dxa"/>
            <w:vAlign w:val="bottom"/>
          </w:tcPr>
          <w:p>
            <w:pPr>
              <w:ind w:left="26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6"/>
                <w:szCs w:val="16"/>
                <w:color w:val="auto"/>
              </w:rPr>
            </w:pPr>
          </w:p>
        </w:tc>
        <w:tc>
          <w:tcPr>
            <w:tcW w:w="3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53</w:t>
            </w:r>
          </w:p>
        </w:tc>
        <w:tc>
          <w:tcPr>
            <w:tcW w:w="100" w:type="dxa"/>
            <w:vAlign w:val="bottom"/>
            <w:vMerge w:val="continue"/>
          </w:tcPr>
          <w:p>
            <w:pPr>
              <w:spacing w:after="0"/>
              <w:rPr>
                <w:sz w:val="16"/>
                <w:szCs w:val="16"/>
                <w:color w:val="auto"/>
              </w:rPr>
            </w:pPr>
          </w:p>
        </w:tc>
        <w:tc>
          <w:tcPr>
            <w:tcW w:w="6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Chang has served as Chief Executive Officer and Chairman of the Board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Directors since June 2019 and served as the Company’s President from June 2019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November 2021. From September 2015 through May 2019, Mr. Chang was a lecturer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in the Practice of Management at the Yale School of Management and was an Adjunct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Professor at Babson College as well as a managing director at NXT Ventures.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1997, Mr. Chang founded GigaMedia, the first broadband company in Asia. In 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this company went public on Nasdaq (Nasdaq: GIGM) and raised $280 million, one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of the largest IPOs for an internet company prior to 2000. In 2007, Mr. Chang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founded Luckypai, a leading TV shopping company in China and raised venture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financing from Lightspeed Venture Partners, DT Capital, Intel, Lehman Brothers,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Goldman Sachs. Luckypai was sold to Lotte Group, which is one of the largest Asian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conglomerates based in Korea, for $160 million in 2010. From 2012 to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Mr. Chang served as the chief executive officer of New Focus Auto, the largest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automobile aftersales service company listed on the Hong Kong Stock Exchange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(HKSE: 0360.HK). In 2014, Mr. Chang completed the sale of New Focus Auto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CDH Investments, which is one of the largest private equity firms based in Asia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raised over $150 million for the company. In 2000, Mr. Chang was selected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Fortune as one of the twenty-five “Next Generation Global Leaders Under 40” and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Business Week Asia as one of Asia’s 20 most influential new economy leaders in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21 century. He was also featured in 2005 as a panel speaker at the World Economic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Forum in Zurich, Switzerland. Mr. Chang was the former treasurer/elected board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member of Shanghai American School and was a member of the Young Presidents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Organization — Shanghai Chapter. Mr. Chang received his BA from New York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University, MBA from Yale School of Management, and MPA from Harvard JFK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School of Government. Mr. Chang has served as a Director of our Company since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June 2019.</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3880" w:type="dxa"/>
            <w:vAlign w:val="bottom"/>
            <w:gridSpan w:val="3"/>
          </w:tcPr>
          <w:p>
            <w:pPr>
              <w:jc w:val="center"/>
              <w:ind w:left="2053"/>
              <w:spacing w:after="0"/>
              <w:rPr>
                <w:sz w:val="20"/>
                <w:szCs w:val="20"/>
                <w:color w:val="auto"/>
              </w:rPr>
            </w:pPr>
            <w:r>
              <w:rPr>
                <w:rFonts w:ascii="Times New Roman" w:cs="Times New Roman" w:eastAsia="Times New Roman" w:hAnsi="Times New Roman"/>
                <w:sz w:val="16"/>
                <w:szCs w:val="16"/>
                <w:b w:val="1"/>
                <w:bCs w:val="1"/>
                <w:color w:val="auto"/>
                <w:w w:val="96"/>
              </w:rPr>
              <w:t>Experience</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gridSpan w:val="5"/>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Max Holtzman</w:t>
            </w:r>
          </w:p>
        </w:tc>
        <w:tc>
          <w:tcPr>
            <w:tcW w:w="100" w:type="dxa"/>
            <w:vAlign w:val="bottom"/>
            <w:vMerge w:val="continue"/>
          </w:tcPr>
          <w:p>
            <w:pPr>
              <w:spacing w:after="0"/>
              <w:rPr>
                <w:sz w:val="16"/>
                <w:szCs w:val="16"/>
                <w:color w:val="auto"/>
              </w:rPr>
            </w:pPr>
          </w:p>
        </w:tc>
        <w:tc>
          <w:tcPr>
            <w:tcW w:w="3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54</w:t>
            </w:r>
          </w:p>
        </w:tc>
        <w:tc>
          <w:tcPr>
            <w:tcW w:w="100" w:type="dxa"/>
            <w:vAlign w:val="bottom"/>
            <w:vMerge w:val="continue"/>
          </w:tcPr>
          <w:p>
            <w:pPr>
              <w:spacing w:after="0"/>
              <w:rPr>
                <w:sz w:val="16"/>
                <w:szCs w:val="16"/>
                <w:color w:val="auto"/>
              </w:rPr>
            </w:pPr>
          </w:p>
        </w:tc>
        <w:tc>
          <w:tcPr>
            <w:tcW w:w="6040" w:type="dxa"/>
            <w:vAlign w:val="bottom"/>
            <w:gridSpan w:val="5"/>
          </w:tcPr>
          <w:p>
            <w:pPr>
              <w:spacing w:after="0" w:line="185" w:lineRule="exact"/>
              <w:rPr>
                <w:sz w:val="20"/>
                <w:szCs w:val="20"/>
                <w:color w:val="auto"/>
              </w:rPr>
            </w:pPr>
            <w:r>
              <w:rPr>
                <w:rFonts w:ascii="Times New Roman" w:cs="Times New Roman" w:eastAsia="Times New Roman" w:hAnsi="Times New Roman"/>
                <w:sz w:val="17"/>
                <w:szCs w:val="17"/>
                <w:color w:val="auto"/>
              </w:rPr>
              <w:t>Mr. Holtzman has served as a member of our Board of Directors since July 14, 2022.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has served as Principal at Ocean 14 Capital, a private equity impact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fund focused on the Blue Economy, since December 2021. Mr. Holtzman has also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served as Investments Principal at Pontos Aqua, LLC, which provides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advisory services in the global seafood and aquaculture space, since June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is a founding officer of Stronger America through Seafood,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strives to increase the production of healthy, sustainable, and affordable seafood in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United States. Mr. Holtzman previously served as the Vice Chairman of Capitol Peak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Asset Management, which focused on infrastructure projects and companies in Rural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America. Prior to Capitol Peak, Mr. Holtzman was appointed by President Obama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Senior Advisor to the United States Secretary of Agriculture. From 2009 to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advised the Secretary on the development of new public-private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partnerships, aquaculture, trade, biotechnology, and international food security.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also served as Acting Deputy Under Secretary for Farm and Foreign Agriculture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Services and as Acting Deputy Under Secretary of Marketing and Regulatory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Programs.  In  these  roles,  Mr.  Holtzman  represented  the  United  States  in  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negotiations with the Peoples Republic of China as a four-time Delegate on the Joint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Committee on Commerce and Trade, and he was regularly involved with a multitude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of international trade issues, trade missions, and trade negotiations. He also served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United States Chairman of the North American Biotechnology Initiative,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includes  the  United  States,  Canada,</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Mexico.</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Prior  to  this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appointment,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an attorney for over 25 years, provided strategic consulting to multi-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national companies related to transportation infrastructure, project finance, public-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private partnerships, health care, and government procurement. He also served as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City Attorney and Special Counsel to several municipalities. Mr. Holtzman has served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as a Board Member of The Arcadia Center for Sustainable Food and Agriculture,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Founding Chairman of Adopt-A-Classroom, and he has sat on the Global Advisory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Council of Secure System. Mr. Holtzman received his undergraduate degree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Agricultural Economics from the University of Florida’s Institute of Food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Agricultural Sciences and his law degree from the University of Miami.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I-Tseng</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Jenny</w:t>
            </w:r>
          </w:p>
        </w:tc>
        <w:tc>
          <w:tcPr>
            <w:tcW w:w="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4"/>
                <w:szCs w:val="24"/>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Ms. Chan is a nominee for election to our Board of Directors. Ms. Chan is a luxury</w:t>
            </w:r>
          </w:p>
        </w:tc>
        <w:tc>
          <w:tcPr>
            <w:tcW w:w="0" w:type="dxa"/>
            <w:vAlign w:val="bottom"/>
          </w:tcPr>
          <w:p>
            <w:pPr>
              <w:spacing w:after="0"/>
              <w:rPr>
                <w:sz w:val="1"/>
                <w:szCs w:val="1"/>
                <w:color w:val="auto"/>
              </w:rPr>
            </w:pPr>
          </w:p>
        </w:tc>
      </w:tr>
      <w:tr>
        <w:trPr>
          <w:trHeight w:val="210"/>
        </w:trPr>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brand professional with more than twenty years’ expertise in selling and curating rare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gems and antiques. From 2012 to 2018, Ms. Chan served as founder of Studio Rouge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  Taipei,  Taiwan,  where  she  was  responsible  for  jewelry  procurement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merchandise development. Prior to that, Ms. Chan served in various roles at De Beers,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Dior Joallerie, JP Collections, Nortel Networks and Thomasville Jewelry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Ms. Chan received a Bachelor of Engineering from McGill University and a Master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of Science at the University of Illinois.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4"/>
                <w:szCs w:val="24"/>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Mahoney is the owner of Caribou LLC, a strategic advisory firm he founded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2009 that consults with CEOs and their boards on managing systemic risk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maximizing shareholder value through the identification and capture of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opportunities. In March 2013, Mr. Mahoney also founded Cannae Policy Group,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Washington D.C. based public policy company, where he serves as a Chief Political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Strategist advising companies, associations, and governments on complex public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policy  issues.  Mr.  Mahoney  served</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as</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  U.S.</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for  Florida’s</w:t>
            </w:r>
          </w:p>
        </w:tc>
        <w:tc>
          <w:tcPr>
            <w:tcW w:w="0" w:type="dxa"/>
            <w:vAlign w:val="bottom"/>
          </w:tcPr>
          <w:p>
            <w:pPr>
              <w:spacing w:after="0"/>
              <w:rPr>
                <w:sz w:val="1"/>
                <w:szCs w:val="1"/>
                <w:color w:val="auto"/>
              </w:rPr>
            </w:pPr>
          </w:p>
        </w:tc>
      </w:tr>
    </w:tbl>
    <w:p>
      <w:pPr>
        <w:jc w:val="both"/>
        <w:ind w:left="2400" w:right="579"/>
        <w:spacing w:after="0" w:line="258" w:lineRule="auto"/>
        <w:rPr>
          <w:sz w:val="20"/>
          <w:szCs w:val="20"/>
          <w:color w:val="auto"/>
        </w:rPr>
      </w:pPr>
      <w:r>
        <w:rPr>
          <w:rFonts w:ascii="Times New Roman" w:cs="Times New Roman" w:eastAsia="Times New Roman" w:hAnsi="Times New Roman"/>
          <w:sz w:val="17"/>
          <w:szCs w:val="17"/>
          <w:color w:val="auto"/>
        </w:rPr>
        <w:t>16 congressional district from January 2007 to January 2009. From 1998 to 2007, Mr. Mahoney was a Co-Founder of vFinance, Inc., which subsequently acquired National Holdings Corporation. National Holdings Corporation has grown to become one of America’s leading middle-market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member of Agrify’s Board of Directors since December 2020.</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3"/>
          </w:tcPr>
          <w:p>
            <w:pPr>
              <w:jc w:val="center"/>
              <w:ind w:right="593"/>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48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Krishnan Varier</w:t>
            </w:r>
          </w:p>
        </w:tc>
        <w:tc>
          <w:tcPr>
            <w:tcW w:w="100" w:type="dxa"/>
            <w:vAlign w:val="bottom"/>
            <w:vMerge w:val="continue"/>
          </w:tcPr>
          <w:p>
            <w:pPr>
              <w:spacing w:after="0"/>
              <w:rPr>
                <w:sz w:val="16"/>
                <w:szCs w:val="16"/>
                <w:color w:val="auto"/>
              </w:rPr>
            </w:pPr>
          </w:p>
        </w:tc>
        <w:tc>
          <w:tcPr>
            <w:tcW w:w="3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44</w:t>
            </w:r>
          </w:p>
        </w:tc>
        <w:tc>
          <w:tcPr>
            <w:tcW w:w="100" w:type="dxa"/>
            <w:vAlign w:val="bottom"/>
            <w:vMerge w:val="continue"/>
          </w:tcPr>
          <w:p>
            <w:pPr>
              <w:spacing w:after="0"/>
              <w:rPr>
                <w:sz w:val="16"/>
                <w:szCs w:val="16"/>
                <w:color w:val="auto"/>
              </w:rPr>
            </w:pPr>
          </w:p>
        </w:tc>
        <w:tc>
          <w:tcPr>
            <w:tcW w:w="60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Mr. Varier joined Agrify’s Board of Directors in June 2020, after briefly serving as 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board observer. He is a Managing Partner and the Chief Investment Officer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Arcadian Capital Management, a Los Angeles, California based venture 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private equity firm particularly focused on investing in ancillary businesses related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cannabis and hemp industries. He has served in this role since joining Arcadian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2018 to help lead its principal investing activities, bringing more than 15 years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services and Wall Street deal-making experience. From 2016 through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Mr. Varier formed Varier Venture Consulting LLC to assist in the growth of early-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stage startup companies, primarily by providing strategic advice regarding 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raising strategies. From 2014 through 2016, Mr. Varier was an investment banker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Cowen  &amp;  Company,  where  he  covered  corporate  clients  in  the  healthcare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biotechnology industry. From 2013 through 2014, he was a Senior Investment Analyst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with Health Care REIT, which has since been re-branded as Welltower REIT, and is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leading</w:t>
            </w:r>
          </w:p>
        </w:tc>
        <w:tc>
          <w:tcPr>
            <w:tcW w:w="5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provider  of  real  estate  capital  to  seniors  housing  operators,  post-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acute healthcare providers and health systems. From 2011 through 2013, Mr. Varier</w:t>
            </w:r>
          </w:p>
        </w:tc>
        <w:tc>
          <w:tcPr>
            <w:tcW w:w="0" w:type="dxa"/>
            <w:vAlign w:val="bottom"/>
          </w:tcPr>
          <w:p>
            <w:pPr>
              <w:spacing w:after="0"/>
              <w:rPr>
                <w:sz w:val="1"/>
                <w:szCs w:val="1"/>
                <w:color w:val="auto"/>
              </w:rPr>
            </w:pPr>
          </w:p>
        </w:tc>
      </w:tr>
    </w:tbl>
    <w:p>
      <w:pPr>
        <w:jc w:val="both"/>
        <w:ind w:left="2400" w:right="579"/>
        <w:spacing w:after="0" w:line="259" w:lineRule="auto"/>
        <w:rPr>
          <w:sz w:val="20"/>
          <w:szCs w:val="20"/>
          <w:color w:val="auto"/>
        </w:rPr>
      </w:pPr>
      <w:r>
        <w:rPr>
          <w:rFonts w:ascii="Times New Roman" w:cs="Times New Roman" w:eastAsia="Times New Roman" w:hAnsi="Times New Roman"/>
          <w:sz w:val="17"/>
          <w:szCs w:val="17"/>
          <w:color w:val="auto"/>
        </w:rPr>
        <w:t>was an investment banker in BofA-Merrill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 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currently consists of five directors. The Board has determined that Max Holtzman, Timothy Mahoney and Krishnan Varier are all “Independent” directors under the Nasdaq listing standards. Leonard Sokolow resigned as a member of the Board on May 17, 2024.</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The Board currently has four standing committees consisting of: the Nominating and Corporate Governance Committee, the Compensation Committee, and the Audit Committee and the Mergers and Acquisitions Committee. No member of the Audit, Compensation or Nominating and Corporate Governance Committee is an employee of the Company or its subsidiaries, and all are currently independent as defined by the Nasdaq listing standards.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xml:space="preserve"> Please note that the information contained on the Company website is not incorporated by reference in, or considered to be a part of, this proxy statement.</w:t>
      </w:r>
    </w:p>
    <w:p>
      <w:pPr>
        <w:spacing w:after="0" w:line="1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current members of the Committees are identified below:</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Nominating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and Corporate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Mergers and</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 (Chair)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X (Chair)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 (Chair)</w:t>
            </w:r>
          </w:p>
        </w:tc>
      </w:tr>
      <w:tr>
        <w:trPr>
          <w:trHeight w:val="40"/>
        </w:trPr>
        <w:tc>
          <w:tcPr>
            <w:tcW w:w="2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The current members of the Nominating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Governance Committee are directors Holtzman, who chairs the committee, Mahoney and Varier. Each of these directors is independent as defined under applicable Nasdaq listing requirements. This Committee’s responsibilities include the selection of potential candidates for the Board.</w:t>
      </w:r>
    </w:p>
    <w:p>
      <w:pPr>
        <w:spacing w:after="0" w:line="9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The current members of the Compensation Committee are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Mahoney, who chairs the committee, and Holtzman. Both of these directors are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spacing w:after="0" w:line="9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current members of the Audit Committee are directors Varier, who chairs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Holtzman, and Mahoney. Mr. Sokolow resigned from the Audit Committee on May 17, 2024 and Mr. Holtzman joined the Audit Committee on July 9, 2024.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Board of Directors has determined that Mr. Varier qualifies as an “Audit Committee Financial Expert” as defined under SEC rules. The Audit Committee’s primary responsibility is to ensure the accuracy and effectiveness of the audits of our Company’s financial statements by our independent registered public accountants. Its duties include, among other things:</w:t>
      </w:r>
    </w:p>
    <w:p>
      <w:pPr>
        <w:spacing w:after="0" w:line="103" w:lineRule="exact"/>
        <w:rPr>
          <w:sz w:val="20"/>
          <w:szCs w:val="20"/>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evaluating, terminating, and overseeing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registered public accounting firm the independence of its members from our management;</w:t>
      </w:r>
    </w:p>
    <w:p>
      <w:pPr>
        <w:spacing w:after="0" w:line="67"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the scope and results of their audit;</w:t>
      </w:r>
    </w:p>
    <w:p>
      <w:pPr>
        <w:spacing w:after="0" w:line="34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audit and permissible non-audit services to be performed by our independent registered public accounting firm;</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our accounting principles, accounting policies, financial and accounting controls, and compliance with legal and regulatory requirements;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oversight by our board of directors of our code of business conduct and our disclosure controls and procedures;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confidential and/or anonymous submission of concerns regarding accounting, internal controls or auditing matters;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related party transactions.</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Committee’s procedures for the pre-approval of audit and permitted non-audit services are described in “Item 2: Ratification of the Auditor Appointment.” For more information on the Audit Committee, refer to the “Report of the Audit Committee” included elsewhere herein.</w:t>
      </w:r>
    </w:p>
    <w:p>
      <w:pPr>
        <w:spacing w:after="0" w:line="96"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Mergers and Acquisitions Committee. </w:t>
      </w:r>
      <w:r>
        <w:rPr>
          <w:rFonts w:ascii="Times New Roman" w:cs="Times New Roman" w:eastAsia="Times New Roman" w:hAnsi="Times New Roman"/>
          <w:sz w:val="17"/>
          <w:szCs w:val="17"/>
          <w:color w:val="auto"/>
        </w:rPr>
        <w:t>The current members of the Mergers and Acquisitions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directors Varier, who chairs the committee, Mahoney and Holtzman. The purpose of the Mergers &amp; Acquisitions Committee is to assist the Board and the Audit Committee in evaluating any related party transactions that the Company may consider from time to time.</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Number of Meetings of the Board of Directors and Attendance in 2023</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fiscal 2023, our Board and various Board Committees held the following number of meetings: Board of Directors, 12 meetings; Audit Committee, 5 meetings; Compensation Committee, 3 meetings; and Nominating and Corporate Governance Committee, no meetings. No director attended fewer than 75% of the aggregate Board meetings and Board Committee meetings on which that director served, except for Mr. Hua, who attended 33% of Board meetings.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2023, Messrs. Mahoney, Sokolow and Holtzman each served as members of the Compensation Committee. During 2023, no member of the Compensation Committee, was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47"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31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the availability of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2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2468 Industrial Row Drive, Troy, Michigan 48084, Attn: Corporate Secretary.</w:t>
      </w:r>
    </w:p>
    <w:p>
      <w:pPr>
        <w:spacing w:after="0" w:line="31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Diversity Matrix (As of July 22, 2024)</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w:t>
            </w:r>
          </w:p>
        </w:tc>
      </w:tr>
      <w:tr>
        <w:trPr>
          <w:trHeight w:val="499"/>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Did Not</w:t>
            </w:r>
          </w:p>
        </w:tc>
      </w:tr>
      <w:tr>
        <w:trPr>
          <w:trHeight w:val="196"/>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Disclose</w:t>
            </w:r>
          </w:p>
        </w:tc>
      </w:tr>
      <w:tr>
        <w:trPr>
          <w:trHeight w:val="208"/>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Non-Binary</w:t>
            </w:r>
          </w:p>
        </w:tc>
        <w:tc>
          <w:tcPr>
            <w:tcW w:w="11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Gender</w:t>
            </w:r>
          </w:p>
        </w:tc>
      </w:tr>
      <w:tr>
        <w:trPr>
          <w:trHeight w:val="44"/>
        </w:trPr>
        <w:tc>
          <w:tcPr>
            <w:tcW w:w="3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5"/>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African American or Black</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Asian</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Hispanic or Latinx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White</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LGBTQ+</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5"/>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board diversity matrix for 2023 can be found in our definitive proxy statement filed with the Securities and Exchange Commission on December 18, 2023.</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32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9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Mr. Chang, a director since June 2019, is currently the chairman and chief executive officer of the Company. Mr. Chang has a wealth of successful experience directing, managing and/or financing early-stage agricultural- and technology-based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31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Mr. Holtzman, a director since July 2022, is Operations Director at Ocean 14 Capital, a private equity impact fund. Mr. Holtzman’s extensive experience in finance, government relations and international trade led the Nominating and Corporate Governance Committee to conclude that his skills and background fit the needs of the Board of Directors and qualified him to continue to serve as a director of the Company.</w:t>
      </w:r>
    </w:p>
    <w:p>
      <w:pPr>
        <w:spacing w:after="0" w:line="10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Ms. Chan, a director since January 2024, provides the Company with extensive experience in business development and retail sales. Ms. Chan’s experience as an entrepreneur led the Nominating and Corporate Governance Committee to conclude that her skills and background fit the needs of the Board of Directors and qualified her to be a director nominee.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321"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Combining Chairman and Chief Executive Officer Roles. </w:t>
      </w:r>
      <w:r>
        <w:rPr>
          <w:rFonts w:ascii="Times New Roman" w:cs="Times New Roman" w:eastAsia="Times New Roman" w:hAnsi="Times New Roman"/>
          <w:sz w:val="17"/>
          <w:szCs w:val="17"/>
          <w:color w:val="auto"/>
        </w:rPr>
        <w:t>Our Board of Directors is committed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 of independence from management and to the highest standards of corporate governance. All of our directors other than Mr. Chang and Ms. Chan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9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has no bearing on the ethical integrity of the directors.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Oversight of Risk</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12"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Committees. </w:t>
      </w:r>
      <w:r>
        <w:rPr>
          <w:rFonts w:ascii="Times New Roman" w:cs="Times New Roman" w:eastAsia="Times New Roman" w:hAnsi="Times New Roman"/>
          <w:sz w:val="17"/>
          <w:szCs w:val="17"/>
          <w:color w:val="auto"/>
        </w:rPr>
        <w:t>The Audit Committee maintains initial oversight over risks related to the integrity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ectPr>
          <w:pgSz w:w="11900" w:h="16838" w:orient="portrait"/>
          <w:cols w:equalWidth="0" w:num="1">
            <w:col w:w="9019"/>
          </w:cols>
          <w:pgMar w:left="1440" w:top="265"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Full Board. </w:t>
      </w:r>
      <w:r>
        <w:rPr>
          <w:rFonts w:ascii="Times New Roman" w:cs="Times New Roman" w:eastAsia="Times New Roman" w:hAnsi="Times New Roman"/>
          <w:sz w:val="17"/>
          <w:szCs w:val="17"/>
          <w:color w:val="auto"/>
        </w:rPr>
        <w:t>At its regularly scheduled meetings, the Board generally receives several reports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Outside Directors</w:t>
      </w:r>
    </w:p>
    <w:p>
      <w:pPr>
        <w:spacing w:after="0" w:line="158"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Annual Cash Compensation. </w:t>
      </w:r>
      <w:r>
        <w:rPr>
          <w:rFonts w:ascii="Times New Roman" w:cs="Times New Roman" w:eastAsia="Times New Roman" w:hAnsi="Times New Roman"/>
          <w:sz w:val="17"/>
          <w:szCs w:val="17"/>
          <w:color w:val="auto"/>
        </w:rPr>
        <w:t>Each of the Company’s non-employee directors receives an annual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retainer of $24,000, payable in twelve monthly installments. In addition, the following Committee retainer amounts are payable to Committee members.</w:t>
      </w:r>
    </w:p>
    <w:p>
      <w:pPr>
        <w:spacing w:after="0" w:line="9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Currently, there are no annual retainer fees awarded to either the Merger and Acquisitions Committee Chair or the Merger and Acquisition Committee members.</w:t>
      </w:r>
    </w:p>
    <w:p>
      <w:pPr>
        <w:spacing w:after="0" w:line="6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Stock Options and Share-Based Awards. </w:t>
      </w:r>
      <w:r>
        <w:rPr>
          <w:rFonts w:ascii="Times New Roman" w:cs="Times New Roman" w:eastAsia="Times New Roman" w:hAnsi="Times New Roman"/>
          <w:sz w:val="17"/>
          <w:szCs w:val="17"/>
          <w:color w:val="auto"/>
        </w:rPr>
        <w:t>Following initial election to the Company’s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directors are eligible to receive restricted stock units as determined by the Board.</w:t>
      </w:r>
    </w:p>
    <w:p>
      <w:pPr>
        <w:spacing w:after="0" w:line="78"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89"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Non-Equity Incentive Plan Compensation. </w:t>
      </w:r>
      <w:r>
        <w:rPr>
          <w:rFonts w:ascii="Times New Roman" w:cs="Times New Roman" w:eastAsia="Times New Roman" w:hAnsi="Times New Roman"/>
          <w:sz w:val="17"/>
          <w:szCs w:val="17"/>
          <w:color w:val="auto"/>
        </w:rPr>
        <w:t>We do not provide Non-Equity Incentive Compensation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directors.</w:t>
      </w:r>
    </w:p>
    <w:p>
      <w:pPr>
        <w:spacing w:after="0" w:line="7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Pension Benefits. </w:t>
      </w:r>
      <w:r>
        <w:rPr>
          <w:rFonts w:ascii="Times New Roman" w:cs="Times New Roman" w:eastAsia="Times New Roman" w:hAnsi="Times New Roman"/>
          <w:sz w:val="17"/>
          <w:szCs w:val="17"/>
          <w:color w:val="auto"/>
        </w:rPr>
        <w:t>We do not have a pension plan and therefore, do not offer any such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to our directors.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Outside Directors Compensation Table for 2023</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table below provides compensation information for the year ended December 31, 2023 for each non-employee member of our Board of Directors. Guichao Hua served on the Board of Directors until our Annual Meeting of Stockholders held on January 8, 2024, at which point I-Tseng Jenny Chan was elected to the Board of Directors. Leonard Sokolow resigned from the Board on May 17, 2024.</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7"/>
              </w:rPr>
              <w:t>Change 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7"/>
              </w:rPr>
              <w:t>Pension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7"/>
              </w:rPr>
              <w:t>Value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4"/>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8"/>
              </w:rPr>
              <w:t>Nonqualified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 In</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220" w:type="dxa"/>
            <w:vAlign w:val="bottom"/>
            <w:gridSpan w:val="4"/>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100" w:type="dxa"/>
            <w:vAlign w:val="bottom"/>
            <w:gridSpan w:val="3"/>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580" w:type="dxa"/>
            <w:vAlign w:val="bottom"/>
          </w:tcPr>
          <w:p>
            <w:pPr>
              <w:spacing w:after="0"/>
              <w:rPr>
                <w:sz w:val="17"/>
                <w:szCs w:val="17"/>
                <w:color w:val="auto"/>
              </w:rPr>
            </w:pP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0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44"/>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5"/>
        </w:trPr>
        <w:tc>
          <w:tcPr>
            <w:tcW w:w="15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14,853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r>
      <w:tr>
        <w:trPr>
          <w:trHeight w:val="23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65,000</w:t>
            </w:r>
          </w:p>
        </w:tc>
        <w:tc>
          <w:tcPr>
            <w:tcW w:w="24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r>
      <w:tr>
        <w:trPr>
          <w:trHeight w:val="40"/>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55"/>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23,452</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58,838</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82,380</w:t>
            </w:r>
          </w:p>
        </w:tc>
      </w:tr>
      <w:tr>
        <w:trPr>
          <w:trHeight w:val="23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19,792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52,708</w:t>
            </w:r>
          </w:p>
        </w:tc>
        <w:tc>
          <w:tcPr>
            <w:tcW w:w="24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72,500</w:t>
            </w:r>
          </w:p>
        </w:tc>
      </w:tr>
      <w:tr>
        <w:trPr>
          <w:trHeight w:val="40"/>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5"/>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56,500</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79,000</w:t>
            </w:r>
          </w:p>
        </w:tc>
      </w:tr>
      <w:tr>
        <w:trPr>
          <w:trHeight w:val="40"/>
        </w:trPr>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60"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dollar amount of all fees earned or paid in cash for services as a director, including monthly retainer fees and committee membership, as described above. During the year ended December 31, 2023, directors elected to receive additional restricted stock units in lieu of a portion of their cash compensation.</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73" w:lineRule="auto"/>
        <w:tabs>
          <w:tab w:leader="none" w:pos="10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reported amounts are calculated in accordance with the provisions of Financial Accounting Standards Board (“FASB”) Accounting Standard Codification Topic 718, “Compensation — Stock Compensation (“ASC Topic 718”).</w:t>
      </w:r>
    </w:p>
    <w:p>
      <w:pPr>
        <w:jc w:val="both"/>
        <w:ind w:left="1000" w:right="599" w:hanging="426"/>
        <w:spacing w:after="0" w:line="256"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aggregate number of unvested restricted stock units outstanding for each current non-employee director were as follows: 89 for each of Messrs. Hua, Mahoney, Varier, Sokolow and Holtzman. Value of stock awards reflects awards that were earned in 2023 but paid in January 2024.</w:t>
      </w:r>
    </w:p>
    <w:p>
      <w:pPr>
        <w:jc w:val="both"/>
        <w:ind w:left="1000" w:right="579" w:hanging="426"/>
        <w:spacing w:after="0" w:line="264"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aggregate number of unexercised stock option awards outstanding for each current non-employee director were as follows: 456 for Mr. Hua, 456 for Mr. Mahoney, 455 for Mr. Varier; 250 for Mr. Sokolow and none for Mr. Holtzman.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2468 Industrial Row Drive, Troy, Michigan 48084, Attn: Corporate Secretary”. Communications by e-mail should be addressed to board@agrify.com and marked “Attention: Corporate Secretary” in the “Subject” field. Requests for contact, except for those stockholder 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 subject to advice and assistance from the Company’s legal advisors, (i) be primarily responsible for monitoring communications from shareholders and other interested parties and</w:t>
      </w:r>
    </w:p>
    <w:p>
      <w:pPr>
        <w:spacing w:after="0" w:line="3" w:lineRule="exact"/>
        <w:rPr>
          <w:sz w:val="20"/>
          <w:szCs w:val="20"/>
          <w:color w:val="auto"/>
        </w:rPr>
      </w:pPr>
    </w:p>
    <w:p>
      <w:pPr>
        <w:ind w:left="580" w:right="599" w:hanging="6"/>
        <w:spacing w:after="0" w:line="257" w:lineRule="auto"/>
        <w:tabs>
          <w:tab w:leader="none" w:pos="8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copies or summaries of such communications to the other directors as he or she considers appropriate.</w:t>
      </w:r>
    </w:p>
    <w:p>
      <w:pPr>
        <w:spacing w:after="0" w:line="3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Attendance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Directors are required, absent compelling circumstances, to attend our Annual Meeting of Stockholders.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All of the members of the Company’s Board attended the Company’s 2023 Annual Meeting of Stockholders.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Ethics and Business Conduct</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 and Executive Officers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as of July 8, 2024,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July 8, 2024, there were 61 record holders and 14,234,004 outstanding shares of our Company’s Common Stock.</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July 8, 2024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July 8, 2024,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420" w:type="dxa"/>
            <w:vAlign w:val="bottom"/>
          </w:tcPr>
          <w:p>
            <w:pPr>
              <w:spacing w:after="0"/>
              <w:rPr>
                <w:sz w:val="15"/>
                <w:szCs w:val="15"/>
                <w:color w:val="auto"/>
              </w:rPr>
            </w:pPr>
          </w:p>
        </w:tc>
        <w:tc>
          <w:tcPr>
            <w:tcW w:w="11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19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08"/>
        </w:trPr>
        <w:tc>
          <w:tcPr>
            <w:tcW w:w="542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4"/>
        </w:trPr>
        <w:tc>
          <w:tcPr>
            <w:tcW w:w="54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21,192,506</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Kessler</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1,205</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Brian Towns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20"/>
                <w:szCs w:val="20"/>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I-Tseng Jenny Chan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11,609,788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49.99%</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52,813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45,160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42,083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(7 persons)</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22,669,666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w:t>
            </w:r>
          </w:p>
        </w:tc>
      </w:tr>
      <w:tr>
        <w:trPr>
          <w:trHeight w:val="40"/>
        </w:trPr>
        <w:tc>
          <w:tcPr>
            <w:tcW w:w="54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jc w:val="both"/>
        <w:ind w:left="1000" w:right="579" w:hanging="6"/>
        <w:spacing w:after="0" w:line="256" w:lineRule="auto"/>
        <w:tabs>
          <w:tab w:leader="none" w:pos="1239"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actually owned as of July 8,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14,234,004 shares of Common Stock outstanding as of July 8, 2024, plus the amount referenced in clause (i)(b) for such individual or group.</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2468 Industrial Row Dr., Troy, MI 48084.</w:t>
      </w: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6,334 shares of Common Stock that are exercisable within 60 days of July 8, 2024,</w:t>
      </w:r>
    </w:p>
    <w:p>
      <w:pPr>
        <w:spacing w:after="0" w:line="12" w:lineRule="exact"/>
        <w:rPr>
          <w:rFonts w:ascii="Times New Roman" w:cs="Times New Roman" w:eastAsia="Times New Roman" w:hAnsi="Times New Roman"/>
          <w:sz w:val="16"/>
          <w:szCs w:val="16"/>
          <w:color w:val="auto"/>
        </w:rPr>
      </w:pPr>
    </w:p>
    <w:p>
      <w:pPr>
        <w:jc w:val="both"/>
        <w:ind w:left="1000" w:right="599" w:hanging="6"/>
        <w:spacing w:after="0" w:line="258" w:lineRule="auto"/>
        <w:tabs>
          <w:tab w:leader="none" w:pos="124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575 shares of Common Stock owned by Mr. Chang, (iii) 1,717,051 shares of common stock held by RTC3 2020 Irrevocable Family Trust, of which Mr. Chang retains the authority to remove the independent trustee, (iv) 648 shares of common stock held by NXT3J Capital, LLC, an entity controlled by Mr. Chang, (v) 1,578,947 shares of common stock held by Chinwei Wang, Mr. Chang’s spouse, (vi) warrants to purchase 317 shares of common stock associated with our 2020 convertible promissory notes held by RTC3 2020 Irrevocable Family Trust, (vi) options to purchase 203 shares of common stock held by Mr. Chang’s son that are exercisable within 60 days of July 8, 2024, (vii) warrants to purchase 230,906 shares of Common Stock that are held by RTC3 2020 Irrevocable Family Trust, but only to the extent exercisable due to a 9.99% beneficial ownership limitation, and (viii) 2,397,260 shares of common stock that may be issued upon conversion of a secured convertible note held by CP Acquisitions, LLC (“CP”), over which Mr. Chang has shared voting and investment</w:t>
      </w:r>
    </w:p>
    <w:p>
      <w:pPr>
        <w:sectPr>
          <w:pgSz w:w="11900" w:h="16838" w:orient="portrait"/>
          <w:cols w:equalWidth="0" w:num="1">
            <w:col w:w="9019"/>
          </w:cols>
          <w:pgMar w:left="1440" w:top="265"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spacing w:after="0" w:line="255" w:lineRule="auto"/>
        <w:rPr>
          <w:sz w:val="20"/>
          <w:szCs w:val="20"/>
          <w:color w:val="auto"/>
        </w:rPr>
      </w:pPr>
      <w:r>
        <w:rPr>
          <w:rFonts w:ascii="Times New Roman" w:cs="Times New Roman" w:eastAsia="Times New Roman" w:hAnsi="Times New Roman"/>
          <w:sz w:val="16"/>
          <w:szCs w:val="16"/>
          <w:color w:val="auto"/>
        </w:rPr>
        <w:t>control, subject to a beneficial ownership limitation of 49.99% with respect to CP and/or Mr. Chang, (ix) 7,876,712 shares of common stock that may be issued upon exercise of pre-funded warrants held by CP, subject to a beneficial ownership limitation of 49.99%, and (x) 7,383,053 shares of common stock that may be issued upon exercise of pre-funded warrants held by GIC Acquisitions LLC (“GIC”), over which Mr. Chang has sole voting and investment control, subject to a beneficial ownership limitation of 49.99%.</w:t>
      </w:r>
    </w:p>
    <w:p>
      <w:pPr>
        <w:spacing w:after="0" w:line="1" w:lineRule="exact"/>
        <w:rPr>
          <w:sz w:val="20"/>
          <w:szCs w:val="20"/>
          <w:color w:val="auto"/>
        </w:rPr>
      </w:pPr>
    </w:p>
    <w:p>
      <w:pPr>
        <w:jc w:val="both"/>
        <w:ind w:left="1000" w:right="579" w:hanging="426"/>
        <w:spacing w:after="0" w:line="256"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1,335,816 shares of common stock owned in equal proportions by M. Zion Capital, LLC, M Olivet Capital, LLC and M Cannan Capital, LLC, over which Ms. Chan has voting and investment control, (ii) 2,397,260 shares of common stock that may be issued upon conversion of a secured convertible note held by CP, over which Ms. Chan has shared voting and investment control, subject to a beneficial ownership limitation of 49.99% with respect to CP and/or Ms. Chan, and (iii) 7,876,712 shares of common stock that may be issued upon exercise of pre-funded warrants held by CP, subject to a beneficial ownership limitation of 49.99%.</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61"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July 8, 2024: Mr. Kessler, 788; Mr. Mahoney, 456; and Mr. Varier, 455. Includes the following shares subject to Restricted Stock Units that vest within 60 days of July 8, 2024: Mr. Kessler, 167; Mr. Holtzman, 52,724; Mr. Mahoney, 44,615; and Mr. Varier, 41,539.</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During April 2022, our Board of Directors, and on June 8, 2022, our stockholders, adopted and approved the 2022 Omnibus Plan, then in November 2023, our Board of Directors, and January 2024 our stockholders approved an amendment to the 2022 Omnibus Plan. The 2022 Omnibus Plan provides for the grant of stock options, SARs, restricted stock, restricted stock units, performance share awards, and other stock-based and cash-based awards to our non-employee directors, officers, employees and non-employee consultants. The aggregate number of shares of Common Stock that may be reserved and available for grant and issuance under the 2022 Omnibus Plan is 260,000 shares. Shares will be deemed to have been issued under the 2022 Omnibus Plan solely to the extent actually issued and delivered pursuant to an award. If any award expires, is cancelled, or terminates unexercised or is forfeited, the number of shares subject thereto is again available for grant under the 2022 Omnibus Plan. The 2022 Omnibus Plan will continue in effect, unless sooner terminated, until the tenth (10) anniversary of the date on which it is adopted by the Board of Directors.</w:t>
      </w:r>
    </w:p>
    <w:p>
      <w:pPr>
        <w:spacing w:after="0" w:line="11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December 18, 2020, the Company’s Board of Directors, and on January 11, 2021, the Company’s stockholders, adopted and approved the 2020 Omnibus Plan. The 2020 Omnibus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Omnibus Plan is 0 shares. Shares will be deemed to have been issued under the 2020 Omnibus Plan solely to the extent actually issued and delivered pursuant to an award. If any award expires, is cancelled, or terminates unexercised or is forfeited, the number of shares subject thereto is again available for grant under the 2020 Omnibus Plan.</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additional information regarding the above plans, see Note 12 to our audited consolidated financial statements in the Company’s Annual Report on Form 10-K for the year ended December 31, 2023, as amended.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Table</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2023 concerning the number of shares of common stock issuable under our existing equity compensation plans.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Issued Upon</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Warrants,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8"/>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Column (a))</w:t>
            </w:r>
          </w:p>
        </w:tc>
      </w:tr>
      <w:tr>
        <w:trPr>
          <w:trHeight w:val="44"/>
        </w:trPr>
        <w:tc>
          <w:tcPr>
            <w:tcW w:w="4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4"/>
        </w:trPr>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(c)</w:t>
            </w:r>
          </w:p>
        </w:tc>
      </w:tr>
      <w:tr>
        <w:trPr>
          <w:trHeight w:val="44"/>
        </w:trPr>
        <w:tc>
          <w:tcPr>
            <w:tcW w:w="4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0"/>
                <w:szCs w:val="20"/>
                <w:color w:val="auto"/>
                <w:vertAlign w:val="superscript"/>
              </w:rPr>
              <w:t>(1)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1,361.64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9,379</w:t>
            </w:r>
          </w:p>
        </w:tc>
      </w:tr>
      <w:tr>
        <w:trPr>
          <w:trHeight w:val="235"/>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1,361.64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9,379</w:t>
            </w:r>
          </w:p>
        </w:tc>
      </w:tr>
      <w:tr>
        <w:trPr>
          <w:trHeight w:val="40"/>
        </w:trPr>
        <w:tc>
          <w:tcPr>
            <w:tcW w:w="4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6" w:lineRule="exact"/>
        <w:rPr>
          <w:sz w:val="20"/>
          <w:szCs w:val="20"/>
          <w:color w:val="auto"/>
        </w:rPr>
      </w:pPr>
    </w:p>
    <w:p>
      <w:pPr>
        <w:ind w:left="1000" w:hanging="426"/>
        <w:spacing w:after="0"/>
        <w:tabs>
          <w:tab w:leader="none" w:pos="1000" w:val="left"/>
        </w:tabs>
        <w:numPr>
          <w:ilvl w:val="0"/>
          <w:numId w:val="4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Consists of our 2022 Omnibus Plan and our 2020 Omnibus Plan.</w:t>
      </w:r>
    </w:p>
    <w:p>
      <w:pPr>
        <w:spacing w:after="0" w:line="169" w:lineRule="exact"/>
        <w:rPr>
          <w:rFonts w:ascii="Times New Roman" w:cs="Times New Roman" w:eastAsia="Times New Roman" w:hAnsi="Times New Roman"/>
          <w:sz w:val="31"/>
          <w:szCs w:val="31"/>
          <w:color w:val="auto"/>
          <w:vertAlign w:val="superscript"/>
        </w:rPr>
      </w:pPr>
    </w:p>
    <w:p>
      <w:pPr>
        <w:ind w:left="4420"/>
        <w:spacing w:after="0"/>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Agrify’s current executive officers, the year they became a named executive officer, and their principal occupations or employment for at least the past five years.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3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6"/>
                <w:szCs w:val="16"/>
                <w:color w:val="auto"/>
              </w:rPr>
            </w:pPr>
          </w:p>
        </w:tc>
        <w:tc>
          <w:tcPr>
            <w:tcW w:w="7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53</w:t>
            </w:r>
          </w:p>
        </w:tc>
        <w:tc>
          <w:tcPr>
            <w:tcW w:w="100" w:type="dxa"/>
            <w:vAlign w:val="bottom"/>
            <w:vMerge w:val="continue"/>
          </w:tcPr>
          <w:p>
            <w:pPr>
              <w:spacing w:after="0"/>
              <w:rPr>
                <w:sz w:val="16"/>
                <w:szCs w:val="16"/>
                <w:color w:val="auto"/>
              </w:rPr>
            </w:pPr>
          </w:p>
        </w:tc>
        <w:tc>
          <w:tcPr>
            <w:tcW w:w="53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of this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Proxy.</w:t>
            </w:r>
          </w:p>
        </w:tc>
        <w:tc>
          <w:tcPr>
            <w:tcW w:w="0" w:type="dxa"/>
            <w:vAlign w:val="bottom"/>
          </w:tcPr>
          <w:p>
            <w:pPr>
              <w:spacing w:after="0"/>
              <w:rPr>
                <w:sz w:val="1"/>
                <w:szCs w:val="1"/>
                <w:color w:val="auto"/>
              </w:rPr>
            </w:pPr>
          </w:p>
        </w:tc>
      </w:tr>
      <w:tr>
        <w:trPr>
          <w:trHeight w:val="362"/>
        </w:trPr>
        <w:tc>
          <w:tcPr>
            <w:tcW w:w="1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Kessler</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Kessler has served as our Chief Science Officer since July 2022. Since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2013, he has served as owner and operator of Willowbrook Orchids LLC,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national award-winning boutique orchid nursery. From 2006 through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Kessler served as a Horticulturist at Atlantic Hydroponics, where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oversaw project management. Mr. Kessler has over twenty years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cannabis  cultivation  experience  including  ten  years  of  CEA  (closed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environmental agriculture) indoor farm design. Mr. Kessler’s focus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application of technology to optimize process &amp; workflow while reducing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operational costs are a common theme throughout his prolific industry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publications  having  written  for  such  companies  as  Sunlight  Supply,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Maximum  Yield  Magazine,  Botanicare,  and  Hawthorne  Gardening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Company. Mr. Kessler also regularly lectures at many cannabis industry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events and appears regularly on industry podcasts. Mr. Kessler’s decades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experience with horticultural lighting have allowed him the opportunity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be a product tester for companies such as Sharp Electronics and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Horticultural Lighting Group. He has worked with independent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xml:space="preserve">  party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laboratories  to  provide  unbiased  testing  data  comparing  product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performance from a multitude of horticultural lighting manufacturers.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Kessler received a Bachelor of Arts degree and undertook post graduate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studies in biology at SUNY-Oswego.</w:t>
            </w:r>
          </w:p>
        </w:tc>
        <w:tc>
          <w:tcPr>
            <w:tcW w:w="0" w:type="dxa"/>
            <w:vAlign w:val="bottom"/>
          </w:tcPr>
          <w:p>
            <w:pPr>
              <w:spacing w:after="0"/>
              <w:rPr>
                <w:sz w:val="1"/>
                <w:szCs w:val="1"/>
                <w:color w:val="auto"/>
              </w:rPr>
            </w:pPr>
          </w:p>
        </w:tc>
      </w:tr>
      <w:tr>
        <w:trPr>
          <w:trHeight w:val="375"/>
        </w:trPr>
        <w:tc>
          <w:tcPr>
            <w:tcW w:w="1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Brian Towns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Towns has served as the Executive Vice President and General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Manager of the Extraction Division since May 2023, and previously served</w:t>
            </w:r>
          </w:p>
        </w:tc>
        <w:tc>
          <w:tcPr>
            <w:tcW w:w="0" w:type="dxa"/>
            <w:vAlign w:val="bottom"/>
          </w:tcPr>
          <w:p>
            <w:pPr>
              <w:spacing w:after="0"/>
              <w:rPr>
                <w:sz w:val="1"/>
                <w:szCs w:val="1"/>
                <w:color w:val="auto"/>
              </w:rPr>
            </w:pPr>
          </w:p>
        </w:tc>
      </w:tr>
    </w:tbl>
    <w:p>
      <w:pPr>
        <w:jc w:val="both"/>
        <w:ind w:left="3120" w:right="579"/>
        <w:spacing w:after="0" w:line="258" w:lineRule="auto"/>
        <w:rPr>
          <w:sz w:val="20"/>
          <w:szCs w:val="20"/>
          <w:color w:val="auto"/>
        </w:rPr>
      </w:pPr>
      <w:r>
        <w:rPr>
          <w:rFonts w:ascii="Times New Roman" w:cs="Times New Roman" w:eastAsia="Times New Roman" w:hAnsi="Times New Roman"/>
          <w:sz w:val="17"/>
          <w:szCs w:val="17"/>
          <w:color w:val="auto"/>
        </w:rPr>
        <w:t>as Vice President of Operations from October 2021 through May 2023. Prior to that role, Mr. Towns served as Operations Manager of Precision Extraction from October 2016 through January 2019, at which time, Mr. Towns was appointed as the Director of Operations role at Precision Extraction in January 2019 until the acquisition by Agrify in October 2021. In these roles, with increasing responsibility, he oversaw multiple critical functions, including supply chain management, manufacturing, compliance, engineering, customer support, and field service teams. Mr. Town’s visionary approach and commitment to maintaining the highest standards ensured that Precision Extraction delivered top-notch products and services to its customers. The acquisition of Precision Extraction by Agrify in October of 2021 and the addition of industry leading equipment providers Pure Pressure, Lab Society, and Cascade Sciences put Mr. Towns in the position to lead the extraction businesses. At Agrify, Mr. Town’s expertise and innovative mindset continue to drive the extraction division’s success. With 7 years of experience in the cannabis extraction industry, Mr. Towns helps spearhead the development and implementation of cutting-edge extraction technologies, ensuring Agrify remains at the forefront of the market. Before joining Agrify, Mr. Towns honed his skills in executive protection, ensuring the safety and security of high-profile individuals from January 2012 through September 2014 as an account executive. Mr. Town’s early career led him to regional management in the wireless retail business from August 2014 to October 2016, where he demonstrated exceptional leadership and strategic acumen. Mr. Towns received his formal education in Michigan.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This section describes the compensation paid, or payable, for the last two fiscal years to our named executive officers. Our named executive officers during the fiscal year ended December 31, 2023 were Raymond Chang, our Chairman and Chief Executive Officer, David Kessler, our Chief Science Officer, Brian Towns, our Executive Vice President and General Manager of Extraction, Timothy Oakes, our former Chief Financial Officer, and Stuart Wilcox, our former Chief Operating Officer. Mr. Oakes resigned as Chief Financial Officer effective as of February 28, 2023. Mr. Wilcox resigned as Chief Operating Officer effective as of May 22, 2023.</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table below summarizes the total compensation paid or earned by each of the named executive officers noted below for services rendered in all capacities, during the fiscal years ended December 31, 2023 and 2022. As a smaller reporting company, we are only required to provide two years of compensation information for our named executive officers.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Non-qualified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6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gridSpan w:val="2"/>
            <w:vMerge w:val="continue"/>
          </w:tcPr>
          <w:p>
            <w:pPr>
              <w:spacing w:after="0"/>
              <w:rPr>
                <w:sz w:val="12"/>
                <w:szCs w:val="12"/>
                <w:color w:val="auto"/>
              </w:rPr>
            </w:pPr>
          </w:p>
        </w:tc>
        <w:tc>
          <w:tcPr>
            <w:tcW w:w="6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98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300,070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330,000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Chairman and Chief</w:t>
            </w:r>
          </w:p>
        </w:tc>
        <w:tc>
          <w:tcPr>
            <w:tcW w:w="3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350,479</w:t>
            </w:r>
          </w:p>
        </w:tc>
        <w:tc>
          <w:tcPr>
            <w:tcW w:w="1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471,000</w:t>
            </w:r>
          </w:p>
        </w:tc>
        <w:tc>
          <w:tcPr>
            <w:tcW w:w="100" w:type="dxa"/>
            <w:vAlign w:val="bottom"/>
          </w:tcPr>
          <w:p>
            <w:pPr>
              <w:spacing w:after="0"/>
              <w:rPr>
                <w:sz w:val="15"/>
                <w:szCs w:val="15"/>
                <w:color w:val="auto"/>
              </w:rPr>
            </w:pPr>
          </w:p>
        </w:tc>
        <w:tc>
          <w:tcPr>
            <w:tcW w:w="620" w:type="dxa"/>
            <w:vAlign w:val="bottom"/>
            <w:gridSpan w:val="2"/>
          </w:tcPr>
          <w:p>
            <w:pPr>
              <w:ind w:left="3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175,000</w:t>
            </w:r>
          </w:p>
        </w:tc>
        <w:tc>
          <w:tcPr>
            <w:tcW w:w="80" w:type="dxa"/>
            <w:vAlign w:val="bottom"/>
          </w:tcPr>
          <w:p>
            <w:pPr>
              <w:spacing w:after="0"/>
              <w:rPr>
                <w:sz w:val="15"/>
                <w:szCs w:val="15"/>
                <w:color w:val="auto"/>
              </w:rPr>
            </w:pPr>
          </w:p>
        </w:tc>
        <w:tc>
          <w:tcPr>
            <w:tcW w:w="9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33,099</w:t>
            </w: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1,029,578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220,521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559,109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Science Officer</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220,233</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177,550</w:t>
            </w:r>
          </w:p>
        </w:tc>
        <w:tc>
          <w:tcPr>
            <w:tcW w:w="100" w:type="dxa"/>
            <w:vAlign w:val="bottom"/>
          </w:tcPr>
          <w:p>
            <w:pPr>
              <w:spacing w:after="0"/>
              <w:rPr>
                <w:sz w:val="20"/>
                <w:szCs w:val="20"/>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Brian Towns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211,726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550,994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3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125,655</w:t>
            </w:r>
          </w:p>
        </w:tc>
        <w:tc>
          <w:tcPr>
            <w:tcW w:w="1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20,550</w:t>
            </w:r>
          </w:p>
        </w:tc>
        <w:tc>
          <w:tcPr>
            <w:tcW w:w="100" w:type="dxa"/>
            <w:vAlign w:val="bottom"/>
          </w:tcPr>
          <w:p>
            <w:pPr>
              <w:spacing w:after="0"/>
              <w:rPr>
                <w:sz w:val="15"/>
                <w:szCs w:val="15"/>
                <w:color w:val="auto"/>
              </w:rPr>
            </w:pPr>
          </w:p>
        </w:tc>
        <w:tc>
          <w:tcPr>
            <w:tcW w:w="620" w:type="dxa"/>
            <w:vAlign w:val="bottom"/>
            <w:gridSpan w:val="2"/>
          </w:tcPr>
          <w:p>
            <w:pPr>
              <w:ind w:left="3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15,034</w:t>
            </w:r>
          </w:p>
        </w:tc>
        <w:tc>
          <w:tcPr>
            <w:tcW w:w="80" w:type="dxa"/>
            <w:vAlign w:val="bottom"/>
          </w:tcPr>
          <w:p>
            <w:pPr>
              <w:spacing w:after="0"/>
              <w:rPr>
                <w:sz w:val="15"/>
                <w:szCs w:val="15"/>
                <w:color w:val="auto"/>
              </w:rPr>
            </w:pPr>
          </w:p>
        </w:tc>
        <w:tc>
          <w:tcPr>
            <w:tcW w:w="9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14,198</w:t>
            </w: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175,447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and General Manager of</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Extraction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Oakes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Former Chief Financial</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609,727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264,454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247,625</w:t>
            </w:r>
          </w:p>
        </w:tc>
        <w:tc>
          <w:tcPr>
            <w:tcW w:w="10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Stuart Wilcox</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122,061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150,727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Former Chief Operating</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466,727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142,539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316,000</w:t>
            </w:r>
          </w:p>
        </w:tc>
        <w:tc>
          <w:tcPr>
            <w:tcW w:w="10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76" w:lineRule="auto"/>
        <w:tabs>
          <w:tab w:leader="none" w:pos="10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November 28, 2023, regarding assumptions underlying the valuation of our equity awards.</w:t>
      </w:r>
    </w:p>
    <w:p>
      <w:pPr>
        <w:spacing w:after="0" w:line="2" w:lineRule="exact"/>
        <w:rPr>
          <w:rFonts w:ascii="Times New Roman" w:cs="Times New Roman" w:eastAsia="Times New Roman" w:hAnsi="Times New Roman"/>
          <w:sz w:val="15"/>
          <w:szCs w:val="15"/>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amounts earned by each Named Executive Officer under our performance-based annual incentive plan.</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payment of health plan premiums as per Company policy.</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Oakes resigned as Chief Financial Officer effective February 28, 2023.</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Wilcox resigned as Chief Operating Officer effective May 22,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outstanding equity awards for Named Executive Officers as of December 31, 2023.</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3"/>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60" w:type="dxa"/>
            <w:vAlign w:val="bottom"/>
          </w:tcPr>
          <w:p>
            <w:pPr>
              <w:jc w:val="center"/>
              <w:ind w:right="44"/>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gridSpan w:val="3"/>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60" w:type="dxa"/>
            <w:vAlign w:val="bottom"/>
          </w:tcPr>
          <w:p>
            <w:pPr>
              <w:jc w:val="center"/>
              <w:ind w:right="44"/>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720" w:type="dxa"/>
            <w:vAlign w:val="bottom"/>
            <w:gridSpan w:val="2"/>
            <w:vMerge w:val="restart"/>
          </w:tcPr>
          <w:p>
            <w:pPr>
              <w:jc w:val="right"/>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8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880" w:type="dxa"/>
            <w:vAlign w:val="bottom"/>
            <w:gridSpan w:val="3"/>
            <w:vMerge w:val="restart"/>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60" w:type="dxa"/>
            <w:vAlign w:val="bottom"/>
            <w:vMerge w:val="restart"/>
          </w:tcPr>
          <w:p>
            <w:pPr>
              <w:jc w:val="center"/>
              <w:ind w:right="44"/>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0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360" w:type="dxa"/>
            <w:vAlign w:val="bottom"/>
            <w:gridSpan w:val="2"/>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5/6/20</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456.00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5/6/30</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7/20/20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456.00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10/19/20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972.00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10/19/30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2/17/21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3,069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2,768.00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8/8/22</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11/28/23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272,659</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5/6/20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456.00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5/6/30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7/20/20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456.00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10/19/20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972.00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10/19/30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2/17/21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2,768.00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8/8/22</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11/28/23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203,961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256,134</w:t>
            </w:r>
          </w:p>
        </w:tc>
        <w:tc>
          <w:tcPr>
            <w:tcW w:w="0" w:type="dxa"/>
            <w:vAlign w:val="bottom"/>
          </w:tcPr>
          <w:p>
            <w:pPr>
              <w:spacing w:after="0"/>
              <w:rPr>
                <w:sz w:val="1"/>
                <w:szCs w:val="1"/>
                <w:color w:val="auto"/>
              </w:rPr>
            </w:pPr>
          </w:p>
        </w:tc>
      </w:tr>
      <w:tr>
        <w:trPr>
          <w:trHeight w:val="231"/>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Towns</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11/28/23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203,961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256,134</w:t>
            </w: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79" w:hanging="426"/>
        <w:spacing w:after="0" w:line="259"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between 24 and 48 months. 50% of the options vested upon the initial public offering.</w:t>
      </w:r>
    </w:p>
    <w:p>
      <w:pPr>
        <w:spacing w:after="0" w:line="1"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options granted will vest 12 months from the date of grant with the balance vesting in 36 equal monthly installments thereafter. 50% of the options vested upon the initial public offering.</w:t>
      </w:r>
    </w:p>
    <w:p>
      <w:pPr>
        <w:ind w:left="1000" w:hanging="426"/>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will vest in 36 equal monthly installments from the date of grant.</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the restricted stock units vest on each of the 1-year, 2-year and 3-year anniversaries of grant.</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restricted stock units will vest on November 28, 2024, subject to shareholder approval.</w:t>
      </w:r>
    </w:p>
    <w:p>
      <w:pPr>
        <w:spacing w:after="0" w:line="12" w:lineRule="exact"/>
        <w:rPr>
          <w:rFonts w:ascii="Times New Roman" w:cs="Times New Roman" w:eastAsia="Times New Roman" w:hAnsi="Times New Roman"/>
          <w:sz w:val="16"/>
          <w:szCs w:val="16"/>
          <w:color w:val="auto"/>
        </w:rPr>
      </w:pPr>
    </w:p>
    <w:p>
      <w:pPr>
        <w:ind w:left="1000" w:right="579" w:hanging="426"/>
        <w:spacing w:after="0" w:line="272"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his separation agreement, Mr. Wilcox’s restricted stock units will continue vesting in accordance with their original terms following the separation.</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Pension Plan Benefits and Defined Contribution Plans</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Company does not have a pension plan or defined benefit plan that provides for payments or benefits to the Named Executive Officers at, following, or in connection with retirement.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and Separation Agreements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believes that it is in our best interest as well as the interests of our stockholders to offer severance and change in control benefits to certain of our Named Executive Officers. We compete for talent in a highly competitive market in which companies routinely offer similar benefits to senior executives. The Compensation Committee believes that providing severance and change in control benefits to our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Chang</w:t>
      </w:r>
      <w:r>
        <w:rPr>
          <w:rFonts w:ascii="Times New Roman" w:cs="Times New Roman" w:eastAsia="Times New Roman" w:hAnsi="Times New Roman"/>
          <w:sz w:val="17"/>
          <w:szCs w:val="17"/>
          <w:color w:val="auto"/>
        </w:rPr>
        <w:t>: On January 4, 2021, we entered into a three-year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Mr. Chang as the Company’s Chief Executive Officer, effective February 1, 2021 (the “Mr. Chang’s Employment Agreement”). The agreement, at the end of the initial three-year term, automatically renewed for a successive three-year period.</w:t>
      </w:r>
    </w:p>
    <w:p>
      <w:pPr>
        <w:spacing w:after="0" w:line="10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At signing, Mr. Chang’s Employment Agreement established a minimum annual base salary level of $300,000 and provided for a discretionary bonus of $300,000, with payment subject to Mr. Chang being employed by us at this time of payment.</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Chang’s employment is terminated by us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0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103"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Employment Offer Letter for Mr. Kessler</w:t>
      </w:r>
      <w:r>
        <w:rPr>
          <w:rFonts w:ascii="Times New Roman" w:cs="Times New Roman" w:eastAsia="Times New Roman" w:hAnsi="Times New Roman"/>
          <w:sz w:val="17"/>
          <w:szCs w:val="17"/>
          <w:color w:val="auto"/>
        </w:rPr>
        <w:t>: On January 20, 2020, we provided a letter of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 to Mr. Kessler, as amended by the updated offer letter effective as of August 9, 2022.</w:t>
      </w:r>
    </w:p>
    <w:p>
      <w:pPr>
        <w:spacing w:after="0" w:line="6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Mr. Kessler’s offer letter establishes a minimum annual base salary level of $250,000 and provides for a discretionary performance-based bonus of $150,000. Mr. Kessler is an at will employee, and there are no severance benefits if his employment is terminated.</w:t>
      </w:r>
    </w:p>
    <w:p>
      <w:pPr>
        <w:spacing w:after="0" w:line="9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Employment Agreement for Mr. Towns</w:t>
      </w:r>
      <w:r>
        <w:rPr>
          <w:rFonts w:ascii="Times New Roman" w:cs="Times New Roman" w:eastAsia="Times New Roman" w:hAnsi="Times New Roman"/>
          <w:sz w:val="17"/>
          <w:szCs w:val="17"/>
          <w:color w:val="auto"/>
        </w:rPr>
        <w:t>: On October 22, 2021, we provided a letter of employment offer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Mr. Towns, as amended on March 1, 2023, and May 25, 2023.</w:t>
      </w:r>
    </w:p>
    <w:p>
      <w:pPr>
        <w:spacing w:after="0" w:line="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Mr. Towns’ offer letter, as amended, establishes a minimum annual base salary level of $250,000.</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Mr. Towns is an at will employee, and there are no severance benefits if his employment is terminated.</w:t>
      </w:r>
    </w:p>
    <w:p>
      <w:pPr>
        <w:spacing w:after="0" w:line="12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Oakes</w:t>
      </w:r>
      <w:r>
        <w:rPr>
          <w:rFonts w:ascii="Times New Roman" w:cs="Times New Roman" w:eastAsia="Times New Roman" w:hAnsi="Times New Roman"/>
          <w:sz w:val="17"/>
          <w:szCs w:val="17"/>
          <w:color w:val="auto"/>
        </w:rPr>
        <w:t>: On November 10, 2021, we entered into a two-year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Mr. Massie as our Chief Financial Officer, effective November 10, 2021. The agreement, at the end of the initial one-year term, if not terminated by either Mr. Oakes or the Company, would have automatically renewed for successive one-year periods.</w:t>
      </w:r>
    </w:p>
    <w:p>
      <w:pPr>
        <w:spacing w:after="0" w:line="10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Mr. Oakes’ Employment Agreement established a minimum annual base salary level of $250,000 and provided for a discretionary performance-based bonus of $200,000, payable in quarterly $50,000 installment, with payment subject to Mr. Oakes being employed by us at this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$275,000 per year, and an increase in his maximum discretionary bonus opportunity from $200,000 to $250,000 per year.</w:t>
      </w:r>
    </w:p>
    <w:p>
      <w:pPr>
        <w:spacing w:after="0" w:line="3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accordance with the terms of the agreement, if Mr. Oakes’ employment was terminated by us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Oakes’ employment agreement contained confidentiality, non-solicitation and non-competition provisions, whereby Mr. Oakes was subject to non-solicitation restrictions for a period of at least one year and to non-competition restrictions for a period of at least six months following his employment period. Mr. Oakes resigned as Chief Financial Officer effective February 28, 2023.</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Employment Agreement for Mr. Wilcox: </w:t>
      </w:r>
      <w:r>
        <w:rPr>
          <w:rFonts w:ascii="Times New Roman" w:cs="Times New Roman" w:eastAsia="Times New Roman" w:hAnsi="Times New Roman"/>
          <w:sz w:val="17"/>
          <w:szCs w:val="17"/>
          <w:color w:val="auto"/>
        </w:rPr>
        <w:t>On July 14, 2022, we entered into an employment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Mr. Wilcox as our Chief Operating Officer. Pursuant to the terms of the agreement, Mr. Wilcox received an annual base salary of $300,000 and was eligible to participate in all employee benefit programs. Mr. Wilcox was also eligible to receive a discretionary performance-based bonus of up to $300,000 with respect to each fiscal year, based on the mutually agreed upon goals that will be set by our Chief Executive Officer and the compensation committee of the Board, and was issued 1,000 restricted stock units that would vest in three equal installments on the one-year, two-year and three-year anniversaries of grant. If Mr. Wilcox’s employment with us was terminated for any reason, he would be entitled to (i) his annual base salary through the termination date,</w:t>
      </w:r>
    </w:p>
    <w:p>
      <w:pPr>
        <w:spacing w:after="0" w:line="2" w:lineRule="exact"/>
        <w:rPr>
          <w:sz w:val="20"/>
          <w:szCs w:val="20"/>
          <w:color w:val="auto"/>
        </w:rPr>
      </w:pPr>
    </w:p>
    <w:p>
      <w:pPr>
        <w:jc w:val="both"/>
        <w:ind w:left="580" w:right="579" w:hanging="6"/>
        <w:spacing w:after="0" w:line="257" w:lineRule="auto"/>
        <w:tabs>
          <w:tab w:leader="none" w:pos="84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accrued unused paid time off, (iii) any vested benefit due and owing under any employee benefit plan and (iv) any unreimbursed business expenses. If Mr. Wilcox’s employment had been terminated by us without cause or by Mr. Wilcox for good reason (as such terms are defined in his employment agreement), he would have also been entitled to receive (i) 100% of his annual base salary and his projected bonus for such fiscal year,</w:t>
      </w:r>
    </w:p>
    <w:p>
      <w:pPr>
        <w:jc w:val="both"/>
        <w:ind w:left="580" w:right="599" w:hanging="6"/>
        <w:spacing w:after="0" w:line="263" w:lineRule="auto"/>
        <w:tabs>
          <w:tab w:leader="none" w:pos="84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 the instance of termination without cause or for good reason that occurs within 30 days prior to, or within six months following, a change in control, immediate vesting of all his issued but unvested options or restricted stock units and (iii) continued participation in our group health insurance benefits through August 31, 2025.</w:t>
      </w:r>
    </w:p>
    <w:p>
      <w:pPr>
        <w:spacing w:after="0" w:line="94"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In connection with Mr. Wilcox’s resignation, on May 23, 2023, we entered into a separation agreement with Mr. Wilcox. The separation agreement provided that, among other things, (a) Mr. Wilcox would receive reimbursement for COBRA premiums for medical, dental and vision benefits for a period of six months, and</w:t>
      </w:r>
    </w:p>
    <w:p>
      <w:pPr>
        <w:spacing w:after="0" w:line="2" w:lineRule="exact"/>
        <w:rPr>
          <w:sz w:val="20"/>
          <w:szCs w:val="20"/>
          <w:color w:val="auto"/>
        </w:rPr>
      </w:pPr>
    </w:p>
    <w:p>
      <w:pPr>
        <w:jc w:val="both"/>
        <w:ind w:left="580" w:right="579" w:hanging="6"/>
        <w:spacing w:after="0" w:line="265" w:lineRule="auto"/>
        <w:tabs>
          <w:tab w:leader="none" w:pos="82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Mr. Wilcox’s restricted stock units will continue to vest in accordance with their original vesting terms, notwithstanding his resignation. The separation agreement also contained a general release in favor of the Company.</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Termination Payments and Equity Awards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0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the Named Executive Officers covered by employment agreements or severance agreements had their employment terminated as of December 31, 2023, the Named Executive Officers would have been eligible to receive payments, depending upon whether the termination was for Good Reason or based upon a Change in Control, as set forth in the following table.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Termination Payout Table</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information concerning termination payouts for Named Executive Officers as of December 31, 2023.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Potential Termination Payments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Borders>
              <w:bottom w:val="single" w:sz="8" w:color="auto"/>
            </w:tcBorders>
            <w:gridSpan w:val="9"/>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4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Without Cause or for Good Reason</w:t>
            </w:r>
            <w:r>
              <w:rPr>
                <w:rFonts w:ascii="Times New Roman" w:cs="Times New Roman" w:eastAsia="Times New Roman" w:hAnsi="Times New Roman"/>
                <w:sz w:val="20"/>
                <w:szCs w:val="20"/>
                <w:b w:val="1"/>
                <w:bCs w:val="1"/>
                <w:color w:val="auto"/>
                <w:vertAlign w:val="superscript"/>
              </w:rPr>
              <w:t>(1)</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vMerge w:val="restart"/>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Option</w:t>
            </w: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Salary</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69"/>
              <w:spacing w:after="0" w:line="113"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2"/>
                <w:szCs w:val="12"/>
                <w:color w:val="auto"/>
              </w:rPr>
            </w:pPr>
          </w:p>
        </w:tc>
        <w:tc>
          <w:tcPr>
            <w:tcW w:w="7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Award</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2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820" w:type="dxa"/>
            <w:vAlign w:val="bottom"/>
            <w:gridSpan w:val="2"/>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20" w:type="dxa"/>
            <w:vAlign w:val="bottom"/>
            <w:gridSpan w:val="2"/>
            <w:vMerge w:val="continue"/>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840" w:type="dxa"/>
            <w:vAlign w:val="bottom"/>
            <w:tcBorders>
              <w:bottom w:val="single" w:sz="8" w:color="CCEEFF"/>
            </w:tcBorders>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$ 1,050,000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$ 35,858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$ 1,087,407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$ 1,050,000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$ 35,858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1,087,407</w:t>
            </w:r>
          </w:p>
        </w:tc>
        <w:tc>
          <w:tcPr>
            <w:tcW w:w="0" w:type="dxa"/>
            <w:vAlign w:val="bottom"/>
          </w:tcPr>
          <w:p>
            <w:pPr>
              <w:spacing w:after="0"/>
              <w:rPr>
                <w:sz w:val="1"/>
                <w:szCs w:val="1"/>
                <w:color w:val="auto"/>
              </w:rPr>
            </w:pPr>
          </w:p>
        </w:tc>
      </w:tr>
      <w:tr>
        <w:trPr>
          <w:trHeight w:val="24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hanging="426"/>
        <w:spacing w:after="0"/>
        <w:tabs>
          <w:tab w:leader="none" w:pos="10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circumstances involving termination without cause or for Good Reason outside of any Change in Control.</w:t>
      </w:r>
    </w:p>
    <w:p>
      <w:pPr>
        <w:spacing w:after="0" w:line="33" w:lineRule="exact"/>
        <w:rPr>
          <w:rFonts w:ascii="Times New Roman" w:cs="Times New Roman" w:eastAsia="Times New Roman" w:hAnsi="Times New Roman"/>
          <w:sz w:val="15"/>
          <w:szCs w:val="15"/>
          <w:color w:val="auto"/>
        </w:rPr>
      </w:pPr>
    </w:p>
    <w:p>
      <w:pPr>
        <w:ind w:left="1000" w:right="579" w:hanging="426"/>
        <w:spacing w:after="0" w:line="256" w:lineRule="auto"/>
        <w:tabs>
          <w:tab w:leader="none" w:pos="10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circumstances involving termination without cause or for Good Reason in connection with a Change in Control.</w:t>
      </w:r>
    </w:p>
    <w:p>
      <w:pPr>
        <w:jc w:val="both"/>
        <w:ind w:left="1000" w:right="599" w:hanging="426"/>
        <w:spacing w:after="0" w:line="256" w:lineRule="auto"/>
        <w:tabs>
          <w:tab w:leader="none" w:pos="10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health, dental, and life insurance coverage for a period of twelve months. The reported value is based upon the type of insurance coverage carried by each Named Executive Officer as of December 31, 2023 and is valued at the premiums in effect on December 31, 2023.</w:t>
      </w:r>
    </w:p>
    <w:p>
      <w:pPr>
        <w:jc w:val="both"/>
        <w:ind w:left="1000" w:right="579" w:hanging="426"/>
        <w:spacing w:after="0" w:line="261" w:lineRule="auto"/>
        <w:tabs>
          <w:tab w:leader="none" w:pos="10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unvested outstanding equity awards contain acceleration provisions, and assuming the applicability and operation of such provisions as of December 31, 2023, the Named Executive Officer could have realized the following values from acceleration (based on the closing price of $1.20 on December 29, 2023 over any applicable exercise price or par value payment obligation for such accelerated awards).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and Officer Indemnification Agreements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of the Board of Directors is responsible for assisting the Board of Directors in its oversight of the integrity of the Company’s consolidated financial statements, the qualifications and independence of the Company’s independent registered public accounting firm (which is also referred to in this document as the independent auditors), and the Company’s internal financial and accounting controls. The Audit Committee has the sole authority and responsibility to select, evaluate and replace the Company’s independent registered public accounting firm. Management is responsible for the financial reporting process, including the system of internal controls, and for the preparation of consolidated financial statements in accordance with generally accepted accounting principles. The Company’s independent auditors are responsible for auditing those financial statements and expressing an opinion as to their conformity with generally accepted accounting principles.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generally accepted accounting principles or as to auditor independence. The Audit Committee relies, without independent verification, on the information provided to it and on the representations made by management and the independent auditors.</w:t>
      </w:r>
    </w:p>
    <w:p>
      <w:pPr>
        <w:spacing w:after="0" w:line="32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met five times during 2023. The meetings were designed, among other things, to facilitate and encourage communication among the Audit Committee, management and the Company’s independent auditors. The Audit Committee discussed with the independent auditors the overall scope and plans for its audits. The Audit Committee regularly met privately with the independent auditors, who have unrestricted access to the Audit Committee.</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reviewed the audited consolidated financial statements of the Company for the fiscal year ended December 31, 2023 and has discussed them with both management and the independent auditors. The Audit Committee also discussed with management and the independent auditors the process used to support certifications by the Company’s Chief Executive Officer and Chief Financial Officer that are required by the Securities and Exchange Commission and the Sarbanes-Oxley Act of 2002 to accompany the Company’s periodic filings with the Securities and Exchange Commission.</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also discussed with the independent registered public accounting firm the matters required to be discussed by applicable standards of the Public Company Accounting Oversight Board (“PCAOB”). The Audit Committee has received the written disclosures and the letter from the independent auditors required by applicable requirements of the PCAOB regarding the independent auditors’ communications with the Audit Committee concerning independence, and the Audit Committee has discussed with the independent auditors its independence from the Company. When considering the auditors’ independence, the Audit Committee considered whether their provision of services to the Company, beyond those rendered in connection with their audit of the Company’s consolidated financial statements and review of the Company’s Quarterly Reports on Form 10-Q and Annual Report on Form 10-K, were compatible with maintaining their independence. The Audit Committee also reviewed, among other things, the audit and non-audit services performed by the independent auditors and approved the amount of fees paid for such services.</w:t>
      </w:r>
    </w:p>
    <w:p>
      <w:pPr>
        <w:spacing w:after="0" w:line="11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Based on the reviews and discussions described above, and subject to the limitations on the Audit Committee’s role and responsibilities referred to above and in the Audit Committee charter, the Audit Committee concluded that it would be reasonable to recommend, and on that basis did recommend, to the Board of Directors that the audited consolidated financial statements be included in the Company’s Annual Report on Form 10-K for the fiscal year ended December 31, 2023, as amended.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Audit Committee: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Krishnan Varier, Chairman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Max Holtzman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Timothy Mahoney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 RATIFICATION OF THE AUDITOR APPOINTMENT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GuzmanGray as our independent registered public accounting firm for the fiscal year ending December 31, 2024 and has further directed that management submit the selection of our accountants for ratification by our stockholders at the Annual Meeting. GuzmanGray has served as the Company’s independent registered public accounting firm since July 19, 2024.</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Before selecting GuzmanGray, the Audit Committee carefully considered the qualifications of GuzmanGray as independent auditors. This included a review of the qualifications of the engagement team, the quality control procedures the firm has established, and any issues raised by the most recent quality control review of the firm, as well as its reputation for integrity and competence in the fields of accounting and auditing. The Audit Committee’s review also included matters required to be considered under the SEC’s rules on auditor independence, including the nature and extent of non-audit services.</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expect representatives of GuzmanGray to be present at the Annual Meeting with the opportunity to make a statement if they desire to do so and to be available to respond to appropriate questions.</w:t>
      </w:r>
    </w:p>
    <w:p>
      <w:pPr>
        <w:spacing w:after="0" w:line="6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Selection of our Company’s independent registered public accounting firm is not required by our Bylaws or otherwise to be submitted to a vote of the stockholders of our Company for ratification. In addition, the Sarbanes-Oxley Act of 2002 requires the Audit Committee of our Board of Directors to be directly responsible for the appointment, compensation and oversight of the audit work of our independent auditors. If our stockholders fail to ratify the selection, the Audit Committee will reconsider whether to retain GuzmanGray, and may retain that firm or another without re-submitting the matter to our stockholders. Even if the selection is ratified, the Audit Committee in its discretion may direct the appointment of a different independent registered public accounting firm at any time during the year if it determines that such a change would be in the best interests of our Company and its stockholders.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affirmative vote of a majority of the votes cast on the ratification of the appointment of GuzmanGray as the Company’s independent registered public accounting firm at our Annual Meeting is required to ratify the appointment of GuzmanGray. Abstentions and broker “non-votes” are included in the number of shares present or represented for purposes of quorum but are not considered as shares voting or as votes cast with respect to any matter presented at the Annual Meeting. As a result, abstentions and broker “non-votes” will not have any effect on the proposal to ratify the appointment of GuzmanGray. If the stockholders do not ratify the selection of GuzmanGray, the Audit Committee will review the Company’s relationship with GuzmanGray and take such action as it deems appropriate, which may include continuing to retain GuzmanGray as the Company’s independent registered public accounting firm.</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ratification of the appointment of GuzmanGray.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Change in Independent Registered Public Accounting Firm</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Appointment of Matsuura</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June 20, 2024, our Audit Committee dismissed our previous independent registered public accounting firm, Marcum LLP (“Marcum”), effective as of the effective date of our engagement of MATSUURA (“Matsuura”).</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Marcum’s audit report dated April 15, 2024 on our consolidated financial statements as of and for the years ended December 31, 2023 and 2022, did not contain an adverse opinion or a disclaimer of opinion, nor was it qualified or modified as to uncertainty, audit scope or accounting principles, other than the explanatory paragraph regarding our ability to continue as a going concern.</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During the fiscal years ended December 31, 2023 and 2022 and subsequent interim periods through the date of dismissal, there have been no: (i) “disagreements” (as that term is defined in Item 304(a)(1)(iv) of Regulation S-K and the related instructions) with Marcum on any matter of accounting principles or practices, financial statement disclosure, or auditing scope or procedure, which disagreement, if not resolved to the satisfaction of Marcum, would have caused them to make reference thereto in their report on the financial statements or (ii) “reportable events” (as that term is defined in Item 304(a)(1)(v) of Regulation S-K), except that Marcum concurred with the Company’s assessment of a material weakness related to the Company’s internal controls over financial reporting.</w:t>
      </w:r>
    </w:p>
    <w:p>
      <w:pPr>
        <w:spacing w:after="0" w:line="10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provided Marcum with a copy of the disclosures required by Item 304(a) contained in our Current Report on Form 8-K prior to its filing with the Securities and Exchange Commission and requested that Marcum furnish us with a letter addressed to the Securities and Exchange Commission stating whether it agrees with the statements made by us in response to Item 304(a) of Regulation S-K. A copy of that letter, dated June 24, 2024, furnished by Marcum in response to that request, stating their agreement with such statements is filed as Exhibit 16.1 to our Current Report on Form 8-K, filed with the Securities and Exchange Commission on June 26, 2024.</w:t>
      </w:r>
    </w:p>
    <w:p>
      <w:pPr>
        <w:spacing w:after="0" w:line="32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Effective June 25, 2024, the Audit Committee appointed Matsuura as our new independent registered public accounting firm. Matsuura’s engagement will be for our fiscal year ending December 31, 2024 and related interim periods.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2023 and 2022, and through June 25, 2024, we did not consult Matsuura with respect to the application of accounting principles to a specified transaction, either completed or proposed, or the type of audit opinion that might be rendered on our consolidated financial statements, or any other matters or reportable events as defined in Item 304(a)(2)(i) and (ii) of Regulation S-K.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Appointment of GuzmanGray</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June 30, 2024, the audit practice of Matsuura was combined in a transaction pursuant to which Matsuura merged its operations with GuzmanGray, a professional corporation (“GuzmanGray”). On July 19, 2024 (the “Effective Date”), Matsuura resigned as our auditors and our Audit Committee appointed GuzmanGray as our independent registered public accounting firm effective as of the Effective Date.</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During the interim period from June 25, 2024 through the Effective Date, there have been no: (i) “disagreements” (as that term is defined in Item 304(a)(1)(iv) of Regulation S-K and the related instructions) with Matsuura on any matter of accounting principles or practices, financial statement disclosure, or auditing scope or procedure, which disagreement, if not resolved to the satisfaction of Matsuura, would have caused them to make reference thereto in their report on the financial statements or (ii) “reportable events” (as that term is defined in Item 304(a)(1)(v) of Regulation S-K).</w:t>
      </w:r>
    </w:p>
    <w:p>
      <w:pPr>
        <w:spacing w:after="0" w:line="106"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provided Matsuura with a copy of the disclosures required by Item 304(a) contained in our Current Report on Form 8-K prior to its filing with the Securities and Exchange Commission and requested that Matsuura furnish us with a letter addressed to the Securities and Exchange Commission stating whether it agrees with the statements made by us in response to Item 304(a) of Regulation S-K. A copy of that letter, dated July 19, 2024, furnished by Matsuura in response to that request, stating their agreement with such statements is filed as Exhibit 16.1 to our Current Report on Form 8-K, filed with the Securities and Exchange Commission on July 19, 2024.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2023 and 2022, and through the Effective Date, we did not consult GuzmanGray with respect to the application of accounting principles to a specified transaction, either completed or proposed, or the type of audit opinion that might be rendered on our consolidated financial statements, or any other matters or reportable events as defined in Item 304(a)(2)(i) and (ii) of Regulation S-K.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Fees and Non-Audit Services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Marcum for professional services rendered during the fiscal years ended December 31, 2023 and 2022:</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418,695</w:t>
            </w: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34,265</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31,003</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644,265</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473,131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the table above, “Audit Fees” are fees our Company paid to Marcum for professional services rendered connection with the audit of the Company’s consolidated financial statements,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registration statements); and “Tax Fees” are fees billed by Marcum either for corporate income tax return preparation and filing services and/or individual expatriate income tax services and advice.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non-audit services unless the service is specifically approved in advance by the Audit Committee or the engagement is entered into pursuant to pre-approval procedures. 100% of the audit services, or audit-related services, were pre-approved by the Audit Committee.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11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2023 and 2022 were compatible.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ITEM 3 — APPROVAL OF AN AMENDMENT OF THE ARTICLES OF INCORPORATION TO EFFECT THE REVERSE STOCK SPLIT</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Board of Directors has unanimously approved, and recommended that our stockholders approve, an amendment (the “Certificate of Amendment”) to our Articles of Incorporation, to effect a reverse stock split at a ratio of not less than 1-for-2 and not greater than 1-for-20 (the “Reverse Stock Split”), with the final decision of whether to proceed with the Reverse Stock Split, the effective time of the Reverse Stock Split, and the exact ratio of the Reverse Stock Split to be determined by the Board of Directors, in its discretion. If the stockholders approve the Reverse Stock Split, and the Board of Directors decides to implement it, the Reverse Stock Split will become effective as of 12:01 a.m., Eastern Time on a date to be determined by the Board of Directors that will be specified in the Certificate of Amendment. If the Board of Directors does not decide to implement the Reverse Stock Split within twelve months from the date of the Annual Meeting, the authority granted in this proposal to implement the reverse stock split will terminate.</w:t>
      </w:r>
    </w:p>
    <w:p>
      <w:pPr>
        <w:spacing w:after="0" w:line="11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will be realized simultaneously for all outstanding Common Stock. The Reverse Stock Split will affect all holders of Common Stock uniformly and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and will not reduce the number of authorized shares of Common Stock.</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principal reason for the reverse stock split is to increase the per share trading price of our Common Stock in order to help ensure a share price high enough to satisfy the $1.00 per share minimum bid price requirement for continued listing on The Nasdaq Capital Market (the “Bid Price Rule”), although there can be no assurance that the trading price of our Common Stock would be maintained at such level or that we will be able to maintain the listing of our Common Stock on The Nasdaq Capital Market.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Nasdaq under the Bid Price Rule. We have 180 calendar days to regain compliance with the Bid Price Rule. To regain compliance with the Minimum Bid Requirement, the closing bid price of our common stock must be at least $1.00 per share for a minimum of 10 consecutive trading days during this 180-day compliance period, unless Nasdaq staff exercises its discretion to extend this period pursuant to Nasdaq Listing Rule 5810(c)(3)(H). The compliance period for us will expire on September 3, 2024.</w:t>
      </w:r>
    </w:p>
    <w:p>
      <w:pPr>
        <w:spacing w:after="0" w:line="10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has considered the potential harm to the Company and our stockholders should Nasdaq delist our Common Stock. Delisting from Nasdaq would likely adversely affect our ability to raise additional financing through the public or private sale of equity securities and would significantly affect the ability of investors to trade our securities. Delisting would also likely negatively affect the value and liquidity of our Common Stock because alternatives, such as the OTC Bulletin Board and the pink sheets, are generally considered to be less efficient markets.</w:t>
      </w:r>
    </w:p>
    <w:p>
      <w:pPr>
        <w:spacing w:after="0" w:line="10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that our best option to comply with Nasdaq’s $1.00 minimum bid price requirement before the end of the compliance period is to effect the Reverse Stock Split to increase the per-share trading price of our Common Stock.</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addition, we believe that the low per share market price of our Common Stock impairs its marketability to and acceptance by institutional investors and other members of the investing public and could create a negative impression of the Company. Theoretically, decreasing the number of shares of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stock.</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Further, we believe that a higher stock price could help us establish business development relationships with other companies. Theoretically, decreasing the number of shares of Common Stock outstanding should not, by itself, affect our reputation in our business community. In practice, however, we believe that potential business development partners may be less confident in the prospects of a company with a low stock price, and are less likely to enter into business relationships with a company with a low stock price. If the Reverse Stock Split successfully increases the per share price of our Common Stock, we believe this may increase our ability to attract business development partners.</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further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service providers.</w:t>
      </w:r>
    </w:p>
    <w:p>
      <w:pPr>
        <w:spacing w:after="0" w:line="10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hope that the decrease in the number of shares of our outstanding Common Stock as a consequence of the reverse stock split, and the anticipated increase in the price per share, will encourage greater interest in our Common Stock by the financial community and the investing public, help us attract and retain employees and other service providers, help us raise additional capital through the sale of stock in the future if needed, and possibly promote greater liquidity for our stockholders with respect to those shares presently held by them. However, the possibility also exists that liquidity may be adversely affected by the reduced number of shares which would be outstanding if the Reverse Stock Split is effected, particularly if the price per share of our Common Stock begins a declining trend after the Reverse Stock Split is effected.</w:t>
      </w:r>
    </w:p>
    <w:p>
      <w:pPr>
        <w:spacing w:after="0" w:line="10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believes that stockholder adoption of a range of Reverse Stock Split ratios (as opposed to adoption of a single reverse stock split ratio or a set of fixed ratios) provides maximum flexibility to achieve the purposes of a reverse stock split and, therefore, is in the best interests of the Company. In determining a ratio following the receipt of stockholder adoption, the Board of Directors (or any authorized committee of the Board of Directors) may consider, among other things, factors such as:</w:t>
      </w:r>
    </w:p>
    <w:p>
      <w:pPr>
        <w:spacing w:after="0" w:line="105" w:lineRule="exact"/>
        <w:rPr>
          <w:sz w:val="20"/>
          <w:szCs w:val="20"/>
          <w:color w:val="auto"/>
        </w:rPr>
      </w:pPr>
    </w:p>
    <w:p>
      <w:pPr>
        <w:ind w:left="1400" w:hanging="406"/>
        <w:spacing w:after="0"/>
        <w:tabs>
          <w:tab w:leader="none" w:pos="1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trading price and trading volume of our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our Common Stock outstanding;</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then-prevailing trading price and trading volume of our Common Stock and the anticipated impact of the Reverse Stock Split on the trading market for our Common Stock;</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impact of a particular ratio on our ability to reduce administrative and transactional costs;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listing requirements of Nasdaq;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general market and economic conditions.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(or any authorized committee of the Board of Directors) reserves the right to elect to abandon the Reverse Stock Split, notwithstanding stockholder adoption thereof, if it determines, in its sole discretion, that the Reverse Stock Split is no longer in the best interests of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Reverse Stock Split Amendment to the Charter</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the Reverse Stock Split is approved by the stockholders and the Board of Directors elects to implement it, the following paragraph shall be added after the last paragraph of Article 3 of the Charter:</w:t>
      </w:r>
    </w:p>
    <w:p>
      <w:pPr>
        <w:spacing w:after="0" w:line="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i w:val="1"/>
          <w:iCs w:val="1"/>
          <w:color w:val="auto"/>
        </w:rPr>
        <w:t>________ ___,</w:t>
      </w:r>
      <w:r>
        <w:rPr>
          <w:rFonts w:ascii="Times New Roman" w:cs="Times New Roman" w:eastAsia="Times New Roman" w:hAnsi="Times New Roman"/>
          <w:sz w:val="17"/>
          <w:szCs w:val="17"/>
          <w:color w:val="auto"/>
        </w:rPr>
        <w:t xml:space="preserve"> 20</w:t>
      </w:r>
      <w:r>
        <w:rPr>
          <w:rFonts w:ascii="Times New Roman" w:cs="Times New Roman" w:eastAsia="Times New Roman" w:hAnsi="Times New Roman"/>
          <w:sz w:val="17"/>
          <w:szCs w:val="17"/>
          <w:i w:val="1"/>
          <w:iCs w:val="1"/>
          <w:color w:val="auto"/>
        </w:rPr>
        <w:t>__</w:t>
      </w:r>
      <w:r>
        <w:rPr>
          <w:rFonts w:ascii="Times New Roman" w:cs="Times New Roman" w:eastAsia="Times New Roman" w:hAnsi="Times New Roman"/>
          <w:sz w:val="17"/>
          <w:szCs w:val="17"/>
          <w:color w:val="auto"/>
        </w:rPr>
        <w:t>, at 12:01 a.m. (the “Effective Time”), each _____ (_____) shares of Common</w:t>
      </w:r>
    </w:p>
    <w:p>
      <w:pPr>
        <w:spacing w:after="0" w:line="34"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Stock issued and outstanding at such time shall, automatically and without any further action on the part of the Corporation or the holder thereof, be combined into one (1) validly issued, fully paid and non-assessable share of Common Stock (the “Reverse Stock Split”), subject to the treatment of fractional share interests as described below. The par value of the Common Stock following the Reverse Stock Split shall remain $0.001 per share. No fractional shares shall be issued upon the Reverse Stock Split. If the Reverse Stock Split would result in the issuance of a fraction of a share of Common Stock, the Corporation shall, in lieu of issuing any such fractional share, entitle the holder who would otherwise be entitled to a fraction share of Common Stock to receive a cash payment (the “Fractional Share Payment”) equal to the fraction of which such holder would otherwise be entitled multiplied by the closing price per share of Common Stock on the date of the Effective Time as reported by the Nasdaq Capital Market (as adjusted 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give effect to the Reverse Stock Split);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 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Fractional Share Payment automatically and without any action by the holder.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the stockholders approve the proposal to authorize the Board of Directors to implement the Reverse Stock Split and the Board of Directors implements the Reverse Stock Split, we will amend the existing provision of Article 3 of our Charter in the manner set forth above.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By approving this amendment, stockholders will approve the combination of any whole number of shares of Common Stock between and including two (2) and twenty (20), with the exact number to be determined by the Board of Directors, into one (1) share. The Certificate of Amendment to be filed with the Secretary of State of the State of Nevada will include only that number determined by the Board of Directors to be in the best interests of the Company and its stockholders. In accordance with these resolutions, the Board of Directors will not implement any amendment providing for a different split ratio.</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explained above, 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for immaterial adjustments that may result from the treatment of fractional shares as described below. Common Stock issued pursuant to the Reverse Stock Split will remain fully paid and non-assessable. The Reverse Stock Split will not affect the Company’s continuing obligations under the periodic reporting requirements of the Securities Exchange Act of 1934, as amended (the “Exchange Act”). Following the Reverse Stock Split, our Common Stock will continue to be listed on The Nasdaq Capital Market, under the symbol “AGFY,” although it would receive a new CUSIP number.</w:t>
      </w:r>
    </w:p>
    <w:p>
      <w:pPr>
        <w:spacing w:after="0" w:line="32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Upon effectiveness of the Reverse Stock Split, the number of authorized shares of Common Stock that are not issued or outstanding will increase substantially, because the proposed amendment will not reduce the number of authorized shares, while it will reduce the number of outstanding shares by a factor of between and including two (2) and twenty (20), depending on the exchange ratio selected by the Board of Directors.</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shares that are authorized but unissued after the Reverse Stock Split will be available for issuance, and, if we issue these shares, the ownership interest of holders of our Common Stock may be diluted. We may issue such shares to raise capital and/or as consideration in acquiring other businesses or establishing strategic relationships with other companies. Such acquisitions or strategic relationships may be effected using shares of Common Stock or other securities convertible into Common Stock and/or by using capital that may need to be raised by selling such securities. We do not have any agreement, arrangement or understanding at this time with respect to any specific transaction for which the newly unissued authorized shares would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Procedure for Effecting Reverse Stock Split and Exchange of Stock Certificates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the Reverse Stock Split is approved by the Company’s stockholders, and if at such time the Board of Directors still believes that a Reverse Stock Split is in the best interests of the Company and its stockholders, the Board of Directors will determine the ratio of the Reverse Stock Split to be implemented. The Reverse Stock Split will become effective as of 12:01 a.m., Eastern Time on the date specified in the Certificate of Amendment as filed with the office of the Secretary of State of the State of Nevada. The Board of Directors will determine the exact timing of the filing of the Certificate of Amendment based on its evaluation as to when the filing would be the most advantageous to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Company and its stockholders. If the Board of Directors does not decide to implement the Reverse Stock Split within twelve months from the date of the Annual Meeting, the authority granted in this proposal to implement the Reverse Stock Split will terminate.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Except as described below under the section titled “Fractional Shares,” at the effective time, each whole number of issued and outstanding pre-reverse split shares that the Board of Directors has determined will be combined into one post-reverse split share, will, automatically and without any further action on the part of our stockholders, be combined into and become one share of Common Stock, and each certificate which, immediately prior to the effective time represented pre-reverse stock split shares, will be deemed for all corporate purposes to evidence ownership of post-reverse split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Fractional Shares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 fractional shares will be issued in connection with the Reverse Stock Split. Instead, each stockholder will be entitled to receive a cash payment in lieu of such fractional share. The cash payment to be paid will be equal to the fraction of a share to which such holder would otherwise be entitled multiplied by the closing price per share of common stock on the date of the Effective Time as reported by Nasdaq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issued or received. Each holder of Common Stock will hold the same percentage of the outstanding Common Stock immediately following the Reverse Stock Split as that stockholder did immediately before the Reverse Stock Split, except for adjustments due to fraction shares.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Associated with the Reverse Stock Split</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cannot predict whether the Reverse Stock Split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05" w:lineRule="exact"/>
        <w:rPr>
          <w:sz w:val="20"/>
          <w:szCs w:val="20"/>
          <w:color w:val="auto"/>
        </w:rPr>
      </w:pPr>
    </w:p>
    <w:p>
      <w:pPr>
        <w:jc w:val="both"/>
        <w:ind w:left="1420" w:right="579" w:hanging="426"/>
        <w:spacing w:after="0" w:line="270" w:lineRule="auto"/>
        <w:tabs>
          <w:tab w:leader="none" w:pos="14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per share of our shares of Common Stock post-Reverse Stock Split may not remain in excess of the $1.00 minimum bid price per share as required by Nasdaq, or the Company may fail to meet the other requirements for continued listing on Nasdaq, resulting in the delisting of our Common Stock.</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if completed, will result in the intended benefits described above.</w:t>
      </w:r>
    </w:p>
    <w:p>
      <w:pPr>
        <w:spacing w:after="0" w:line="309"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could be viewed negatively by the market and other factors, such as those described above, may adversely affect the market price of the shares of our Common Stock. Consequently, the market price per post-Reverse Stock Split shares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13"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Book-Entry Shares</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Certificated Shares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w:t>
      </w:r>
    </w:p>
    <w:p>
      <w:pPr>
        <w:spacing w:after="0" w:line="11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STOCKHOLDERS SHOULD NOT DESTROY ANY STOCK CERTIFICATE(S) AND SHOULD NOT SUBMIT ANY CERTIFICATE(S) UNTIL REQUESTED TO DO SO.</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Principal Effects of Reverse Stock Split on Outstanding Options, Restricted Stock Units, Warrants, ESPP, and Option Plan</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of the Record Date, there were outstanding stock options to purchase an aggregate of 10,026 shares of our Common Stock with a weighted average exercise price of $957.82 per share, restricted stock units to purchase an aggregate of 1,827 shares of our Common Stock, and warrants to purchase an aggregate of 7,876,712 shares of common stock with a weighted average exercise price of $0.001 per share. When the Reverse Stock Split becomes effective, the number of shares of Common Stock covered by such rights will be reduced to between and including one-half and one-tenth the number currently covered, and the exercise or conversion price per share will be increased by between and including two and twenty times the current exercise or conversion price, resulting in the same aggregate price being required to be paid therefor upon exercise or conversion thereof as was required immediately preceding the Reverse Stock Split.</w:t>
      </w:r>
    </w:p>
    <w:p>
      <w:pPr>
        <w:spacing w:after="0" w:line="11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the number of shares of Common Stock and number of shares of Common Stock subject to stock options or similar rights authorized under the Company’s equity incentive plan and employee stock purchase plan will be proportionately adjusted by the Compensation Committee for the reverse stock split ratio, such that fewer shares will be subject to such plans. Further, the Compensation Committee will proportionately adjust the per share exercise price under such plans to reflect the Reverse Stock Split.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Matters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of Directors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 outstanding. All historic share and per share amounts in our financial statements and related footnotes will be adjusted accordingly for the Reverse Stock Split.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on Par Value</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proposed amendment to our Restated Certificate of Incorporation will not affect the par value of our common stock, which will remain at $0.001 per share.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Going Private Transaction</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Dissenters’ Appraisal Rights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Under Nevada Revised Statutes, the Company’s stockholders are not entitled to dissenters’ appraisal rights with respect to the Reverse Stock Split, and the Company will not independently provide stockholders with any such right.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of the Reverse Stock Split</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is not intended as tax or legal advice. Each holder should seek advice based on his, her or its particular circumstances from an independent tax advisor.</w:t>
      </w:r>
    </w:p>
    <w:p>
      <w:pPr>
        <w:spacing w:after="0" w:line="8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following is a summary of certain United States federal income tax consequences of the Reverse Stock Split generally applicable to beneficial holders of shares of our Common Stock but does not purport to be a complete analysis of all potential tax effects. This summary addresses only such stockholders who hold their pre-reverse stock split shares as capital assets and will hold the post-reverse stock split shares as capital assets. This discussion does not address all United States federal income tax considerations that may be relevant to particular stockholders in light of their individual circumstances or to stockholders that are, insurance companies, dealers in securities, and foreign stockholders. The following summary is based upon the provisions of the Internal Revenue Code of 1986, as amended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its tax advisor as to the particular facts and circumstances which may be unique to such stockholder and also as to any estate, gift, state, local or foreign tax considerations arising out of the Reverse Stock Split.</w:t>
      </w:r>
    </w:p>
    <w:p>
      <w:pPr>
        <w:spacing w:after="0" w:line="32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This discussion is limited to holders of our Common Stock that are U.S. Holders. For purposes of this discussion, a “U.S. Holder” is a beneficial owner of our Common Stock that, for U.S. federal income tax purposes, is or is treated as:</w:t>
      </w:r>
    </w:p>
    <w:p>
      <w:pPr>
        <w:spacing w:after="0" w:line="85" w:lineRule="exact"/>
        <w:rPr>
          <w:sz w:val="20"/>
          <w:szCs w:val="20"/>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under the laws of the United States, any state thereof, or the District of Columbia;</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Furthermore, the following discussion does not address any tax consequences of transactions effectuated before, after or at the same time as the Reverse Stock Split, whether or not they are in connection with the Reverse Stock Split.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Exchange Pursuant to Reverse Stock Split</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Reverse Stock Split should constitute a “recapitalization” for U.S. federal income tax purposes. No gain or loss will be recognized by a stockholder upon such stockholder’s exchange of pre-reverse stock split shares for post-reverse stock split shares pursuant to the Reverse Stock Split. The aggregate tax basis of the post-reverse stock split shares received in the Reverse Stock Split, will be equal to the aggregate tax basis of the pre-reverse stock split</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shares exchanged therefor, and the holding period of the post-reverse stock split shares will include the holding period of the pre-reverse stock split shares. Treasury Regulations provide detailed rules for allocating the tax basis and holding period of the shares of our Common Stock surrendered to the shares of our Common Stock received in a recapitalization pursuant to the Reverse Stock Split. U.S. Holders of shares of our Common Stock acquired on different dates and at different prices should consult their tax advisors regarding the allocation of the tax basis and holding period of such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Directors and Executive Officers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Reservation of Right to Abandon Reverse Stock Split</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reserve the right to not file the Certificate of Amendment and to abandon any reverse stock split without further action by our stockholders at any time before the effectiveness of the filing with the Secretary of State of the State of Nevada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If a quorum is present, the affirmative vote of holders of a majority of the outstanding shares of Common Stock will be required to approve the proposed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 </w:t>
      </w:r>
      <w:r>
        <w:rPr>
          <w:rFonts w:ascii="Times New Roman" w:cs="Times New Roman" w:eastAsia="Times New Roman" w:hAnsi="Times New Roman"/>
          <w:sz w:val="17"/>
          <w:szCs w:val="17"/>
          <w:b w:val="1"/>
          <w:bCs w:val="1"/>
          <w:color w:val="auto"/>
        </w:rPr>
        <w:t>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 not voted (whether by abstention or otherwise) will have the same effect as a vote “against” Item 3. Accordingly, it is important that beneficial owners instruct their brokers how they wish to vote their shares on Item 3.</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ITEM 4 — APPROVAL OF AN AMENDMENT TO PRE-FUNDED WARRANTS TO INCREASE THE NUMBER OF SHARES OF COMMON STOCK UNDERLYING THE WARRANTS UPON CERTAIN EQUITY ISSUANCES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are asking stockholders to approve a future amendment to our pre-funded warrants that are currently exercisable for up to 15,259,765 shares of Common Stock (the “Pre-Funded Warrants”) to increase in the number of shares of Common Stock underlying those warrants under certain circumstances, as described in more detail below.</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January 25, 2024, following stockholder approval at an annual meeting of stockholders on January 8, 2024, we and CP Acquisitions LLC, an affiliate of Raymond Chang and I-Tseng Jenny Chan (“CP Acquisitions”), consolidated the outstanding principal and interest due under a junior secured note and an exchange note (the “Previous Notes”) into a Senior Secured Amended, Restated and Consolidated Convertible Note (as amended, the “CP Note”), with an outstanding principal amount of approximately $18.9 million at the time of issuance. Immediately following the execution of the CP Note, CP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CP Note. On May 21, 2024, we and CP Acquisitions entered into an amendment to the CP Note, pursuant to which CP may elect, in lieu of shares of common stock issuable upon conversion of the CP Senior Secured Note, to instead receive Pre-Funded Warrants. The conversion price applicable to the Pre-Funded Warrants remained unchanged at $1.46.</w:t>
      </w:r>
    </w:p>
    <w:p>
      <w:pPr>
        <w:spacing w:after="0" w:line="11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July 12, 2023, we issued an unsecured promissory note to GIC Acquisition LLC (“GIC”), an entity that is indirectly owned and managed by Raymond Chang, and on October 27, 2023, we and GIC amended and restated the GIC Note to extend the maturity date to December 31, 2023, and to grant a security interest in our assets that ranks junior to the CP Senior Secured Note (the “GIC Note”). On January 25, 2024, we and GIC amended and restated the GIC Note to increase the principal amount thereunder to $1.0 million and to extend the maturity date until June 30, 2024. On May 21, 2024, we and GIC amended and restated the GIC Note to increase the aggregate principal amount to approximately $2.29 million, extend the maturity date to December 31, 2025, and provide that the GIC Note may be converted into Common Stock or, at GIC’s election, Pre-Funded Warrants, in each case at a conversion price of $0.31.</w:t>
      </w:r>
    </w:p>
    <w:p>
      <w:pPr>
        <w:spacing w:after="0" w:line="9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Immediately following the execution of the amendment to the CP Note, CP elected to convert $11.5 million of outstanding principal into a Pre-Funded Warrant exercisable at issuance for up to 7,876,712 shares of Common Stock (the “CP Warrants”). Immediately following the execution of the GIC Note, GIC elected to convert all of the outstanding principal and accrued but unpaid interest under the GIC Note into a Pre-Funded Warrant exercisable at issuance for up to 7,383,053 shares of Common Stock (the “GIC Warrants”). The Pre-Funded Warrants included an Adjustment Provision (as described below), subject to stockholder approval pursuant to Nasdaq Listing Rule 5635.</w:t>
      </w:r>
    </w:p>
    <w:p>
      <w:pPr>
        <w:spacing w:after="0" w:line="112"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June 30, 2024, we and CP entered into an amendment to the CP Warrants (the “CP Warrant Amendment”). The CP Warrant Amendment amended the CP Warrants to (i) remove the Adjustment Provision and (ii) increase the threshold for a change of control, for purposes of determining whether a Fundamental Transaction has occurred (as such term is defined in the CP Warrants), from 50% of our outstanding common stock as originally provided in the CP Warrant to greater than 50% of our outstanding common stock.</w:t>
      </w:r>
    </w:p>
    <w:p>
      <w:pPr>
        <w:spacing w:after="0" w:line="10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On June 30, 2024, we and GIC entered into an amendment to the GIC Warrants (the “GIC Warrant Amendment”). The GIC Warrant Amendment amended the GIC Warrants to (i) remove the Adjustment Provision and (ii) increase the threshold for a change of control, for purposes of determining whether a Fundamental Transaction has occurred (as such term is defined in the GIC Warrants), from 50% of our outstanding common stock as originally provided in the GIC Warrant to greater than 50% of our outstanding common stock.</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Pre-Funded Warrants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Pre-Funded Warrants have an exercise price of $0.001 per share, became exercisable upon issuance, will expire when the applicable warrant is exercised in full, and are exercisable on a cash basis or, if there is no effective registration statement registering the resale of the underlying shares of common stock, on a cashless exercise basis at CP’s discretion.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Subject to the approval of this Item 4 at the Annual Meeting, at a future date prior to our next annual meeting of stockholders, we may amend the Pre-Funded Warrants to provide that each time we consummate any bona fide equity financing with the primary purpose of raising capital, then the number of shares of Common Stock underlying the Pre-Funded Warrants will be increased (the “Adjustment Provision”) to an amount equal to (i) the amount of the CP Note or GIC Note, as applicable, that was originally converted into the applicable Pre-Funded Warrants divided by (ii) the purchase or conversion price in the equity financing transaction, subject to proportional adjustment in the event the Pre-Funded Warrant has been partially exercised.</w:t>
      </w:r>
    </w:p>
    <w:p>
      <w:pPr>
        <w:spacing w:after="0" w:line="11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foregoing summaries of the form of the amendment to the CP Note, the Pre-Funded Warrant, the GIC Note, the CP Warrant Amendment and the GIC Warrant Amendment do not purport to be complete, and are qualified in their entirety by reference to copies of those documents, which are filed as Exhibits 4.1, 4.2 and 4.3 to the Current Report on Form 8-K that we filed with the Securities and Exchange Commission on May 22, 2024 and Exhibits 4.1 and 4.2 to the Current Report on Form 8-K that we filed on July 3, 2024, respectively, which are incorporated by reference herein.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Purpose of Item 4</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at a price that is less than the lower of (i) the Nasdaq Official Closing Price immediately preceding the signing of the binding agreement, or (ii) the average Nasdaq Official Closing Price for the five trading days immediately preceding the signing of the binding agreement. Additionally, Nasdaq Rule 5635(c) requires stockholder approval of securities issuances to officers, directors, employees or consultants where, among other things, the purchase price is less than the consolidated closing bid price immediately preceding the time the issuer enters into a binding agreement to issue the securities (the “Minimum Price”)</w:t>
      </w:r>
    </w:p>
    <w:p>
      <w:pPr>
        <w:spacing w:after="0" w:line="9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conversion price used for the partial conversion of the CP Note for Pre-Funded Warrants was equal to the Minimum Price at the time the definitive agreement relating to the CP Note was executed, and the conversion price used for the partial conversion of the GIC Note for Pre-Funded Warrants was equal to the Minimum Price at the time the definitive agreement relating to the GIC Note was executed. However, in the future, if the Company amends the Pre-Funded Warrants, the Adjustment Provision, as described above, could result in a larger number of shares of Common Stock underlying the Pre-Funded Warrants, which would effectively reduce the conversion price under the CP Note and the GIC Note to an amount that is lower than the applicable Minimum Price. Therefore, to comply with Rules 5635(c) and 5635(d), we are seeking shareholder approval to permit the increase in the number of shares of Common Stock underlying the Pre-Funded Warrants pursuant to any future amendment of the Pre-Funded Warrants that will include the Adjustment Provision in the event we undertake any transaction that results in the application of that provision.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Consequences if Item 4 is Not Approved</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is not seeking the approval of our stockholders to authorize the issuance of the CP Note, the GIC Note or the Pre-Funded Warrants, as amended, as that has already occurred. The failure of our stockholders to approve this Item 4 will mean that the Pre-Funded Warrants will not be able to be amended to include the Adjustment Provision, and the number of shares of Common Stock underlying the Pre-Funded Warrants will remain the same in the event of a future equity financing.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Item 4</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this Item 4 is approved, existing stockholders will suffer dilution in their ownership interests in the future as a result of the potential issuance of shares of Common Stock upon exercise of the Pre-Funded Warrants. The sale into the public market of these shares also could materially and adversely affect the market price of our Common Stock.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Raymond Chang, the Chief Executive Officer of the Company and a member of our Board of Directors, and I-Tseng Jenny Chan, a member of our Board of Directors, have a substantial interest in this Item 4, due to their shared ownership and control of CP and Mr. Chang’s ownership and control of GIC.</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increase in the number of shares of Common Stock underlying the Pre-Funded Warrants upon an amendment and the occurrence of certain equity issuances.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an amendment to the Pre-Funded Warrants to increase the number of shares of Common Stock underlying those warrants upon the occurrence of certain equity issuances.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5 — APPROVAL OF AMENDMENT TO THE 2022 OMNIBUS EQUITY INCENTIVE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are proposing that our stockholders approve the amendment of the Agrify Corporation 2022 Omnibus Equity Incentive Plan (as amended, the “2022 Omnibus Plan” and such amendment, the “Plan Amendment”) to increase by 2,500,000 shares the number of authorized shares of Common Stock available for issuance under the 2022 Omnibus Plan. Our Board of Directors believes that our continued growth and success depends, in large part, on our ability to maintain a competitive position by attracting, retaining and motivating key employees with experience and ability, which is vital to our future success, and to align our employees’ compensation with building shareholder value. Our 2022 Omnibus Plan is an integral part of this strategy. We currently have 58,158 shares available under our 2022 Omnibus Plan, thus potentially impairing our ability to attract and retain key employees through the grant of stock-based awards. The 2022 Omnibus Plan is designed to attract, motivate and retain employees, directors and consultants and to further our growth and financial success by aligning the interests of those persons through ownership with the interests of our stockholders.</w:t>
      </w:r>
    </w:p>
    <w:p>
      <w:pPr>
        <w:spacing w:after="0" w:line="11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2022 Omnibus Plan currently authorizes the grant of stock options and other stock-based awards to our officers, employees, non-employee directors and consultants. On July 8, 2024, the Board of Directors approved the Plan Amendment, subject to stockholder approval.</w:t>
      </w:r>
    </w:p>
    <w:p>
      <w:pPr>
        <w:spacing w:after="0" w:line="98"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believes that the proposed amendment of the 2022 Omnibus Plan is in the best interests of, and will provide long-term advantages to, us and our stockholders and recommends the approval by our stockholders of the Plan Amendment. Stock options and other stock-based incentive awards are given to our employees, officers, directors and consultants upon whose judgment, initiative and efforts we largely depend for the successful conduct of our business. These incentives provide our employees, consultants and directors with a pecuniary interest in our Company, thereby stimulating their commitment on our behalf and strengthening their desire to remain with us. Our Board of Directors anticipates that this direct stake in our future success also assures a closer alignment of the interests of employees with those of our stockholders.</w:t>
      </w:r>
    </w:p>
    <w:p>
      <w:pPr>
        <w:spacing w:after="0" w:line="10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we cannot increase the amount of shares of Common Stock available for issuance pursuant to the Plan Amendment, it could have a negative impact on our ability to retain and attract Board members.</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Accordingly, we are seeking stockholder approval of the Plan Amendment. In the event that the Plan Amendment is not approved by stockholders, the 2022 Omnibus Plan will continue in effect without the amendment described above.</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of July 22, 2024: (i) 58,158 shares of our Common Stock remained available for future awards under the 2022 Omnibus Plan, (ii) 10,026 shares of our Common Stock were subject to outstanding options under the 2022 Omnibus Plan (with the outstanding options having a weighted average exercise price of $957.82 per share and a weighted average term to scheduled expiration of 6.1 years), and (iii) 1,827 shares of our Common Stock were subject to unvested restricted stock units. During the fiscal year ended December 31, 2023, our board of directors approved the grant of options to purchase 0 shares of Common Stock and the grant of 2,248,493 restricted stock units under the 2022 Omnibus Plan.</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Based solely on the closing price of our Common Stock as reported on The Nasdaq Capital Market on July 19, 2024, the maximum aggregate market value of the 2,500,000 additional shares that could potentially be issued under the 2022 Omnibus Plan, assuming the Plan Amendment is approved, is approximately $775,000. The shares available for issuance by us under the 2022 Omnibus Plan will be authorized but unissued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Highlights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Some of the key features of the 2022 Omnibus Plan, as proposed to be amended by the Plan Amendment, that reflect Agrify’s commitment to effective management of incentive compensation are as follows:</w:t>
      </w:r>
    </w:p>
    <w:p>
      <w:pPr>
        <w:spacing w:after="0" w:line="79" w:lineRule="exact"/>
        <w:rPr>
          <w:sz w:val="20"/>
          <w:szCs w:val="20"/>
          <w:color w:val="auto"/>
        </w:rPr>
      </w:pPr>
    </w:p>
    <w:p>
      <w:pPr>
        <w:jc w:val="both"/>
        <w:ind w:left="1420" w:right="599" w:hanging="426"/>
        <w:spacing w:after="0" w:line="267" w:lineRule="auto"/>
        <w:tabs>
          <w:tab w:leader="none" w:pos="1415" w:val="left"/>
        </w:tabs>
        <w:numPr>
          <w:ilvl w:val="0"/>
          <w:numId w:val="5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Plan Limits. </w:t>
      </w:r>
      <w:r>
        <w:rPr>
          <w:rFonts w:ascii="Times New Roman" w:cs="Times New Roman" w:eastAsia="Times New Roman" w:hAnsi="Times New Roman"/>
          <w:sz w:val="17"/>
          <w:szCs w:val="17"/>
          <w:color w:val="auto"/>
        </w:rPr>
        <w:t>Total awards under the 2022 Omnibus Plan in general are limited to a maximum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2,760,000 authorized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shares of Common Stock underlying any award granted under the Agrify Corporation 2020 Omnibus Equity Incentive Plan (the “2020 Omnibus Plan”) that expires, terminates or is canceled or forfeited under the terms of the 2020 Omnibus Plan.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420" w:right="579" w:hanging="426"/>
        <w:spacing w:after="0" w:line="263" w:lineRule="auto"/>
        <w:tabs>
          <w:tab w:leader="none" w:pos="1415" w:val="left"/>
        </w:tabs>
        <w:numPr>
          <w:ilvl w:val="0"/>
          <w:numId w:val="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 Liberal Share Recycling on Stock Options or SARs. </w:t>
      </w:r>
      <w:r>
        <w:rPr>
          <w:rFonts w:ascii="Times New Roman" w:cs="Times New Roman" w:eastAsia="Times New Roman" w:hAnsi="Times New Roman"/>
          <w:sz w:val="17"/>
          <w:szCs w:val="17"/>
          <w:color w:val="auto"/>
        </w:rPr>
        <w:t>The 2022 Omnibus Plan provides that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covering awards that are canceled, forfeited or terminated without issuance of the full number of shares of Common Stock to which the award is related will again be available for issuance under the 2022 Omnibus Plan. The following shares will not be added back to the aggregate plan limit: (i) shares tendered in payment of the exercise price for an option, (ii) shares we withhold to satisfy tax withholding obligations (other than with respect to Restricted Stock, Restricted Stock Unit awards or Performance Share Awards), and (iii) stock appreciation rights (“SARs”) that are settled in stock.</w:t>
      </w:r>
    </w:p>
    <w:p>
      <w:pPr>
        <w:spacing w:after="0" w:line="321" w:lineRule="exact"/>
        <w:rPr>
          <w:rFonts w:ascii="Times New Roman" w:cs="Times New Roman" w:eastAsia="Times New Roman" w:hAnsi="Times New Roman"/>
          <w:sz w:val="17"/>
          <w:szCs w:val="17"/>
          <w:i w:val="1"/>
          <w:iCs w:val="1"/>
          <w:color w:val="auto"/>
        </w:rPr>
      </w:pPr>
    </w:p>
    <w:p>
      <w:pPr>
        <w:jc w:val="both"/>
        <w:ind w:left="1420" w:right="599" w:hanging="426"/>
        <w:spacing w:after="0" w:line="278"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Repricing or Cash Buyouts. </w:t>
      </w:r>
      <w:r>
        <w:rPr>
          <w:rFonts w:ascii="Times New Roman" w:cs="Times New Roman" w:eastAsia="Times New Roman" w:hAnsi="Times New Roman"/>
          <w:sz w:val="17"/>
          <w:szCs w:val="17"/>
          <w:color w:val="auto"/>
        </w:rPr>
        <w:t>Stock option and SAR repricing (including reducing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stock options or replacing an award with cash or another award type) is prohibited without stockholder approval under the 2022 Omnibus Plan.</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Dividends on Unvested Restricted Shares or RSUs. </w:t>
      </w:r>
      <w:r>
        <w:rPr>
          <w:rFonts w:ascii="Times New Roman" w:cs="Times New Roman" w:eastAsia="Times New Roman" w:hAnsi="Times New Roman"/>
          <w:sz w:val="17"/>
          <w:szCs w:val="17"/>
          <w:color w:val="auto"/>
        </w:rPr>
        <w:t>Under the 2022 Omnibus Plan,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unvested Restricted Stock or Restricted Stock Units will not have any rights to receive dividends with respect to such Awards.</w:t>
      </w:r>
    </w:p>
    <w:p>
      <w:pPr>
        <w:spacing w:after="0" w:line="80" w:lineRule="exact"/>
        <w:rPr>
          <w:rFonts w:ascii="Times New Roman" w:cs="Times New Roman" w:eastAsia="Times New Roman" w:hAnsi="Times New Roman"/>
          <w:sz w:val="17"/>
          <w:szCs w:val="17"/>
          <w:color w:val="auto"/>
        </w:rPr>
      </w:pPr>
    </w:p>
    <w:p>
      <w:pPr>
        <w:jc w:val="both"/>
        <w:ind w:left="1420" w:right="599" w:hanging="426"/>
        <w:spacing w:after="0" w:line="275"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Vesting Period. </w:t>
      </w:r>
      <w:r>
        <w:rPr>
          <w:rFonts w:ascii="Times New Roman" w:cs="Times New Roman" w:eastAsia="Times New Roman" w:hAnsi="Times New Roman"/>
          <w:sz w:val="17"/>
          <w:szCs w:val="17"/>
          <w:color w:val="auto"/>
        </w:rPr>
        <w:t>Generally, all awards will have a minimum vesting period of at least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subject to an exception of 5% of the aggregate shares authorized for grant under the 2022 Omnibus Plan and certain other limited exceptions as described below and in the 2022 Omnibus Plan.</w:t>
      </w:r>
    </w:p>
    <w:p>
      <w:pPr>
        <w:spacing w:after="0" w:line="310"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Subject to Forfeiture or Clawback. </w:t>
      </w:r>
      <w:r>
        <w:rPr>
          <w:rFonts w:ascii="Times New Roman" w:cs="Times New Roman" w:eastAsia="Times New Roman" w:hAnsi="Times New Roman"/>
          <w:sz w:val="17"/>
          <w:szCs w:val="17"/>
          <w:color w:val="auto"/>
        </w:rPr>
        <w:t>Awards under the 2022 Omnibus Plan will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clawback in certain circumstances as well as any other forfeiture and penalty conditions determined by the Compensation Committee in the Company’s clawback policy.</w:t>
      </w:r>
    </w:p>
    <w:p>
      <w:pPr>
        <w:spacing w:after="0" w:line="93"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Automatic “Single Trigger” Vesting. </w:t>
      </w:r>
      <w:r>
        <w:rPr>
          <w:rFonts w:ascii="Times New Roman" w:cs="Times New Roman" w:eastAsia="Times New Roman" w:hAnsi="Times New Roman"/>
          <w:sz w:val="17"/>
          <w:szCs w:val="17"/>
          <w:color w:val="auto"/>
        </w:rPr>
        <w:t>The 2022 Omnibus Plan does not contain an automatic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single-trigger vesting provision that would accelerate awards solely upon a change-in-control (as defined in the 2022 Omnibus Plan).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2022 Omnibus Plan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description of the provisions of the 2022 Omnibus Plan, as proposed to be amended by the Plan Amendment, is set forth below. This summary is qualified in its entirety by the detailed provisions of the amended 2022 Omnibus Plan. A copy of the 2022 Omnibus Plan, with the proposed amendments marked, has been filed with the Securities and Exchange Commission with this proxy statement and is attached hereto as Appendix A. Any stockholder who wishes to obtain a printed copy of the 2022 Omnibus Plan may do so by written request to the Secretary at our principal executive offices set forth above.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2022 Omnibus Plan will be administered by a committee (the “Plan Committee”), which shall consist of two (2) or more members of our Board appointed by our Board or such other committee of our Board to which it has properly delegated power, or if no such Plan Committee or subcommittee exists, our Board. To the extent required by applicable law, rule, or regulation, it is intended that each member of the Plan Committee shall qualify as (a) a “non-employee director” under Rule 16b-3, and (b) an “independent director” under the rules of any national securities exchange or national securities association, as applicable.</w:t>
      </w:r>
    </w:p>
    <w:p>
      <w:pPr>
        <w:spacing w:after="0" w:line="106"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The Plan Committee is authorized to, among other things: (a) interpret, administer, reconcile any inconsistency in, correct any defect in and/or supply any omission in the 2022 Omnibus Plan and any instrument or agreement relating to, or any award granted under, the 2022 Omnibus Plan (each, an “Award”);</w:t>
      </w:r>
    </w:p>
    <w:p>
      <w:pPr>
        <w:spacing w:after="0" w:line="2" w:lineRule="exact"/>
        <w:rPr>
          <w:sz w:val="20"/>
          <w:szCs w:val="20"/>
          <w:color w:val="auto"/>
        </w:rPr>
      </w:pPr>
    </w:p>
    <w:p>
      <w:pPr>
        <w:jc w:val="both"/>
        <w:ind w:left="580" w:right="579" w:hanging="6"/>
        <w:spacing w:after="0" w:line="260" w:lineRule="auto"/>
        <w:tabs>
          <w:tab w:leader="none" w:pos="83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promulgate, amend, and rescind any rules and regulations relating to the 2022 Omnibus Plan; (c) adopt sub-plans; and (d) to make any other determination and take any other action that the Plan Committee deems necessary or desirable for the administration of the 2022 Omnibus Plan. Except to the extent prohibited by applicable law regulations, the Plan Committee may allocate all or any portion of its responsibilities and powers to any one (1) or more of its members and may delegate all or any part of its responsibilities and powers to any person or persons selected by it in accordance with the terms of the 2022 Omnibus Plan.</w:t>
      </w:r>
    </w:p>
    <w:p>
      <w:pPr>
        <w:spacing w:after="0" w:line="10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Unless otherwise expressly provided in the 2022 Omnibus Plan, all determinations, interpretations and other decisions under or with respect to the 2022 Omnibus Plan or any Award or any documents evidencing Awards granted pursuant to the 2022 Omnibus Plan are within the sole discretion of the Plan Committee, may be made at any time and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are final, conclusive, and binding upon all persons or entities, including, without limitation, Agrify, any Participant, any holder or beneficiary of any Award, and any of our stockholders. The Plan Committee may make grants of the following Awards to Eligible Persons (defined below) pursuant to terms and conditions set forth in the applicable Award Agreement, including, subjecting such Awards to performance goals listed in the 2022 Omnibus Plan.</w:t>
      </w:r>
    </w:p>
    <w:p>
      <w:pPr>
        <w:spacing w:after="0" w:line="105" w:lineRule="exact"/>
        <w:rPr>
          <w:sz w:val="20"/>
          <w:szCs w:val="20"/>
          <w:color w:val="auto"/>
        </w:rPr>
      </w:pPr>
    </w:p>
    <w:p>
      <w:pPr>
        <w:ind w:left="1400" w:hanging="406"/>
        <w:spacing w:after="0"/>
        <w:tabs>
          <w:tab w:leader="none" w:pos="14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Awards and Cash-Based Awards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Shares</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The maximum aggregate number of shares of Common Stock that may be issued or used for reference purposes or with respect to which Awards may be granted under the 2022 Omnibus Plan shall be equal to 2,760,000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number of shares of Common Stock underlying any award granted under the 2020 Omnibus Equity Incentive Plan that expires, terminates or is canceled or forfeited under the terms of the 2020 Omnibus Plan. The maximum number of shares of Common Stock with respect to which incentive stock options may be granted under the Plan shall be equal to the maximum number of shares issuable under the 2022 Omnibus Plan. If any Option, Stock Appreciation Right, or Other Stock-Based Awards granted under the Plan expires, terminates, or is canceled for any reason without having been exercised in full, the number of shares of Common Stock underlying any unexercised Award shall again be available for the purpose of Awards under the Plan. If any shares of Restricted Stock, Performance Share Awards, or Other Stock-Based Awards denominated in shares of Common Stock awarded under the Plan to a Participant are forfeited for any reason, the number of forfeited shares of Restricted Stock, Performance Share Awards, or Other Stock-Based Awards denominated in shares of Common Stock shall again be available for purposes of Awards under the Plan. Shares of Common Stock subject to an Award shall not again be made available for issuance or delivery under the Plan if such shares are (a) shares tendered in payment of an Option, (b) shares delivered or withheld by Agrify to satisfy any tax withholding obligation (other than with respect to Restricted Stock, Restricted Stock Units and Performance Share Awards, in which case such shares will again be available for issuance), or (c) shares covered by a stock-settled Stock Appreciation Right or other Awards that were not issued upon the settlement of the Award. Any Award under the Plan settled in cash shall not be counted against the foregoing maximum share limitations. No shares have yet been issued nor Awards granted under the 2022 Omnibus Plan.</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Participants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Any employee of Agrify or any of its affiliates, any director, or person who is a consultant to Agrify, or any individuals designated by the Plan Committee who are reasonably expected to become employees, consultants, or directors after the receipt of Awards (each, an “Eligible Person”) shall be permitted to participate (a “Participant”) under the 2022 Omnibus Plan. Only Eligible Persons who are also employees of Agrify or its affiliates are eligible to receive incentive stock options under the 2022 Omnibus Plan. Eligibility for the grant of an incentive stock option and actual participation in the 2022 Omnibus Plan shall be determined by the Plan Committee in its sole discretion.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holder of an option will be entitled to purchase a number of our shares of Common Stock at a specified exercise price during a specified time period, all as determined by the Compensation Committee. The Plan Committee may grant non-qualified stock options and incentive stock options (“Options”) to Eligible Persons. All Options granted under the 2022 Omnibus Plan are required to have a per share exercise price that is not less than one hundred percent (100%) of the fair market value of Agrify’s Common Stock underlying such stock options on the date such Options are granted (other than in the case of Options that are substitute Awards). The maximum term for Options granted under the 2022 Omnibus Plan will be ten (10) years from the initial date of grant. The purchase price for the shares as to which an Option is exercised may be paid, to the extent permitted by law, either (a) in cash or by certified or bank check at the time the Option is exercised or (b) in the discretion of the Plan Committee, upon such terms as the Plan Committee shall approve, including: (i) by delivery to Agrify of other Common Stock, duly endorsed for transfer to</w:t>
      </w:r>
    </w:p>
    <w:p>
      <w:pPr>
        <w:sectPr>
          <w:pgSz w:w="11900" w:h="16838" w:orient="portrait"/>
          <w:cols w:equalWidth="0" w:num="1">
            <w:col w:w="9019"/>
          </w:cols>
          <w:pgMar w:left="1440" w:top="265"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Agrify,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Plan Committee.</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Plan Committee may grant Stock Appreciation Rights under the 2022 Omnibus Plan, with terms and conditions determined by the Committee that are not inconsistent with the 2022 Omnibus Plan. The Plan Committee may award Stock Appreciation Rights in tandem with Options or independent of any Option. Generally, each Stock Appreciation Right will entitle the participant upon exercise to an amount (in cash, shares, or a combination of cash and shares, as determined by the Plan Committee) equal to the product of</w:t>
      </w:r>
    </w:p>
    <w:p>
      <w:pPr>
        <w:spacing w:after="0" w:line="3" w:lineRule="exact"/>
        <w:rPr>
          <w:sz w:val="20"/>
          <w:szCs w:val="20"/>
          <w:color w:val="auto"/>
        </w:rPr>
      </w:pPr>
    </w:p>
    <w:p>
      <w:pPr>
        <w:jc w:val="both"/>
        <w:ind w:left="580" w:right="579" w:hanging="6"/>
        <w:spacing w:after="0" w:line="261" w:lineRule="auto"/>
        <w:tabs>
          <w:tab w:leader="none" w:pos="80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(A) the fair market value on the exercise date of one share of Common Stock, over (B) the exercise price per share, multiplied by (ii) the number of shares of Common Stock covered by the Stock Appreciation Right. The exercise price per share of a Stock Appreciation Right will be determined by the Plan Committee at the time of grant, but in no event may such amount be less than one hundred percent (100%) of the fair market value of a share of Common Stock on the date the Stock Appreciation Right is granted.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Restricted Stock and Restricted Stock Units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Plan Committee may grant restricted shares of our Common Stock (“Restricted Stock”) or restricted stock units (“Restricted Stock Units”), representing the right to receive, upon vesting and the expiration of any applicable restricted period, one (1) share of Common Stock for each Restricted Stock Unit or, in the sole discretion of the Plan Committee, the cash value thereof (or any combination thereof). As to Restricted Stock, subject to the other provisions of the 2022 Omnibus Plan, the holder will generally have the rights and privileges of a stockholder as to such Restricted Stock, including, without limitation, the right to vote such Restricted Stock, but the holder will not have the right to receive dividends on any unvested shares of Restricted Stock. Participants have no rights or privileges as a stockholder with respect to Restricted Stock Units.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Performance Share Awards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Plan Committee may grant Performance Share Awards to a Participant payable upon the attainment of specific performance goals. Each Performance Share Award shall be evidenced by an Award Agreement in such form that is not inconsistent with the 2022 Omnibus Plan and that the Plan Committee may from time to time approve.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Equity-Based and Cash-Based Awards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Plan Committee may grant other equity-based or cash-based Awards under the 2022 Omnibus Plan, with terms and conditions determined by the Plan Committee that are not inconsistent with the 2022 Omnibus Plan.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Certain Corporate Transactions and Events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the event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2022 Omnibus Plan and any Award Agreements, the exercise price of options and SARs, the performance goals to which Performance Share Award and cash-based awards are subject,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p>
    <w:p>
      <w:pPr>
        <w:spacing w:after="0" w:line="10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connection with any Change in Control of Agrify (as such term is defined in the 2022 Omnibus Plan, a “Change in Control”), the Plan Committee may, in its sole discretion, cause any Award either (i) to be canceled in consideration of a payment in cash or other consideration in amount per share equal to the excess, if any, of the price</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the applicable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Plan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Plan Committee deems necessary or appropriate to reflect such transaction or change.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Nontransferability of Awards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Plan Committee may determine, in its sole discretion, that a non-qualified stock option may be transferred to a family member, or to certain trusts or foundations or other transferees as permitted by the Plan Committee (“Permitted Transferee”). A non-qualified stock option that is transferred to a Permitted Transferee will remain subject to the terms of the 2022 Omnibus Plan and the applicable Award Agreement.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Minimum Vesting Requirements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 award will be granted with a lapse of any vesting obligations earlier than at least one year following the date of grant. Notwithstanding the foregoing, the Plan Committee may grant up to a maximum of five percent of the aggregate number of shares available for issuance under the 2022 Omnibus Plan (subject to certain equitable adjustments), without regard to this minimum vesting requirement, and the minimum vesting requirement does not apply to (i) any substitute awards (as defined in the plan), (ii) shares delivered in lieu of fully vested cash awards, (iii) awards to directors, and (iv) the Plan Committee’s discretion to provide for accelerated exercisability or vesting of any award, including in cases of retirement, death, disability or a change-in-control, in the terms of the award or otherwise.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Clawback and Recoupment</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Awards under the 2022 Omnibus Plan will be subject to recovery or “clawback” by us if and to the extent that the vesting of such awards was determined or calculated based on materially inaccurate financial statements or any other material inaccurate performance metric criteria, and if the Company or any of its subsidiaries terminate a participant’s service relationship due to the grantee’s gross negligence or willful misconduct, which conduct, directly or indirectly, results in the Company preparing an accounting restatement. Awards will also be subject to our clawback policy as adopted by the Board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Our Board may amend the 2022 Omnibus Plan at any time, subject to shareholder approval to the extent required by applicable law or regulation or the listing standards of Nasdaq or any other market or stock exchange on which the Common Stock is at the time primarily traded. Additionally, shareholder approval will be specifically required to decrease the exercise price of any outstanding Option or SAR granted under the 2022 Omnibus Plan. Our Board may terminate the 2022 Omnibus Plan at any time. Unless sooner terminated by our Board, the 2022 Omnibus Plan will terminate on the ten (10) year anniversary of Board approval of the 2022 Omnibus Plan.</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162(m) of the Internal Revenue Code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a general rule, we will be entitled to a deduction in the same amount and at the same time as the compensation income is received by the participant, except to the extent the deduction limits of 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awards under the 2022 Omnibus Plan may cause this limitation to be exceeded in any particular year.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Federal Income Tax Consequences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federal income tax (and to some extent, estate tax) consequences that would accrue to Agrify and the grantee under current tax laws. Such laws and their interpretation by the Internal Revenue Service are subject to change. The general consequences described in this summary may not apply in unusual situations.</w:t>
      </w:r>
    </w:p>
    <w:p>
      <w:pPr>
        <w:spacing w:after="0" w:line="101"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Non-Qualified Options. </w:t>
      </w:r>
      <w:r>
        <w:rPr>
          <w:rFonts w:ascii="Times New Roman" w:cs="Times New Roman" w:eastAsia="Times New Roman" w:hAnsi="Times New Roman"/>
          <w:sz w:val="17"/>
          <w:szCs w:val="17"/>
          <w:color w:val="auto"/>
        </w:rPr>
        <w:t>The grant of an Option will not be a taxable event for the grantee 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exercising a non-qualified stock option, a grantee will recognize ordinary income in an amount equal to the difference between the exercise price and the fair market value of the Common Stock on the date of exercise. Upon a subsequent sale or exchange of shares acquired pursuant to the exercise of a non-qualified stock option, the grantee will recognize taxable capital gain or loss, measured by the excess of the amount realized on the disposition over the tax basis of the shares of Common Stock (generally, the amount paid for the shares plus the amount treated as ordinary income at the time the option was exercised).</w:t>
      </w:r>
    </w:p>
    <w:p>
      <w:pPr>
        <w:spacing w:after="0" w:line="10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we comply with applicable reporting requirements and with the restrictions of Section 162(m), we will be entitled to a business expense deduction in the same amount and generally at the same time as the grantee recognizes ordinary income.</w:t>
      </w:r>
    </w:p>
    <w:p>
      <w:pPr>
        <w:spacing w:after="0" w:line="8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 grantee who has transferred a non-qualified stock option to a family member by gift will realize taxable income at the time the non-qualified stock option is exercised by the family member. The grantee will be subject to withholding of income and employment taxes at that time. The family member’s tax basis in the shares of Common Stock will be the fair market value of the shares of Common Stock on the date the option is exercised. The transfer of vested non-qualified stock options will be treated as a completed gift for gift and estate tax purposes. Once the gift is completed, neither the transferred Options nor the shares acquired on exercise of the transferred Options will be includable in the grantee’s estate for estate tax purposes.</w:t>
      </w:r>
    </w:p>
    <w:p>
      <w:pPr>
        <w:spacing w:after="0" w:line="11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The grant of an Option will not be a taxable event for the grantee or for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grantee will not recognize taxable 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0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exercise of an Option to qualify for the foregoing tax treatment, the grantee generally must be our employee or an employee of our subsidiary from the date the Option is granted through a date within three months before the date of exercise of the Option.</w:t>
      </w:r>
    </w:p>
    <w:p>
      <w:pPr>
        <w:spacing w:after="0" w:line="8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 subject to our compliance with Section 162(m) and to certain reporting requirements.</w:t>
      </w:r>
    </w:p>
    <w:p>
      <w:pPr>
        <w:spacing w:after="0" w:line="10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grantee who is awarded Restricted Stock will not recognize any taxable income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income tax purposes in the year of the Award, provided that the shares of Common Stock are subject to restrictions (that is, the Restricted Stock is nontransferable and subject to a substantial risk of forfeiture). However, the grantee may elect under Section 83(b) of the Code to recognize compensation income in the year of the Award in an amount equal to the fair market value of the Common Stock on the date of the Award (less the purchase price, if any), determined without regard to the restrictions (except any restrictions that will never lapse). If the grantee does not make such a Section 83(b) election,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If we comply with applicable reporting requirements and with the restrictions of Section 162(m), we will be entitled to a business expense deduction in the same amount and generally at the same time as the grantee recognizes ordinary income.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There are no immediate tax consequences of receiving an award of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Units under the 2022 Omnibus Plan. A grantee who is awarded Restricted Stock Units will recognize ordinary income in an amount equal to the fair market value of shares issued to such grantee at the end of the restriction period or, if later, the payment date.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There are no immediate tax consequences of receiving an award of SARs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Omnibus Plan. Upon exercising an SAR, a grantee will recognize ordinary income in an amount equal to the difference between the exercise price and the fair market value of the Common Stock on the date of exercise.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Performance Share Awards, Other Stock-Based Awards, and Cash-Based Awards. </w:t>
      </w:r>
      <w:r>
        <w:rPr>
          <w:rFonts w:ascii="Times New Roman" w:cs="Times New Roman" w:eastAsia="Times New Roman" w:hAnsi="Times New Roman"/>
          <w:sz w:val="17"/>
          <w:szCs w:val="17"/>
          <w:color w:val="auto"/>
        </w:rPr>
        <w:t>The tax treatment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Performance Share Awards, other stock-based awards and cash-based awards will depend on the structure of such awards.</w:t>
      </w:r>
    </w:p>
    <w:p>
      <w:pPr>
        <w:spacing w:after="0" w:line="8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We intend for awards granted under the plan to comply with Section 409A of the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Code. To the extent a grantee would be subject to the additional 20% tax imposed on certain nonqualified deferred compensation plans as a result of a provision of an award under the plan, the provision will be deemed amended to the minimum extent necessary to avoid application of the 20% additional tax.</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November 28, 2023 and April 24, 2024, the Compensation Committee and the Board of Directors approved grants of an aggregate of 2,248,493 Restricted Stock Units under the Omnibus 2022 Plan to employees in connection with voluntary salary reductions agreed to by those employees, which are contingent on approval of the Plan Amendment by our stockholders (the “Contingent Grants”). The Contingent Grants will vest on the one-year anniversary of grant, subject to shareholder approval, except with respect to a portion of the Contingent Grants granted to directors on November 28, 2023, which will vest immediately upon shareholder approval. The table below provides additional information with respect to the Contingent Grants. Other than the Contingent Grants, it is not possible to determine the benefits that will be received in the future by participants in the 2022 Omnibus Plan because awards to be granted under the 2022 Omnibus Plan are at the discretion of the Compensation Committee and the Board of Directors.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5"/>
              </w:rPr>
              <w:t>Dollar Value</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0" w:type="dxa"/>
            <w:vAlign w:val="bottom"/>
          </w:tcPr>
          <w:p>
            <w:pPr>
              <w:spacing w:after="0"/>
              <w:rPr>
                <w:sz w:val="1"/>
                <w:szCs w:val="1"/>
                <w:color w:val="auto"/>
              </w:rPr>
            </w:pPr>
          </w:p>
        </w:tc>
      </w:tr>
      <w:tr>
        <w:trPr>
          <w:trHeight w:val="44"/>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Raymond Chang </w:t>
            </w:r>
            <w:r>
              <w:rPr>
                <w:rFonts w:ascii="Times New Roman" w:cs="Times New Roman" w:eastAsia="Times New Roman" w:hAnsi="Times New Roman"/>
                <w:sz w:val="17"/>
                <w:szCs w:val="17"/>
                <w:i w:val="1"/>
                <w:iCs w:val="1"/>
                <w:color w:val="auto"/>
              </w:rPr>
              <w:t>– Chairman and Chief Executive Officer</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365,384.51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336,743</w:t>
            </w: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David Kessler </w:t>
            </w:r>
            <w:r>
              <w:rPr>
                <w:rFonts w:ascii="Times New Roman" w:cs="Times New Roman" w:eastAsia="Times New Roman" w:hAnsi="Times New Roman"/>
                <w:sz w:val="17"/>
                <w:szCs w:val="17"/>
                <w:i w:val="1"/>
                <w:iCs w:val="1"/>
                <w:color w:val="auto"/>
              </w:rPr>
              <w:t>– Chief Science Officer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326,153.92</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258,572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 xml:space="preserve">Brian Towns </w:t>
            </w:r>
            <w:r>
              <w:rPr>
                <w:rFonts w:ascii="Times New Roman" w:cs="Times New Roman" w:eastAsia="Times New Roman" w:hAnsi="Times New Roman"/>
                <w:sz w:val="17"/>
                <w:szCs w:val="17"/>
                <w:i w:val="1"/>
                <w:iCs w:val="1"/>
                <w:color w:val="auto"/>
              </w:rPr>
              <w:t>– Executive Vice President and General Manager of</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Extraction</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326,153.92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258,572</w:t>
            </w: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executive officers as a group</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1,107,692.35</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853,887</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who are not executive officers, as a group</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168,666.64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297,931</w:t>
            </w:r>
          </w:p>
        </w:tc>
        <w:tc>
          <w:tcPr>
            <w:tcW w:w="0" w:type="dxa"/>
            <w:vAlign w:val="bottom"/>
          </w:tcPr>
          <w:p>
            <w:pPr>
              <w:spacing w:after="0"/>
              <w:rPr>
                <w:sz w:val="1"/>
                <w:szCs w:val="1"/>
                <w:color w:val="auto"/>
              </w:rPr>
            </w:pPr>
          </w:p>
        </w:tc>
      </w:tr>
      <w:tr>
        <w:trPr>
          <w:trHeight w:val="248"/>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Employees as a group (excluding executive officers)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1,059,660.84</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2,246,019.83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Reference is hereby made to the “Equity Compensation Plan Table” of this Proxy Statement which is incorporated by reference into this Item 5 and provides certain details on our current plans.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amendment to the 2022 Omnibus Plan to increase the number of shares available for issuance thereunder by 2,500,000.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amendment to the</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to increase the number of shares available for issuance thereunder by 2,500,000.</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619"/>
        <w:spacing w:after="0" w:line="299" w:lineRule="auto"/>
        <w:rPr>
          <w:sz w:val="20"/>
          <w:szCs w:val="20"/>
          <w:color w:val="auto"/>
        </w:rPr>
      </w:pPr>
      <w:r>
        <w:rPr>
          <w:rFonts w:ascii="Times New Roman" w:cs="Times New Roman" w:eastAsia="Times New Roman" w:hAnsi="Times New Roman"/>
          <w:sz w:val="17"/>
          <w:szCs w:val="17"/>
          <w:b w:val="1"/>
          <w:bCs w:val="1"/>
          <w:color w:val="auto"/>
        </w:rPr>
        <w:t>ITEM 6 — APPROVAL OF THE ADJOURNMENT OF THE ANNUAL MEETING IN ORDER TO SOLICIT ADDITIONAL PROXIES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 of and Rationale for the Adjournment Proposal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of Directors believes that, if the number of affirmative votes received from the holders of our Common Stock are insufficient to approve any of the other Items being considered at the Annual Meeting, it is in the best interests of the stockholders to enable the Board to continue to seek to obtain a sufficient number of additional affirmative votes to approve that Item.</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this Item 6, we are asking stockholders to authorize the holder of any proxy solicited by the Board to vote in favor of adjourning the Annual Meeting or any adjournment thereof. If our stockholders approve this proposal, we could adjourn the Annual Meeting, and any adjourned session of the Annual Meeting, to use the additional time to solicit additional proxies in favor of the other applicable Items.</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Additionally, approval of the Adjournment Proposal could mean that, in the event we receive proxies indicating that a majority of the voting power of the outstanding voting stock present in person or represented by proxy at the Annual Meeting and entitled to vote thereon have voted against any of Items 1 through 5 or abstained from voting on such proposals, we could adjourn the Annual Meeting without a vote on such Items and use the additional time to solicit the holders of those shares to change their vote in favor of such Items.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adjournment of the Annual Meeting in order to solicit additional proxies if there are not sufficient shares to be voted in favor of Items 1 through 5.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adjournment of the Annual Meeting in order to solicit additional proxies if there are not sufficient shares to be voted in favor of Items 1 through 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EXPENSES OF SOLICITATION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will pay the entire expense of soliciting proxies for the Annual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executive officer or other agent, and otherwise to the full extent permitted under Nevada law and our amended and restated bylaws.</w:t>
      </w:r>
    </w:p>
    <w:p>
      <w:pPr>
        <w:spacing w:after="0" w:line="10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order to identify and address concerns regarding related party transactions and their disclosures, we use Director and Officer Questionnaires and our conduct and ethics policies. We also consider the independence of our directors. The discussion of the independence of the directors is included under “</w:t>
      </w:r>
      <w:r>
        <w:rPr>
          <w:rFonts w:ascii="Times New Roman" w:cs="Times New Roman" w:eastAsia="Times New Roman" w:hAnsi="Times New Roman"/>
          <w:sz w:val="17"/>
          <w:szCs w:val="17"/>
          <w:i w:val="1"/>
          <w:iCs w:val="1"/>
          <w:color w:val="auto"/>
        </w:rPr>
        <w:t>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Governance — Board and Board Committee Matters</w:t>
      </w:r>
      <w:r>
        <w:rPr>
          <w:rFonts w:ascii="Times New Roman" w:cs="Times New Roman" w:eastAsia="Times New Roman" w:hAnsi="Times New Roman"/>
          <w:sz w:val="17"/>
          <w:szCs w:val="17"/>
          <w:color w:val="auto"/>
        </w:rPr>
        <w:t>” elsewhere in this proxy statement.</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Director and Officer Questionnaires are distributed to executive officers and directors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we were or are to be a participant and the amount involved exceeds $120,000, and in which any of the following had or will have a direct or indirect interest: (i) the individual; (ii) any director or executive officer; (iii) a nominee for director;</w:t>
      </w:r>
    </w:p>
    <w:p>
      <w:pPr>
        <w:spacing w:after="0" w:line="5" w:lineRule="exact"/>
        <w:rPr>
          <w:sz w:val="20"/>
          <w:szCs w:val="20"/>
          <w:color w:val="auto"/>
        </w:rPr>
      </w:pPr>
    </w:p>
    <w:p>
      <w:pPr>
        <w:jc w:val="both"/>
        <w:ind w:left="580" w:right="599" w:hanging="6"/>
        <w:spacing w:after="0" w:line="263" w:lineRule="auto"/>
        <w:tabs>
          <w:tab w:leader="none" w:pos="90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immediate family member of a director or executive officer; (v) an immediate family member of a nominee for director; (vi) a security holder of more than 5% of the Common Stock; or (vii) an immediate family member of the security holder. Responses provided within the questionnaire are reviewed by our management to determine any necessary course of action.</w:t>
      </w:r>
    </w:p>
    <w:p>
      <w:pPr>
        <w:spacing w:after="0" w:line="9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It is our policy that all employees, directors and agents maintain the highest ethical standards and comply with all applicable legal requirements when conducting Company business. Guidelines regarding conflicts of interest are detailed in our Code of Conduct and Business Ethics, which was adopted by the Board of Directors and is available on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All employees must deal with vendors, customers and others doing business with us in a manner that avoids even the appearance of conflict between personal interests and those of our Company. Potential conflicts of interest may arise from any of the following:</w:t>
      </w:r>
    </w:p>
    <w:p>
      <w:pPr>
        <w:spacing w:after="0" w:line="106" w:lineRule="exact"/>
        <w:rPr>
          <w:sz w:val="20"/>
          <w:szCs w:val="20"/>
          <w:color w:val="auto"/>
        </w:rPr>
      </w:pPr>
    </w:p>
    <w:p>
      <w:pPr>
        <w:jc w:val="both"/>
        <w:ind w:left="1420" w:right="599" w:hanging="426"/>
        <w:spacing w:after="0" w:line="276" w:lineRule="auto"/>
        <w:tabs>
          <w:tab w:leader="none" w:pos="14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 or indirect financial interest in any business or organization that is a vendor or competitor of ours, if the employee or director can influence decisions with respect to our business with respect to such business or organization;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the board of directors of, or being employed in any capacity by, a vendor, competitor or customer of ours.</w:t>
      </w:r>
    </w:p>
    <w:p>
      <w:pPr>
        <w:spacing w:after="0" w:line="6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is authorized to review all potential conflicts of interest involving directors and executive officers.</w:t>
      </w:r>
    </w:p>
    <w:p>
      <w:pPr>
        <w:spacing w:after="0" w:line="81"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Relationships, including business, financial, personal, and family, may give rise to conflicts of interest or the appearance of a conflict. Employees should carefully evaluate their relationships as they relate to our business to avoid conflict or the appearance of a conflict. To avoid conflicts of interest or the appearance of a conflict:</w:t>
      </w:r>
    </w:p>
    <w:p>
      <w:pPr>
        <w:spacing w:after="0" w:line="313" w:lineRule="exact"/>
        <w:rPr>
          <w:sz w:val="20"/>
          <w:szCs w:val="20"/>
          <w:color w:val="auto"/>
        </w:rPr>
      </w:pPr>
    </w:p>
    <w:p>
      <w:pPr>
        <w:jc w:val="both"/>
        <w:ind w:left="1420" w:right="579" w:hanging="426"/>
        <w:spacing w:after="0" w:line="270" w:lineRule="auto"/>
        <w:tabs>
          <w:tab w:leader="none" w:pos="14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and directors should not have an undisclosed relationship with, or financial interest in, any business that competes or deals with us; provided that the ownership of less than 1% of the outstanding shares, units or other interests of any class of publicly traded securities is acceptable.</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are prohibited from directly or indirectly competing or performing services for any person or entity in competition with us.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comply with the policies set forth in this Code of Conduct and Business Ethics regarding the receipt or giving of gifts, favors or entertainment.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70"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our business.</w:t>
      </w:r>
    </w:p>
    <w:p>
      <w:pPr>
        <w:spacing w:after="0" w:line="102"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may not sell or lease equipment, materials or property to us without appropriate corporate authority.</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purchase our equipment, materials or property only on terms available to the general public.</w:t>
      </w:r>
    </w:p>
    <w:p>
      <w:pPr>
        <w:spacing w:after="0" w:line="6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Any employee or director who becomes aware of a conflict is required to bring it to the attention of a supervisor, management or other appropriate personnel. Directors are expected and required to uphold the same dedication to corporate ethics as our employees.</w:t>
      </w:r>
    </w:p>
    <w:p>
      <w:pPr>
        <w:spacing w:after="0" w:line="9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a conflict of interest arises involving an executive officer or director, the Board of Directors must approve a waiver to the Code of Conduct and Business Ethics and if a director has the conflict, that director must abstain from the approval. Waivers are made on a case-by-case basis. The Board of Directors has not adopted a formal written policy with respect to waiving conflict of interests or approving related party transactions. In making this determination, the Board of Directors considered the infrequency in occurrence of these transactions. Any waivers to the Code of Conduct and Business Ethics granted to an executive officer or director shall be disclosed by us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of Convertible Note</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May 21, 2024, we and CP entered into a further amendment to the CP Note, pursuant to which CP may elect, in lieu of shares of common stock issuable upon conversion of the CP Note, to instead receive Pre-Funded Warrants as defined in Item 4.</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Restatement of Junior Secured Promissory Note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May 21, 2024, we and GIC, and entity indirectly owned and controlled by Mr. Chang, entered into a restatement of the GIC Note to increase the aggregate principal amount to approximately $2.29 million, extend the maturity date to December 31, 2025, and provide that the GIC Note may be converted into Common Stock or, at GIC’s election, Pre-Funded Warrants as described in Item 5.</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Convertible Note Amendment, Restatement and Consolidation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October 27, 2023, CP purchased from an institutional investor (the “Former Lender”) the Senior Secured Note issued by us to the Former Lender on August 19, 2022 (the “Exchange Note”) and the Senior Secured Convertible Note issued by us to the Former Lender on March 10, 2023 (the “Convertible Note”). On January 25, 2024, following stockholder approval at an annual meeting of stockholders on January 8, 2024, we and CP consolidated the outstanding principal and interest due under the Junior Secured Note and the Exchange Note into the CP Note, with an outstanding principal amount of approximately $18.9 million at the time of issuance of the CP Note. The CP Note amended the terms of the Convertible Note by, among other things,</w:t>
      </w:r>
    </w:p>
    <w:p>
      <w:pPr>
        <w:spacing w:after="0" w:line="3" w:lineRule="exact"/>
        <w:rPr>
          <w:sz w:val="20"/>
          <w:szCs w:val="20"/>
          <w:color w:val="auto"/>
        </w:rPr>
      </w:pPr>
    </w:p>
    <w:p>
      <w:pPr>
        <w:jc w:val="both"/>
        <w:ind w:left="580" w:right="579" w:hanging="6"/>
        <w:spacing w:after="0" w:line="257" w:lineRule="auto"/>
        <w:tabs>
          <w:tab w:leader="none" w:pos="79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conversion price to $1.46 per share of Common Stock, (ii) increasing the beneficial ownership limitation to 49.99% with respect to any individual or group, provided that CP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w:t>
      </w:r>
    </w:p>
    <w:p>
      <w:pPr>
        <w:spacing w:after="0" w:line="1" w:lineRule="exact"/>
        <w:rPr>
          <w:rFonts w:ascii="Times New Roman" w:cs="Times New Roman" w:eastAsia="Times New Roman" w:hAnsi="Times New Roman"/>
          <w:sz w:val="17"/>
          <w:szCs w:val="17"/>
          <w:color w:val="auto"/>
        </w:rPr>
      </w:pPr>
    </w:p>
    <w:p>
      <w:pPr>
        <w:jc w:val="both"/>
        <w:ind w:left="580" w:right="599" w:hanging="6"/>
        <w:spacing w:after="0" w:line="261" w:lineRule="auto"/>
        <w:tabs>
          <w:tab w:leader="none" w:pos="84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20% discount to our trailing seven-day volume weighted average price as of the date of interest payment. Immediately following the execution of the CP Note, CP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CP Note.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Note Amendment and Secured Promissory Note</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July 12, 2023, we issued the GIC Note in favor of GIC, an entity that is owned and managed by Raymond Chang, our Chairman and Chief Executive Officer. On October 27, 2023, we and GIC amended and restated the GIC Note. Pursuant to the terms of the GIC Note, as restated, the maturity date was extended until December 31, 2023 and we granted a junior security interest in our assets. On January 25, 2024, we and GIC further amended and restated the GIC Note to increase the principal amount thereunder to $1.0 million and to extend the maturity date until June 30, 2024.</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Concurrently with the restatement of the GIC Note, we issued a junior secured promissory note (the “Junior Secured Note”) to CP Acquisitions. Pursuant to the Junior Secured Note, CP Acquisitions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Distribution Agreement with Enozo</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Guichao Hua, a former member of our board of directors, and Raymond Chang, our Chairman of the Board and Chief Executive Officer, each have ownership interests and are board members of Enozo Technologies Inc. (“Enozo”).</w:t>
      </w:r>
    </w:p>
    <w:p>
      <w:pPr>
        <w:spacing w:after="0" w:line="85"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On March 9, 2020, the Company entered into a distribution agreement with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no purchases of Enozo product for the year ended December 31, 2022, compared to $40,000 for the year ended December 31, 2021.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ANTI-HEDGING POLICY</w:t>
      </w:r>
    </w:p>
    <w:p>
      <w:pPr>
        <w:spacing w:after="0" w:line="147"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Under our insider trading policy, our directors, officers and employees who possess material nonpublic information regarding the Company may not buy or sell options, puts or calls on company securities, security futures, or other derivative securities that reference company securities and may not enter into margining or similar transactions that are designed to offset any decrease in the market value of company securities. In addition, our directors, executive officers and employees are prohibited from engaging in short sales of our stock.</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is not aware of any other matter to be presented for action at the Annual Meeting. If any other matter requiring a vote of stockholders should arise, then the proxies (or their substitutes) will vote in accordance with their best judgment.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For business other than director nominations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120 days prior to the first anniversary of the date that the Company’s proxy statement released to shareholders in connection with the previous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 (x) a brief description of the business desired to be brought before the meeting, the reasons for conducting such business at the meeting and any material interest in such business of such stockholder on whose behalf the proposal is made; (y) as to the stockholder giving the notice</w:t>
      </w:r>
    </w:p>
    <w:p>
      <w:pPr>
        <w:spacing w:after="0" w:line="1" w:lineRule="exact"/>
        <w:rPr>
          <w:sz w:val="20"/>
          <w:szCs w:val="20"/>
          <w:color w:val="auto"/>
        </w:rPr>
      </w:pPr>
    </w:p>
    <w:p>
      <w:pPr>
        <w:jc w:val="both"/>
        <w:ind w:left="580" w:right="579" w:hanging="6"/>
        <w:spacing w:after="0" w:line="260" w:lineRule="auto"/>
        <w:tabs>
          <w:tab w:leader="none" w:pos="86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such stockholder and (B)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13" w:lineRule="exact"/>
        <w:rPr>
          <w:sz w:val="20"/>
          <w:szCs w:val="20"/>
          <w:color w:val="auto"/>
        </w:rPr>
      </w:pPr>
    </w:p>
    <w:p>
      <w:pPr>
        <w:jc w:val="both"/>
        <w:ind w:left="580" w:right="579" w:firstLine="419"/>
        <w:spacing w:after="0" w:line="254" w:lineRule="auto"/>
        <w:rPr>
          <w:sz w:val="20"/>
          <w:szCs w:val="20"/>
          <w:color w:val="auto"/>
        </w:rPr>
      </w:pPr>
      <w:r>
        <w:rPr>
          <w:rFonts w:ascii="Times New Roman" w:cs="Times New Roman" w:eastAsia="Times New Roman" w:hAnsi="Times New Roman"/>
          <w:sz w:val="17"/>
          <w:szCs w:val="17"/>
          <w:color w:val="auto"/>
        </w:rPr>
        <w:t>In order for stockholders to give timely notice of nominations for directors for inclusion on a universal proxy card in connection with the 2025 Annual Meeting, notice must be submitted by no later than 60 calendar days prior to the anniversary of the previous year’s annual meeting date, except that, if the date of the meeting has changed by more than 30 calendar days from the previous year, then notice must be provided by the later of 60 calendar days prior to the date of the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calendar day following the day on which public announcement of the date of the annual meeting is first made by the Company, and the notice must include the information in the notice required by our Amended and Restated Bylaws and by Rule 14a-19(b)</w:t>
      </w:r>
    </w:p>
    <w:p>
      <w:pPr>
        <w:ind w:left="580"/>
        <w:spacing w:after="0"/>
        <w:rPr>
          <w:sz w:val="20"/>
          <w:szCs w:val="20"/>
          <w:color w:val="auto"/>
        </w:rPr>
      </w:pPr>
      <w:r>
        <w:rPr>
          <w:rFonts w:ascii="Times New Roman" w:cs="Times New Roman" w:eastAsia="Times New Roman" w:hAnsi="Times New Roman"/>
          <w:sz w:val="17"/>
          <w:szCs w:val="17"/>
          <w:color w:val="auto"/>
        </w:rPr>
        <w:t>(2) under the Securities Exchange Act of 1934, as amended.</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2025 Annual Meeting of Stockholders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To be considered for presentation at our 2025 Annual Meeting of Stockholders, inclusion in the proxy statement and on the proxy card, a stockholder proposal must be received at our offices no later than a reasonable time before we begin to print and send proxy materials for such meeting. For stockholder proposals or other business matters that may be raised at the 2025 Annual Meeting of Stockholders, but not included in the proxy statement or on the proxy card that are submitted outside the proposal process identified in the preceding sentence, if we do not receive notice of any such matter that a stockholder wishes to raise at the 2025 Annual Meeting of Stockholders during the period described under “Advance Notice Procedures” above, then no business matters, other than those included in the notice of Annual Meeting for the 2025 Annual Meeting of Stockholders, may properly come before the 2025 Annual Meeting of Stockholders. All proposals and notifications for the 2025 Annual Meeting of Stockholders should be addressed in writing to the attention of the Corporate Secretary, Agrify Corporation, 2468 Industrial Row Drive, Troy, Michigan 48084 and should satisfy the particular requirements of our Amended and Restated Bylaws.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jc w:val="both"/>
        <w:ind w:left="580" w:right="579" w:firstLine="419"/>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2023 Annual Report on </w:t>
      </w:r>
      <w:hyperlink r:id="rId76">
        <w:r>
          <w:rPr>
            <w:rFonts w:ascii="Times New Roman" w:cs="Times New Roman" w:eastAsia="Times New Roman" w:hAnsi="Times New Roman"/>
            <w:sz w:val="17"/>
            <w:szCs w:val="17"/>
            <w:u w:val="single" w:color="auto"/>
            <w:color w:val="215E9E"/>
          </w:rPr>
          <w:t>Form 10-K</w:t>
        </w:r>
      </w:hyperlink>
      <w:r>
        <w:rPr>
          <w:rFonts w:ascii="Times New Roman" w:cs="Times New Roman" w:eastAsia="Times New Roman" w:hAnsi="Times New Roman"/>
          <w:sz w:val="17"/>
          <w:szCs w:val="17"/>
          <w:color w:val="auto"/>
        </w:rPr>
        <w:t xml:space="preserve">, as amended, accompanies this proxy statement (the “Form 10-K”). The Form 10-K for the year ended December 31, 2023 was filed with the SEC on April 15, 2024, as amended on April 29, 2024. </w:t>
      </w:r>
      <w:r>
        <w:rPr>
          <w:rFonts w:ascii="Times New Roman" w:cs="Times New Roman" w:eastAsia="Times New Roman" w:hAnsi="Times New Roman"/>
          <w:sz w:val="17"/>
          <w:szCs w:val="17"/>
          <w:b w:val="1"/>
          <w:bCs w:val="1"/>
          <w:color w:val="auto"/>
        </w:rPr>
        <w:t>We will furnish, upon written request of any stockholder and the payment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 appropriate processing fee, copies of the exhibits to our Annual Report on Form 10-K. Please address all such requests to Agrify Corporation, 2468 Industrial Row Drive, Troy, Michigan 48084, Attention: Corporate Secretary.</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and annual reports. This means that only one copy of such materials may have been sent to multiple stockholders in your household. We will promptly deliver a separate copy of any such document to you if you write or call us at the following address or telephone number: Agrify Corporation, 2468 Industrial Row Drive, Troy, Michigan 48084, Attention: Corporate Secretary, (855) 420-0020, or you can request a copy of any such document by visiting the 2022 Annual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the annual report or proxy statement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77"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OMNIBUS EQUITY INCENTIVE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(marked to show proposed changes)</w:t>
      </w:r>
    </w:p>
    <w:p>
      <w:pPr>
        <w:spacing w:after="0" w:line="147" w:lineRule="exact"/>
        <w:rPr>
          <w:sz w:val="20"/>
          <w:szCs w:val="20"/>
          <w:color w:val="auto"/>
        </w:rPr>
      </w:pPr>
    </w:p>
    <w:p>
      <w:pPr>
        <w:ind w:left="1380" w:hanging="38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-3810</wp:posOffset>
            </wp:positionV>
            <wp:extent cx="8655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1.1 General Purpose. The name of this plan is the Agrify Corporation 2022 Omnibus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purposes of the Plan are to (a) enable 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7524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86" w:lineRule="exact"/>
        <w:rPr>
          <w:sz w:val="20"/>
          <w:szCs w:val="20"/>
          <w:color w:val="auto"/>
        </w:rPr>
      </w:pPr>
    </w:p>
    <w:p>
      <w:pPr>
        <w:jc w:val="both"/>
        <w:ind w:left="1000" w:right="579" w:firstLine="419"/>
        <w:spacing w:after="0" w:line="274" w:lineRule="auto"/>
        <w:rPr>
          <w:sz w:val="20"/>
          <w:szCs w:val="20"/>
          <w:color w:val="auto"/>
        </w:rPr>
      </w:pPr>
      <w:r>
        <w:rPr>
          <w:rFonts w:ascii="Times New Roman" w:cs="Times New Roman" w:eastAsia="Times New Roman" w:hAnsi="Times New Roman"/>
          <w:sz w:val="17"/>
          <w:szCs w:val="17"/>
          <w:color w:val="auto"/>
        </w:rPr>
        <w:t>1.2 Eligible Award Recipients.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-304800</wp:posOffset>
            </wp:positionV>
            <wp:extent cx="12325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80"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1.3 Available Awards. Awards that may be granted under the Plan include: (a) Incentive Stock Options, (b) Non-qualified Stock Options, (c) Stock Appreciation Rights, (d) Restricted Awards, (e) Performance Share Awards, (f) Cash Awards, and (g) Other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793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78" w:lineRule="exact"/>
        <w:rPr>
          <w:sz w:val="20"/>
          <w:szCs w:val="20"/>
          <w:color w:val="auto"/>
        </w:rPr>
      </w:pPr>
    </w:p>
    <w:p>
      <w:pPr>
        <w:ind w:left="1380" w:hanging="386"/>
        <w:spacing w:after="0"/>
        <w:tabs>
          <w:tab w:leader="none" w:pos="13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 corporation or other entity that, directly or through one or more intermediaries, controls, is controlled by or is under common control with, the Company.</w:t>
      </w:r>
    </w:p>
    <w:p>
      <w:pPr>
        <w:spacing w:after="0" w:line="63" w:lineRule="exact"/>
        <w:rPr>
          <w:sz w:val="20"/>
          <w:szCs w:val="20"/>
          <w:color w:val="auto"/>
        </w:rPr>
      </w:pPr>
    </w:p>
    <w:p>
      <w:pPr>
        <w:jc w:val="both"/>
        <w:ind w:left="1000" w:right="599" w:firstLine="1257"/>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316"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94" w:lineRule="exact"/>
        <w:rPr>
          <w:sz w:val="20"/>
          <w:szCs w:val="20"/>
          <w:color w:val="auto"/>
        </w:rPr>
      </w:pPr>
    </w:p>
    <w:p>
      <w:pPr>
        <w:jc w:val="both"/>
        <w:ind w:left="1000" w:right="579" w:firstLine="1257"/>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86" w:lineRule="exact"/>
        <w:rPr>
          <w:sz w:val="20"/>
          <w:szCs w:val="20"/>
          <w:color w:val="auto"/>
        </w:rPr>
      </w:pPr>
    </w:p>
    <w:p>
      <w:pPr>
        <w:jc w:val="both"/>
        <w:ind w:left="1000" w:right="599" w:firstLine="1257"/>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 as constituted at any time.</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Award</w:t>
      </w:r>
      <w:r>
        <w:rPr>
          <w:rFonts w:ascii="Times New Roman" w:cs="Times New Roman" w:eastAsia="Times New Roman" w:hAnsi="Times New Roman"/>
          <w:sz w:val="17"/>
          <w:szCs w:val="17"/>
          <w:color w:val="auto"/>
        </w:rPr>
        <w:t>” means an Award denominated in cash that is granted under Section 10</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of the Plan.</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w:t>
      </w:r>
    </w:p>
    <w:p>
      <w:pPr>
        <w:spacing w:after="0" w:line="160" w:lineRule="exact"/>
        <w:rPr>
          <w:sz w:val="20"/>
          <w:szCs w:val="20"/>
          <w:color w:val="auto"/>
        </w:rPr>
      </w:pPr>
    </w:p>
    <w:p>
      <w:pPr>
        <w:ind w:left="2260" w:right="579"/>
        <w:spacing w:after="0" w:line="296" w:lineRule="auto"/>
        <w:rPr>
          <w:sz w:val="20"/>
          <w:szCs w:val="20"/>
          <w:color w:val="auto"/>
        </w:rPr>
      </w:pPr>
      <w:r>
        <w:rPr>
          <w:rFonts w:ascii="Times New Roman" w:cs="Times New Roman" w:eastAsia="Times New Roman" w:hAnsi="Times New Roman"/>
          <w:sz w:val="17"/>
          <w:szCs w:val="17"/>
          <w:color w:val="auto"/>
        </w:rPr>
        <w:t>With respect to any Employee or Consultant, unless the applicable Award Agreement states otherwise:</w:t>
      </w:r>
    </w:p>
    <w:p>
      <w:pPr>
        <w:spacing w:after="0" w:line="81" w:lineRule="exact"/>
        <w:rPr>
          <w:sz w:val="20"/>
          <w:szCs w:val="20"/>
          <w:color w:val="auto"/>
        </w:rPr>
      </w:pPr>
    </w:p>
    <w:p>
      <w:pPr>
        <w:jc w:val="both"/>
        <w:ind w:left="2260" w:right="599" w:hanging="9"/>
        <w:spacing w:after="0" w:line="276" w:lineRule="auto"/>
        <w:tabs>
          <w:tab w:leader="none" w:pos="252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or Consultant is a party to an employment or service agreement with the Company or its Affiliates and such agreement provides for a definition of Cause, the definition contained therein;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2260" w:right="579" w:hanging="9"/>
        <w:spacing w:after="0" w:line="261" w:lineRule="auto"/>
        <w:tabs>
          <w:tab w:leader="none" w:pos="253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spacing w:after="0" w:line="114" w:lineRule="exact"/>
        <w:rPr>
          <w:sz w:val="20"/>
          <w:szCs w:val="20"/>
          <w:color w:val="auto"/>
        </w:rPr>
      </w:pPr>
    </w:p>
    <w:p>
      <w:pPr>
        <w:jc w:val="both"/>
        <w:ind w:left="2260" w:right="579"/>
        <w:spacing w:after="0" w:line="276" w:lineRule="auto"/>
        <w:rPr>
          <w:sz w:val="20"/>
          <w:szCs w:val="20"/>
          <w:color w:val="auto"/>
        </w:rPr>
      </w:pPr>
      <w:r>
        <w:rPr>
          <w:rFonts w:ascii="Times New Roman" w:cs="Times New Roman" w:eastAsia="Times New Roman" w:hAnsi="Times New Roman"/>
          <w:sz w:val="17"/>
          <w:szCs w:val="17"/>
          <w:color w:val="auto"/>
        </w:rPr>
        <w:t>With respect to any Director, unless the applicable Award Agreement states otherwise, a determination by a majority of the disinterested Board members that the Director has engaged in any of the following:</w:t>
      </w:r>
    </w:p>
    <w:p>
      <w:pPr>
        <w:spacing w:after="0" w:line="98" w:lineRule="exact"/>
        <w:rPr>
          <w:sz w:val="20"/>
          <w:szCs w:val="20"/>
          <w:color w:val="auto"/>
        </w:rPr>
      </w:pPr>
    </w:p>
    <w:p>
      <w:pPr>
        <w:ind w:left="2480" w:hanging="229"/>
        <w:spacing w:after="0"/>
        <w:tabs>
          <w:tab w:leader="none" w:pos="24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malfeasance in office;</w:t>
      </w:r>
    </w:p>
    <w:p>
      <w:pPr>
        <w:spacing w:after="0" w:line="145" w:lineRule="exact"/>
        <w:rPr>
          <w:rFonts w:ascii="Times New Roman" w:cs="Times New Roman" w:eastAsia="Times New Roman" w:hAnsi="Times New Roman"/>
          <w:sz w:val="17"/>
          <w:szCs w:val="17"/>
          <w:color w:val="auto"/>
        </w:rPr>
      </w:pPr>
    </w:p>
    <w:p>
      <w:pPr>
        <w:ind w:left="2500" w:hanging="249"/>
        <w:spacing w:after="0"/>
        <w:tabs>
          <w:tab w:leader="none" w:pos="2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misconduct or neglect;</w:t>
      </w:r>
    </w:p>
    <w:p>
      <w:pPr>
        <w:spacing w:after="0" w:line="158" w:lineRule="exact"/>
        <w:rPr>
          <w:rFonts w:ascii="Times New Roman" w:cs="Times New Roman" w:eastAsia="Times New Roman" w:hAnsi="Times New Roman"/>
          <w:sz w:val="17"/>
          <w:szCs w:val="17"/>
          <w:color w:val="auto"/>
        </w:rPr>
      </w:pPr>
    </w:p>
    <w:p>
      <w:pPr>
        <w:ind w:left="2480" w:hanging="229"/>
        <w:spacing w:after="0"/>
        <w:tabs>
          <w:tab w:leader="none" w:pos="24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or fraudulent misrepresentation inducing the director’s appointment;</w:t>
      </w:r>
    </w:p>
    <w:p>
      <w:pPr>
        <w:spacing w:after="0" w:line="158" w:lineRule="exact"/>
        <w:rPr>
          <w:rFonts w:ascii="Times New Roman" w:cs="Times New Roman" w:eastAsia="Times New Roman" w:hAnsi="Times New Roman"/>
          <w:sz w:val="17"/>
          <w:szCs w:val="17"/>
          <w:color w:val="auto"/>
        </w:rPr>
      </w:pPr>
    </w:p>
    <w:p>
      <w:pPr>
        <w:ind w:left="2500" w:hanging="249"/>
        <w:spacing w:after="0"/>
        <w:tabs>
          <w:tab w:leader="none" w:pos="2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conversion of corporate funds; or</w:t>
      </w:r>
    </w:p>
    <w:p>
      <w:pPr>
        <w:spacing w:after="0" w:line="145"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1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failure to participate in Board meetings on a regular basis despite having received proper notice of the meetings in advance.</w:t>
      </w:r>
    </w:p>
    <w:p>
      <w:pPr>
        <w:spacing w:after="0" w:line="81" w:lineRule="exact"/>
        <w:rPr>
          <w:sz w:val="20"/>
          <w:szCs w:val="20"/>
          <w:color w:val="auto"/>
        </w:rPr>
      </w:pPr>
    </w:p>
    <w:p>
      <w:pPr>
        <w:ind w:left="1000" w:right="599" w:firstLine="1257"/>
        <w:spacing w:after="0" w:line="296" w:lineRule="auto"/>
        <w:rPr>
          <w:sz w:val="20"/>
          <w:szCs w:val="20"/>
          <w:color w:val="auto"/>
        </w:rPr>
      </w:pPr>
      <w:r>
        <w:rPr>
          <w:rFonts w:ascii="Times New Roman" w:cs="Times New Roman" w:eastAsia="Times New Roman" w:hAnsi="Times New Roman"/>
          <w:sz w:val="17"/>
          <w:szCs w:val="17"/>
          <w:color w:val="auto"/>
        </w:rPr>
        <w:t>The Committee, in its absolute discretion, shall determine the effect of all matters and questions relating to whether a Participant has been discharged for Cause.</w:t>
      </w:r>
    </w:p>
    <w:p>
      <w:pPr>
        <w:spacing w:after="0" w:line="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jc w:val="both"/>
        <w:ind w:left="2260" w:right="599" w:hanging="9"/>
        <w:spacing w:after="0" w:line="270" w:lineRule="auto"/>
        <w:tabs>
          <w:tab w:leader="none" w:pos="250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02"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0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Incumbent Directors cease for any reason to constitute at least a majority of the Board;</w:t>
      </w:r>
    </w:p>
    <w:p>
      <w:pPr>
        <w:spacing w:after="0" w:line="81"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3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which is 10 business days prior to the consummation of a complete liquidation or dissolution of the Company;</w:t>
      </w:r>
    </w:p>
    <w:p>
      <w:pPr>
        <w:spacing w:after="0" w:line="67" w:lineRule="exact"/>
        <w:rPr>
          <w:rFonts w:ascii="Times New Roman" w:cs="Times New Roman" w:eastAsia="Times New Roman" w:hAnsi="Times New Roman"/>
          <w:sz w:val="17"/>
          <w:szCs w:val="17"/>
          <w:color w:val="auto"/>
        </w:rPr>
      </w:pPr>
    </w:p>
    <w:p>
      <w:pPr>
        <w:jc w:val="both"/>
        <w:ind w:left="2260" w:right="579" w:hanging="9"/>
        <w:spacing w:after="0" w:line="260" w:lineRule="auto"/>
        <w:tabs>
          <w:tab w:leader="none" w:pos="251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7"/>
          <w:szCs w:val="17"/>
          <w:b w:val="1"/>
          <w:bCs w:val="1"/>
          <w:color w:val="auto"/>
        </w:rPr>
        <w:t>Outstanding Company Common Stock</w:t>
      </w:r>
      <w:r>
        <w:rPr>
          <w:rFonts w:ascii="Times New Roman" w:cs="Times New Roman" w:eastAsia="Times New Roman" w:hAnsi="Times New Roman"/>
          <w:sz w:val="17"/>
          <w:szCs w:val="17"/>
          <w:color w:val="auto"/>
        </w:rPr>
        <w:t>”) or (ii) the combined voting power of the then outstanding voting securities of the Company entitled to vote generally in the election of directors (the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purposes of this Plan, the following acquisitions shall not constitute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spacing w:after="0" w:line="320" w:lineRule="exact"/>
        <w:rPr>
          <w:rFonts w:ascii="Times New Roman" w:cs="Times New Roman" w:eastAsia="Times New Roman" w:hAnsi="Times New Roman"/>
          <w:sz w:val="17"/>
          <w:szCs w:val="17"/>
          <w:color w:val="auto"/>
        </w:rPr>
      </w:pPr>
    </w:p>
    <w:p>
      <w:pPr>
        <w:jc w:val="both"/>
        <w:ind w:left="2260" w:right="579" w:hanging="9"/>
        <w:spacing w:after="0" w:line="267" w:lineRule="auto"/>
        <w:tabs>
          <w:tab w:leader="none" w:pos="255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unless immediately following such Business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2260" w:right="579"/>
        <w:spacing w:after="0" w:line="259" w:lineRule="auto"/>
        <w:rPr>
          <w:sz w:val="20"/>
          <w:szCs w:val="20"/>
          <w:color w:val="auto"/>
        </w:rPr>
      </w:pPr>
      <w:r>
        <w:rPr>
          <w:rFonts w:ascii="Times New Roman" w:cs="Times New Roman" w:eastAsia="Times New Roman" w:hAnsi="Times New Roman"/>
          <w:sz w:val="17"/>
          <w:szCs w:val="17"/>
          <w:color w:val="auto"/>
        </w:rPr>
        <w:t>Combination: (i) more than 50% of the total voting power of (A) the entity resulting from such Business Combination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 w:cs="Times New Roman" w:eastAsia="Times New Roman" w:hAnsi="Times New Roman"/>
          <w:sz w:val="17"/>
          <w:szCs w:val="17"/>
          <w:b w:val="1"/>
          <w:bCs w:val="1"/>
          <w:color w:val="auto"/>
        </w:rPr>
        <w:t>Parent Company</w:t>
      </w:r>
      <w:r>
        <w:rPr>
          <w:rFonts w:ascii="Times New Roman" w:cs="Times New Roman" w:eastAsia="Times New Roman" w:hAnsi="Times New Roman"/>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13"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jc w:val="both"/>
        <w:ind w:left="1000" w:right="57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one or more members of the Board appointed by the Board to administer the Plan in accordance with Section 3.3 and Section 3.4.</w:t>
      </w:r>
    </w:p>
    <w:p>
      <w:pPr>
        <w:spacing w:after="0" w:line="63"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$0.001 par value per share, of the Company, or such other securities of the Company as may be designated by the Committee from time to time in substitution thereof.</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and any successor</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thereto.</w:t>
      </w:r>
    </w:p>
    <w:p>
      <w:pPr>
        <w:spacing w:after="0" w:line="138"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spacing w:after="0" w:line="80" w:lineRule="exact"/>
        <w:rPr>
          <w:sz w:val="20"/>
          <w:szCs w:val="20"/>
          <w:color w:val="auto"/>
        </w:rPr>
      </w:pPr>
    </w:p>
    <w:p>
      <w:pPr>
        <w:jc w:val="both"/>
        <w:ind w:left="1000" w:right="579" w:firstLine="12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there is no interruption or termination of the Participant’s Continuous Service;</w:t>
      </w:r>
      <w:r>
        <w:rPr>
          <w:rFonts w:ascii="Times New Roman" w:cs="Times New Roman" w:eastAsia="Times New Roman" w:hAnsi="Times New Roman"/>
          <w:sz w:val="17"/>
          <w:szCs w:val="17"/>
          <w:i w:val="1"/>
          <w:iCs w:val="1"/>
          <w:color w:val="auto"/>
        </w:rPr>
        <w:t xml:space="preserve"> provided further that </w:t>
      </w:r>
      <w:r>
        <w:rPr>
          <w:rFonts w:ascii="Times New Roman" w:cs="Times New Roman" w:eastAsia="Times New Roman" w:hAnsi="Times New Roman"/>
          <w:sz w:val="17"/>
          <w:szCs w:val="17"/>
          <w:color w:val="auto"/>
        </w:rPr>
        <w:t>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Deferred Stock Units (DSUs)</w:t>
      </w:r>
      <w:r>
        <w:rPr>
          <w:rFonts w:ascii="Times New Roman" w:cs="Times New Roman" w:eastAsia="Times New Roman" w:hAnsi="Times New Roman"/>
          <w:sz w:val="17"/>
          <w:szCs w:val="17"/>
          <w:color w:val="auto"/>
        </w:rPr>
        <w:t>” has the meaning set forth in Section 8.1(b) hereof.</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has the meaning set forth in Section 17.12.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79" w:firstLine="1257"/>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the date that the Company’s shareholders approve this Plan if such shareholder approval occurs before the first anniversary of the date the Plan is adopted by the Board.</w:t>
      </w:r>
    </w:p>
    <w:p>
      <w:pPr>
        <w:spacing w:after="0" w:line="300" w:lineRule="exact"/>
        <w:rPr>
          <w:sz w:val="20"/>
          <w:szCs w:val="20"/>
          <w:color w:val="auto"/>
        </w:rPr>
      </w:pPr>
    </w:p>
    <w:p>
      <w:pPr>
        <w:jc w:val="both"/>
        <w:ind w:left="1000" w:right="579" w:firstLine="1257"/>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means any person, including an Officer or Director, employed by the Company or an Affiliate;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3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45" w:lineRule="exact"/>
        <w:rPr>
          <w:sz w:val="20"/>
          <w:szCs w:val="20"/>
          <w:color w:val="auto"/>
        </w:rPr>
      </w:pPr>
    </w:p>
    <w:p>
      <w:pPr>
        <w:jc w:val="both"/>
        <w:ind w:left="1000" w:right="579" w:firstLine="1257"/>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In the absence of an established market for the Common Stock, the Fair Market Value shall be determined in good faith by the Committee and such determination shall be conclusive and binding on all persons.</w:t>
      </w:r>
    </w:p>
    <w:p>
      <w:pPr>
        <w:spacing w:after="0" w:line="1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Company’s fiscal year.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unless the applicable Award Agreement states otherwise:</w:t>
      </w:r>
    </w:p>
    <w:p>
      <w:pPr>
        <w:spacing w:after="0" w:line="160" w:lineRule="exact"/>
        <w:rPr>
          <w:sz w:val="20"/>
          <w:szCs w:val="20"/>
          <w:color w:val="auto"/>
        </w:rPr>
      </w:pPr>
    </w:p>
    <w:p>
      <w:pPr>
        <w:jc w:val="both"/>
        <w:ind w:left="2260" w:right="579" w:hanging="9"/>
        <w:spacing w:after="0" w:line="276" w:lineRule="auto"/>
        <w:tabs>
          <w:tab w:leader="none" w:pos="25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or Consultant is a party to an employment or service agreement with the Company or its Affiliates and such agreement provides for a definition of Good Reason, the definition contained therein; or</w:t>
      </w:r>
    </w:p>
    <w:p>
      <w:pPr>
        <w:spacing w:after="0" w:line="98" w:lineRule="exact"/>
        <w:rPr>
          <w:rFonts w:ascii="Times New Roman" w:cs="Times New Roman" w:eastAsia="Times New Roman" w:hAnsi="Times New Roman"/>
          <w:sz w:val="17"/>
          <w:szCs w:val="17"/>
          <w:color w:val="auto"/>
        </w:rPr>
      </w:pPr>
    </w:p>
    <w:p>
      <w:pPr>
        <w:jc w:val="both"/>
        <w:ind w:left="2260" w:right="579" w:hanging="9"/>
        <w:spacing w:after="0" w:line="261" w:lineRule="auto"/>
        <w:tabs>
          <w:tab w:leader="none" w:pos="251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 (ii) a material reduction in the Participant’s base salary or bonus opportunity other than as part of an across-the-board salary reduction that applies in substantially the same proportions to all similarly situated Employees.</w:t>
      </w:r>
    </w:p>
    <w:p>
      <w:pPr>
        <w:spacing w:after="0" w:line="99" w:lineRule="exact"/>
        <w:rPr>
          <w:sz w:val="20"/>
          <w:szCs w:val="20"/>
          <w:color w:val="auto"/>
        </w:rPr>
      </w:pPr>
    </w:p>
    <w:p>
      <w:pPr>
        <w:jc w:val="both"/>
        <w:ind w:left="1000" w:right="579" w:firstLine="1257"/>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310"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 Option that is designated by the Committee as an incentive stock option within the meaning of Section 422 of the Code and that meets the requirements set out in the Plan.</w:t>
      </w:r>
    </w:p>
    <w:p>
      <w:pPr>
        <w:spacing w:after="0" w:line="94" w:lineRule="exact"/>
        <w:rPr>
          <w:sz w:val="20"/>
          <w:szCs w:val="20"/>
          <w:color w:val="auto"/>
        </w:rPr>
      </w:pPr>
    </w:p>
    <w:p>
      <w:pPr>
        <w:jc w:val="both"/>
        <w:ind w:left="1000" w:right="579" w:firstLine="1257"/>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Incumbent Directors</w:t>
      </w:r>
      <w:r>
        <w:rPr>
          <w:rFonts w:ascii="Times New Roman" w:cs="Times New Roman" w:eastAsia="Times New Roman" w:hAnsi="Times New Roman"/>
          <w:sz w:val="17"/>
          <w:szCs w:val="17"/>
          <w:color w:val="auto"/>
        </w:rPr>
        <w:t xml:space="preserve">” means individuals who, on the Effective Date, constitute the Board,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97"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means a Director who is a “non-employee director” within the meaning of Rule 16b-3.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that by its terms does not qualify or is not intended to qualify as an Incentive Stock Option.</w:t>
      </w:r>
    </w:p>
    <w:p>
      <w:pPr>
        <w:spacing w:after="0" w:line="76" w:lineRule="exact"/>
        <w:rPr>
          <w:sz w:val="20"/>
          <w:szCs w:val="20"/>
          <w:color w:val="auto"/>
        </w:rPr>
      </w:pPr>
    </w:p>
    <w:p>
      <w:pPr>
        <w:jc w:val="both"/>
        <w:ind w:left="1000" w:right="57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7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Incentive Stock Option or a Non-qualified Stock Option granted pursuant to the Plan.</w:t>
      </w:r>
    </w:p>
    <w:p>
      <w:pPr>
        <w:spacing w:after="0" w:line="63"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 Option.</w:t>
      </w:r>
    </w:p>
    <w:p>
      <w:pPr>
        <w:spacing w:after="0" w:line="7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Price</w:t>
      </w:r>
      <w:r>
        <w:rPr>
          <w:rFonts w:ascii="Times New Roman" w:cs="Times New Roman" w:eastAsia="Times New Roman" w:hAnsi="Times New Roman"/>
          <w:sz w:val="17"/>
          <w:szCs w:val="17"/>
          <w:color w:val="auto"/>
        </w:rPr>
        <w:t>” means the price at which a share of Common Stock may be purchased upon the exercise of an Option.</w:t>
      </w:r>
    </w:p>
    <w:p>
      <w:pPr>
        <w:spacing w:after="0" w:line="76" w:lineRule="exact"/>
        <w:rPr>
          <w:sz w:val="20"/>
          <w:szCs w:val="20"/>
          <w:color w:val="auto"/>
        </w:rPr>
      </w:pPr>
    </w:p>
    <w:p>
      <w:pPr>
        <w:jc w:val="both"/>
        <w:ind w:left="1000" w:right="579" w:firstLine="125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“Other Equity-Based Award” </w:t>
      </w:r>
      <w:r>
        <w:rPr>
          <w:rFonts w:ascii="Times New Roman" w:cs="Times New Roman" w:eastAsia="Times New Roman" w:hAnsi="Times New Roman"/>
          <w:sz w:val="17"/>
          <w:szCs w:val="17"/>
          <w:color w:val="auto"/>
        </w:rPr>
        <w:t>means an Award that is not an Option,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Appreciation Right, Restricted Stock, Restricted Stock Unit, or Performance Share Award that is granted under Section 10 and is payable by delivery of Common Stock and/or which is measured by reference to the value of Common Stock.</w:t>
      </w:r>
    </w:p>
    <w:p>
      <w:pPr>
        <w:spacing w:after="0" w:line="8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person to whom an Award is granted pursuant to the Plan or, if applicable, such other person who holds an outstanding Award.</w:t>
      </w:r>
    </w:p>
    <w:p>
      <w:pPr>
        <w:spacing w:after="0" w:line="76"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 means, for a Performance Period, the one or more goals established by the Committee for the Performance Period based upon business criteria or other performance measures determined by the Committee in its discretion.</w:t>
      </w:r>
    </w:p>
    <w:p>
      <w:pPr>
        <w:spacing w:after="0" w:line="94"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one or more periods of time, as the Committee may select, over which the attainment of one or more Performance Goals will be measured for the purpose of determining a Participant’s right to and the payment of a Performance Share Award or a Cash Award.</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 Award</w:t>
      </w:r>
      <w:r>
        <w:rPr>
          <w:rFonts w:ascii="Times New Roman" w:cs="Times New Roman" w:eastAsia="Times New Roman" w:hAnsi="Times New Roman"/>
          <w:sz w:val="17"/>
          <w:szCs w:val="17"/>
          <w:color w:val="auto"/>
        </w:rPr>
        <w:t>” means any Award granted pursuant to Section 9 hereof.</w:t>
      </w:r>
    </w:p>
    <w:p>
      <w:pPr>
        <w:spacing w:after="0" w:line="158"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w:t>
      </w:r>
      <w:r>
        <w:rPr>
          <w:rFonts w:ascii="Times New Roman" w:cs="Times New Roman" w:eastAsia="Times New Roman" w:hAnsi="Times New Roman"/>
          <w:sz w:val="17"/>
          <w:szCs w:val="17"/>
          <w:color w:val="auto"/>
        </w:rPr>
        <w:t>” means the grant of a right to receive a number of actual shares of Common Stock or share units based upon the performance of the Company during a Performance Period, as determined by the Committee.</w:t>
      </w:r>
    </w:p>
    <w:p>
      <w:pPr>
        <w:spacing w:after="0" w:line="94" w:lineRule="exact"/>
        <w:rPr>
          <w:sz w:val="20"/>
          <w:szCs w:val="20"/>
          <w:color w:val="auto"/>
        </w:rPr>
      </w:pPr>
    </w:p>
    <w:p>
      <w:pPr>
        <w:jc w:val="both"/>
        <w:ind w:left="1000" w:right="579" w:firstLine="1257"/>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spacing w:after="0" w:line="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 person as defined in Section 13(d)(3) of the Exchange Act.</w:t>
      </w:r>
    </w:p>
    <w:p>
      <w:pPr>
        <w:spacing w:after="0" w:line="158"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Omnibus Equity Incentive Plan, as amended and/or amended and restated from time to time.</w:t>
      </w:r>
    </w:p>
    <w:p>
      <w:pPr>
        <w:spacing w:after="0" w:line="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Award</w:t>
      </w:r>
      <w:r>
        <w:rPr>
          <w:rFonts w:ascii="Times New Roman" w:cs="Times New Roman" w:eastAsia="Times New Roman" w:hAnsi="Times New Roman"/>
          <w:sz w:val="17"/>
          <w:szCs w:val="17"/>
          <w:color w:val="auto"/>
        </w:rPr>
        <w:t>” means any Award granted pursuant to Section 8.</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has the meaning set forth in Section 8.</w:t>
      </w:r>
    </w:p>
    <w:p>
      <w:pPr>
        <w:spacing w:after="0" w:line="145"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79" w:firstLine="1257"/>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Appreciation Right</w:t>
      </w:r>
      <w:r>
        <w:rPr>
          <w:rFonts w:ascii="Times New Roman" w:cs="Times New Roman" w:eastAsia="Times New Roman" w:hAnsi="Times New Roman"/>
          <w:sz w:val="17"/>
          <w:szCs w:val="17"/>
          <w:color w:val="auto"/>
        </w:rPr>
        <w:t>” 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has the meaning set forth in Section 6.4.</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 xml:space="preserve">“Substitute Award” </w:t>
      </w:r>
      <w:r>
        <w:rPr>
          <w:rFonts w:ascii="Times New Roman" w:cs="Times New Roman" w:eastAsia="Times New Roman" w:hAnsi="Times New Roman"/>
          <w:sz w:val="17"/>
          <w:szCs w:val="17"/>
          <w:color w:val="auto"/>
        </w:rPr>
        <w:t>has the meaning set forth in Section 4.5.</w:t>
      </w:r>
    </w:p>
    <w:p>
      <w:pPr>
        <w:spacing w:after="0" w:line="145"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 Percent Shareholder</w:t>
      </w:r>
      <w:r>
        <w:rPr>
          <w:rFonts w:ascii="Times New Roman" w:cs="Times New Roman" w:eastAsia="Times New Roman" w:hAnsi="Times New Roman"/>
          <w:sz w:val="17"/>
          <w:szCs w:val="17"/>
          <w:color w:val="auto"/>
        </w:rPr>
        <w:t>” means a person who owns (or is deemed to own pursuant to Section 424(d) of the Code) stock possessing more than 10% of the total combined voting power of all classes of stock of the Company or of any of its Affiliates.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has the meaning set forth in Section 4.1.</w:t>
      </w:r>
    </w:p>
    <w:p>
      <w:pPr>
        <w:spacing w:after="0" w:line="160" w:lineRule="exact"/>
        <w:rPr>
          <w:sz w:val="20"/>
          <w:szCs w:val="20"/>
          <w:color w:val="auto"/>
        </w:rPr>
      </w:pPr>
    </w:p>
    <w:p>
      <w:pPr>
        <w:ind w:left="1380" w:hanging="386"/>
        <w:spacing w:after="0"/>
        <w:tabs>
          <w:tab w:leader="none" w:pos="13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3.1 Authority of Committee.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079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83" w:lineRule="exact"/>
        <w:rPr>
          <w:sz w:val="20"/>
          <w:szCs w:val="20"/>
          <w:color w:val="auto"/>
        </w:rPr>
      </w:pPr>
    </w:p>
    <w:p>
      <w:pPr>
        <w:ind w:left="2420" w:hanging="588"/>
        <w:spacing w:after="0"/>
        <w:tabs>
          <w:tab w:leader="none" w:pos="24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apply its provisions;</w:t>
      </w:r>
    </w:p>
    <w:p>
      <w:pPr>
        <w:spacing w:after="0" w:line="158"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promulgate, amend, and rescind rules and regulations relating to the administration</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of the Plan;</w:t>
      </w:r>
    </w:p>
    <w:p>
      <w:pPr>
        <w:spacing w:after="0" w:line="127" w:lineRule="exact"/>
        <w:rPr>
          <w:sz w:val="20"/>
          <w:szCs w:val="20"/>
          <w:color w:val="auto"/>
        </w:rPr>
      </w:pPr>
    </w:p>
    <w:p>
      <w:pPr>
        <w:ind w:left="1000" w:right="599" w:firstLine="832"/>
        <w:spacing w:after="0" w:line="296" w:lineRule="auto"/>
        <w:tabs>
          <w:tab w:leader="none" w:pos="242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any person to execute, on behalf of the Company, any instrument required to carry out the purposes of the Plan;</w:t>
      </w:r>
    </w:p>
    <w:p>
      <w:pPr>
        <w:spacing w:after="0" w:line="81" w:lineRule="exact"/>
        <w:rPr>
          <w:rFonts w:ascii="Times New Roman" w:cs="Times New Roman" w:eastAsia="Times New Roman" w:hAnsi="Times New Roman"/>
          <w:sz w:val="17"/>
          <w:szCs w:val="17"/>
          <w:color w:val="auto"/>
        </w:rPr>
      </w:pPr>
    </w:p>
    <w:p>
      <w:pPr>
        <w:ind w:left="1000" w:right="599" w:firstLine="832"/>
        <w:spacing w:after="0" w:line="296" w:lineRule="auto"/>
        <w:tabs>
          <w:tab w:leader="none" w:pos="24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delegate its authority to one or more Officers of the Company with respect to Awards that do not involve “insiders” within the meaning of Section 16 of the Exchange Act;</w:t>
      </w:r>
    </w:p>
    <w:p>
      <w:pPr>
        <w:spacing w:after="0" w:line="81"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when Awards are to be granted under the Plan and the applicable Grant</w:t>
      </w:r>
    </w:p>
    <w:p>
      <w:pPr>
        <w:spacing w:after="0" w:line="32"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w:t>
      </w:r>
    </w:p>
    <w:p>
      <w:pPr>
        <w:spacing w:after="0" w:line="127" w:lineRule="exact"/>
        <w:rPr>
          <w:rFonts w:ascii="Times New Roman" w:cs="Times New Roman" w:eastAsia="Times New Roman" w:hAnsi="Times New Roman"/>
          <w:sz w:val="17"/>
          <w:szCs w:val="17"/>
          <w:color w:val="auto"/>
        </w:rPr>
      </w:pPr>
    </w:p>
    <w:p>
      <w:pPr>
        <w:ind w:left="1000" w:right="599" w:firstLine="832"/>
        <w:spacing w:after="0" w:line="296" w:lineRule="auto"/>
        <w:tabs>
          <w:tab w:leader="none" w:pos="247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to select, subject to the limitations set forth in this Plan, those eligible Award recipients to whom Awards shall be granted;</w:t>
      </w:r>
    </w:p>
    <w:p>
      <w:pPr>
        <w:spacing w:after="0" w:line="81"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Common Stock to be made subject to each</w:t>
      </w:r>
    </w:p>
    <w:p>
      <w:pPr>
        <w:spacing w:after="0" w:line="32"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w:t>
      </w:r>
    </w:p>
    <w:p>
      <w:pPr>
        <w:spacing w:after="0" w:line="140" w:lineRule="exact"/>
        <w:rPr>
          <w:rFonts w:ascii="Times New Roman" w:cs="Times New Roman" w:eastAsia="Times New Roman" w:hAnsi="Times New Roman"/>
          <w:sz w:val="17"/>
          <w:szCs w:val="17"/>
          <w:color w:val="auto"/>
        </w:rPr>
      </w:pPr>
    </w:p>
    <w:p>
      <w:pPr>
        <w:ind w:left="1000" w:right="579" w:firstLine="832"/>
        <w:spacing w:after="0" w:line="296" w:lineRule="auto"/>
        <w:tabs>
          <w:tab w:leader="none" w:pos="24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each Option is to be an Incentive Stock Option or a Non-qualified Stock Option;</w:t>
      </w:r>
    </w:p>
    <w:p>
      <w:pPr>
        <w:spacing w:after="0" w:line="67"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53"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98"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53"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85" w:lineRule="exact"/>
        <w:rPr>
          <w:rFonts w:ascii="Times New Roman" w:cs="Times New Roman" w:eastAsia="Times New Roman" w:hAnsi="Times New Roman"/>
          <w:sz w:val="17"/>
          <w:szCs w:val="17"/>
          <w:color w:val="auto"/>
        </w:rPr>
      </w:pPr>
    </w:p>
    <w:p>
      <w:pPr>
        <w:jc w:val="both"/>
        <w:ind w:left="1000" w:right="579" w:firstLine="832"/>
        <w:spacing w:after="0" w:line="267" w:lineRule="auto"/>
        <w:tabs>
          <w:tab w:leader="none" w:pos="24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04" w:lineRule="exact"/>
        <w:rPr>
          <w:rFonts w:ascii="Times New Roman" w:cs="Times New Roman" w:eastAsia="Times New Roman" w:hAnsi="Times New Roman"/>
          <w:sz w:val="17"/>
          <w:szCs w:val="17"/>
          <w:color w:val="auto"/>
        </w:rPr>
      </w:pPr>
    </w:p>
    <w:p>
      <w:pPr>
        <w:jc w:val="both"/>
        <w:ind w:left="1000" w:right="599" w:firstLine="832"/>
        <w:spacing w:after="0" w:line="270" w:lineRule="auto"/>
        <w:tabs>
          <w:tab w:leader="none" w:pos="24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599" w:firstLine="832"/>
        <w:spacing w:after="0" w:line="296" w:lineRule="auto"/>
        <w:tabs>
          <w:tab w:leader="none" w:pos="244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decisions with respect to outstanding Awards that may become necessary upon a change in corporate control or an event that triggers anti-dilution adjustments;</w:t>
      </w:r>
    </w:p>
    <w:p>
      <w:pPr>
        <w:spacing w:after="0" w:line="81"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3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administer, reconcile any inconsistency in, correct any defect in and/or supply any omission in the Plan and any instrument or agreement relating to, or Award granted under, the Plan; and</w:t>
      </w:r>
    </w:p>
    <w:p>
      <w:pPr>
        <w:spacing w:after="0" w:line="98" w:lineRule="exact"/>
        <w:rPr>
          <w:rFonts w:ascii="Times New Roman" w:cs="Times New Roman" w:eastAsia="Times New Roman" w:hAnsi="Times New Roman"/>
          <w:sz w:val="17"/>
          <w:szCs w:val="17"/>
          <w:color w:val="auto"/>
        </w:rPr>
      </w:pPr>
    </w:p>
    <w:p>
      <w:pPr>
        <w:ind w:left="1000" w:right="579" w:firstLine="832"/>
        <w:spacing w:after="0" w:line="296" w:lineRule="auto"/>
        <w:tabs>
          <w:tab w:leader="none" w:pos="243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discretion to make any and all other determinations which it determines to be necessary or advisable for the administration of the Plan.</w:t>
      </w:r>
    </w:p>
    <w:p>
      <w:pPr>
        <w:spacing w:after="0" w:line="68" w:lineRule="exact"/>
        <w:rPr>
          <w:sz w:val="20"/>
          <w:szCs w:val="20"/>
          <w:color w:val="auto"/>
        </w:rPr>
      </w:pPr>
    </w:p>
    <w:p>
      <w:pPr>
        <w:jc w:val="both"/>
        <w:ind w:left="1000" w:right="579" w:firstLine="838"/>
        <w:spacing w:after="0" w:line="265" w:lineRule="auto"/>
        <w:rPr>
          <w:sz w:val="20"/>
          <w:szCs w:val="20"/>
          <w:color w:val="auto"/>
        </w:rPr>
      </w:pPr>
      <w:r>
        <w:rPr>
          <w:rFonts w:ascii="Times New Roman" w:cs="Times New Roman" w:eastAsia="Times New Roman" w:hAnsi="Times New Roman"/>
          <w:sz w:val="17"/>
          <w:szCs w:val="17"/>
          <w:color w:val="auto"/>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06"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3.2 Committee Decisions Final. All decisions made by the Committee pursuant to the provisions of the Plan shall be final and binding on the Company and the Participants, unless such decisions are determined by a court having jurisdiction to be arbitrary and capricious.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2211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78"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Delegation</w:t>
      </w:r>
      <w:r>
        <w:rPr>
          <w:rFonts w:ascii="Times New Roman" w:cs="Times New Roman" w:eastAsia="Times New Roman" w:hAnsi="Times New Roman"/>
          <w:sz w:val="17"/>
          <w:szCs w:val="17"/>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07"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3.4 Committee Composition.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-1364615</wp:posOffset>
            </wp:positionV>
            <wp:extent cx="1101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91"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 xml:space="preserve">case of a criminal proceeding, had no reason to believe that the conduct complained of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103" w:lineRule="exact"/>
        <w:rPr>
          <w:sz w:val="20"/>
          <w:szCs w:val="20"/>
          <w:color w:val="auto"/>
        </w:rPr>
      </w:pPr>
    </w:p>
    <w:p>
      <w:pPr>
        <w:ind w:left="1380" w:hanging="386"/>
        <w:spacing w:after="0"/>
        <w:tabs>
          <w:tab w:leader="none" w:pos="13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Subject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-3810</wp:posOffset>
            </wp:positionV>
            <wp:extent cx="11576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4.1 Subject to adjustment in accordance with Section 14, an amount of shares of Common Stock equal to (i) </w:t>
      </w:r>
      <w:r>
        <w:rPr>
          <w:rFonts w:ascii="Times New Roman" w:cs="Times New Roman" w:eastAsia="Times New Roman" w:hAnsi="Times New Roman"/>
          <w:sz w:val="17"/>
          <w:szCs w:val="17"/>
          <w:u w:val="single" w:color="auto"/>
          <w:color w:val="2E3192"/>
        </w:rPr>
        <w:t>two million seven hundred and sixty thousand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D2232A"/>
          <w:strike w:val="1"/>
        </w:rPr>
        <w:t>two hundred and sixty thousand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E3192"/>
        </w:rPr>
        <w:t>2,760,000</w:t>
      </w:r>
      <w:r>
        <w:rPr>
          <w:rFonts w:ascii="Times New Roman" w:cs="Times New Roman" w:eastAsia="Times New Roman" w:hAnsi="Times New Roman"/>
          <w:sz w:val="17"/>
          <w:szCs w:val="17"/>
          <w:color w:val="D2232A"/>
          <w:strike w:val="1"/>
        </w:rPr>
        <w:t>260,000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number of shares of Common Stock underlying any award granted under the Agrify Corporation 2020 Omnibus Equity Incentive Plan (the “</w:t>
      </w:r>
      <w:r>
        <w:rPr>
          <w:rFonts w:ascii="Times New Roman" w:cs="Times New Roman" w:eastAsia="Times New Roman" w:hAnsi="Times New Roman"/>
          <w:sz w:val="17"/>
          <w:szCs w:val="17"/>
          <w:b w:val="1"/>
          <w:bCs w:val="1"/>
          <w:color w:val="auto"/>
        </w:rPr>
        <w:t>Prior Plan</w:t>
      </w:r>
      <w:r>
        <w:rPr>
          <w:rFonts w:ascii="Times New Roman" w:cs="Times New Roman" w:eastAsia="Times New Roman" w:hAnsi="Times New Roman"/>
          <w:sz w:val="17"/>
          <w:szCs w:val="17"/>
          <w:color w:val="auto"/>
        </w:rPr>
        <w:t>”) that expires, terminates or is canceled or forfeited under the terms of the Prior Plan shall be available for the grant of Awards under the Plan (the “</w:t>
      </w: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During the terms of the Awards, the Company shall keep available at all times the number of shares of Common Stock required to satisfy such Awards.</w:t>
      </w:r>
    </w:p>
    <w:p>
      <w:pPr>
        <w:spacing w:after="0" w:line="98" w:lineRule="exact"/>
        <w:rPr>
          <w:sz w:val="20"/>
          <w:szCs w:val="20"/>
          <w:color w:val="auto"/>
        </w:rPr>
      </w:pPr>
    </w:p>
    <w:p>
      <w:pPr>
        <w:jc w:val="both"/>
        <w:ind w:left="1000" w:right="579" w:firstLine="419"/>
        <w:spacing w:after="0" w:line="289" w:lineRule="auto"/>
        <w:rPr>
          <w:sz w:val="20"/>
          <w:szCs w:val="20"/>
          <w:color w:val="auto"/>
        </w:rPr>
      </w:pPr>
      <w:r>
        <w:rPr>
          <w:rFonts w:ascii="Times New Roman" w:cs="Times New Roman" w:eastAsia="Times New Roman" w:hAnsi="Times New Roman"/>
          <w:sz w:val="17"/>
          <w:szCs w:val="17"/>
          <w:color w:val="auto"/>
        </w:rPr>
        <w:t>4.2 Shares of Common Stock available for distribution under the Plan may consist, in whole or in part, of authorized and unissued shares, treasury shares or shares reacquired by the Company in any manner.</w:t>
      </w:r>
    </w:p>
    <w:p>
      <w:pPr>
        <w:spacing w:after="0" w:line="302"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4.3 Subject to adjustment in accordance with Section 14, the maximum number of shares of Common Stock that may be issued in the aggregate pursuant to the exercise of Incentive Stock Options shall be equal to the Total Share Reserve (the </w:t>
      </w:r>
      <w:r>
        <w:rPr>
          <w:rFonts w:ascii="Times New Roman" w:cs="Times New Roman" w:eastAsia="Times New Roman" w:hAnsi="Times New Roman"/>
          <w:sz w:val="17"/>
          <w:szCs w:val="17"/>
          <w:b w:val="1"/>
          <w:bCs w:val="1"/>
          <w:color w:val="auto"/>
        </w:rPr>
        <w:t>“ISO Limit”</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spacing w:after="0" w:line="97"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4.5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7"/>
          <w:szCs w:val="17"/>
          <w:b w:val="1"/>
          <w:bCs w:val="1"/>
          <w:color w:val="auto"/>
        </w:rPr>
        <w:t>Substitute Awards</w:t>
      </w:r>
      <w:r>
        <w:rPr>
          <w:rFonts w:ascii="Times New Roman" w:cs="Times New Roman" w:eastAsia="Times New Roman" w:hAnsi="Times New Roman"/>
          <w:sz w:val="17"/>
          <w:szCs w:val="17"/>
          <w:color w:val="auto"/>
        </w:rPr>
        <w:t xml:space="preserve">”). Substitute Awards shall not be counted against the Total Share 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10" w:lineRule="exact"/>
        <w:rPr>
          <w:sz w:val="20"/>
          <w:szCs w:val="20"/>
          <w:color w:val="auto"/>
        </w:rPr>
      </w:pPr>
    </w:p>
    <w:p>
      <w:pPr>
        <w:ind w:left="1380" w:hanging="386"/>
        <w:spacing w:after="0"/>
        <w:tabs>
          <w:tab w:leader="none" w:pos="1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5.1 Eligibility for Specific Awards.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3849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70"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Ten Percent Shareholders</w:t>
      </w:r>
      <w:r>
        <w:rPr>
          <w:rFonts w:ascii="Times New Roman" w:cs="Times New Roman" w:eastAsia="Times New Roman" w:hAnsi="Times New Roman"/>
          <w:sz w:val="17"/>
          <w:szCs w:val="17"/>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98" w:lineRule="exact"/>
        <w:rPr>
          <w:sz w:val="20"/>
          <w:szCs w:val="20"/>
          <w:color w:val="auto"/>
        </w:rPr>
      </w:pPr>
    </w:p>
    <w:p>
      <w:pPr>
        <w:jc w:val="both"/>
        <w:ind w:left="580" w:right="599" w:firstLine="414"/>
        <w:spacing w:after="0" w:line="263" w:lineRule="auto"/>
        <w:tabs>
          <w:tab w:leader="none" w:pos="139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Provisions.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-831850</wp:posOffset>
            </wp:positionV>
            <wp:extent cx="8039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05" w:lineRule="exact"/>
        <w:rPr>
          <w:sz w:val="20"/>
          <w:szCs w:val="20"/>
          <w:color w:val="auto"/>
        </w:rPr>
      </w:pPr>
    </w:p>
    <w:p>
      <w:pPr>
        <w:jc w:val="both"/>
        <w:ind w:left="100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Non-qualified Stock Option shall be exercisable after the expiration of 10 years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Date.</w:t>
      </w:r>
    </w:p>
    <w:p>
      <w:pPr>
        <w:spacing w:after="0" w:line="319"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6.2 Exercise Price of an Incentive Stock Option.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19456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3"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6.3 Exercise Price of a Non-qualified Stock Option.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22237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spacing w:after="0" w:line="86" w:lineRule="exact"/>
        <w:rPr>
          <w:sz w:val="20"/>
          <w:szCs w:val="20"/>
          <w:color w:val="auto"/>
        </w:rPr>
      </w:pPr>
    </w:p>
    <w:p>
      <w:pPr>
        <w:jc w:val="both"/>
        <w:ind w:left="1000" w:right="579" w:firstLine="419"/>
        <w:spacing w:after="0" w:line="25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340"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6.5 Transferability of an Incentive Stock Option.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21545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154555" cy="8255"/>
                    </a:xfrm>
                    <a:prstGeom prst="rect">
                      <a:avLst/>
                    </a:prstGeom>
                    <a:noFill/>
                  </pic:spPr>
                </pic:pic>
              </a:graphicData>
            </a:graphic>
          </wp:anchor>
        </w:drawing>
      </w:r>
    </w:p>
    <w:p>
      <w:pPr>
        <w:spacing w:after="0" w:line="71"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6.6 Transferability of a Non-qualified Stock Option.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2183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183765"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03"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6.7 Vesting of Options.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864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85"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6.8 Termination of Continuous Service.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659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659255" cy="8255"/>
                    </a:xfrm>
                    <a:prstGeom prst="rect">
                      <a:avLst/>
                    </a:prstGeom>
                    <a:noFill/>
                  </pic:spPr>
                </pic:pic>
              </a:graphicData>
            </a:graphic>
          </wp:anchor>
        </w:drawing>
      </w:r>
    </w:p>
    <w:p>
      <w:pPr>
        <w:spacing w:after="0" w:line="71"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6.9 Extension of Termination Date.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-1099185</wp:posOffset>
            </wp:positionV>
            <wp:extent cx="13766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90"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Incentive Stock Option $100,000 Limitation</w:t>
      </w:r>
      <w:r>
        <w:rPr>
          <w:rFonts w:ascii="Times New Roman" w:cs="Times New Roman" w:eastAsia="Times New Roman" w:hAnsi="Times New Roman"/>
          <w:sz w:val="17"/>
          <w:szCs w:val="17"/>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05" w:lineRule="exact"/>
        <w:rPr>
          <w:sz w:val="20"/>
          <w:szCs w:val="20"/>
          <w:color w:val="auto"/>
        </w:rPr>
      </w:pPr>
    </w:p>
    <w:p>
      <w:pPr>
        <w:jc w:val="both"/>
        <w:ind w:left="580" w:right="599" w:firstLine="414"/>
        <w:spacing w:after="0" w:line="267" w:lineRule="auto"/>
        <w:tabs>
          <w:tab w:leader="none" w:pos="139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or in tandem with an Option granted under the Plan (“</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Grant Requirements for Related Rights</w:t>
      </w:r>
      <w:r>
        <w:rPr>
          <w:rFonts w:ascii="Times New Roman" w:cs="Times New Roman" w:eastAsia="Times New Roman" w:hAnsi="Times New Roman"/>
          <w:sz w:val="17"/>
          <w:szCs w:val="17"/>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103"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a Stock Appreciation Right granted under the Plan shall be determined by the Committee;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no Stock Appreciation Right shall be exercisable later than the tenth anniversary of the Grant Date.</w:t>
      </w:r>
    </w:p>
    <w:p>
      <w:pPr>
        <w:spacing w:after="0" w:line="98"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u w:val="single" w:color="auto"/>
          <w:color w:val="auto"/>
        </w:rPr>
        <w:t>Vesting</w:t>
      </w:r>
    </w:p>
    <w:p>
      <w:pPr>
        <w:spacing w:after="0" w:line="145" w:lineRule="exact"/>
        <w:rPr>
          <w:sz w:val="20"/>
          <w:szCs w:val="20"/>
          <w:color w:val="auto"/>
        </w:rPr>
      </w:pPr>
    </w:p>
    <w:p>
      <w:pPr>
        <w:jc w:val="both"/>
        <w:ind w:left="1000" w:right="579" w:firstLine="838"/>
        <w:spacing w:after="0" w:line="267" w:lineRule="auto"/>
        <w:rPr>
          <w:sz w:val="20"/>
          <w:szCs w:val="20"/>
          <w:color w:val="auto"/>
        </w:rPr>
      </w:pPr>
      <w:r>
        <w:rPr>
          <w:rFonts w:ascii="Times New Roman" w:cs="Times New Roman" w:eastAsia="Times New Roman" w:hAnsi="Times New Roman"/>
          <w:sz w:val="17"/>
          <w:szCs w:val="17"/>
          <w:color w:val="auto"/>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spacing w:after="0" w:line="105"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7.4 Exercise and Payment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0350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103"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7.5 Exercise Price The exercise price of a Free Standing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Section 7.1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-1229360</wp:posOffset>
            </wp:positionV>
            <wp:extent cx="662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62305" cy="8255"/>
                    </a:xfrm>
                    <a:prstGeom prst="rect">
                      <a:avLst/>
                    </a:prstGeom>
                    <a:noFill/>
                  </pic:spPr>
                </pic:pic>
              </a:graphicData>
            </a:graphic>
          </wp:anchor>
        </w:drawing>
      </w:r>
    </w:p>
    <w:p>
      <w:pPr>
        <w:spacing w:after="0" w:line="94"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7.6 Reduction in the Underlying Option Shares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932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69" w:lineRule="exact"/>
        <w:rPr>
          <w:sz w:val="20"/>
          <w:szCs w:val="20"/>
          <w:color w:val="auto"/>
        </w:rPr>
      </w:pPr>
    </w:p>
    <w:p>
      <w:pPr>
        <w:jc w:val="both"/>
        <w:ind w:left="580" w:right="599" w:firstLine="414"/>
        <w:spacing w:after="0" w:line="262" w:lineRule="auto"/>
        <w:tabs>
          <w:tab w:leader="none" w:pos="139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Awards A Restricted Award is an Award of actual shares of Common Stock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or hypothetical Common Stock units (“</w:t>
      </w: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 having a value equal to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-1097915</wp:posOffset>
            </wp:positionV>
            <wp:extent cx="81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92"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Restricted Stock and Restricted Stock Units</w:t>
      </w:r>
    </w:p>
    <w:p>
      <w:pPr>
        <w:spacing w:after="0" w:line="158" w:lineRule="exact"/>
        <w:rPr>
          <w:sz w:val="20"/>
          <w:szCs w:val="20"/>
          <w:color w:val="auto"/>
        </w:rPr>
      </w:pPr>
    </w:p>
    <w:p>
      <w:pPr>
        <w:jc w:val="both"/>
        <w:ind w:left="1420" w:right="579" w:firstLine="412"/>
        <w:spacing w:after="0" w:line="260" w:lineRule="auto"/>
        <w:tabs>
          <w:tab w:leader="none" w:pos="242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shall not have the right to receive dividends on any unvested shares of Restricted Stock.</w:t>
      </w:r>
    </w:p>
    <w:p>
      <w:pPr>
        <w:spacing w:after="0" w:line="102" w:lineRule="exact"/>
        <w:rPr>
          <w:rFonts w:ascii="Times New Roman" w:cs="Times New Roman" w:eastAsia="Times New Roman" w:hAnsi="Times New Roman"/>
          <w:sz w:val="17"/>
          <w:szCs w:val="17"/>
          <w:color w:val="auto"/>
        </w:rPr>
      </w:pPr>
    </w:p>
    <w:p>
      <w:pPr>
        <w:jc w:val="both"/>
        <w:ind w:left="1420" w:right="579" w:firstLine="412"/>
        <w:spacing w:after="0" w:line="263" w:lineRule="auto"/>
        <w:tabs>
          <w:tab w:leader="none" w:pos="243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7"/>
          <w:szCs w:val="17"/>
          <w:b w:val="1"/>
          <w:bCs w:val="1"/>
          <w:color w:val="auto"/>
        </w:rPr>
        <w:t>Deferred Stock Units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Restrictions</w:t>
      </w:r>
    </w:p>
    <w:p>
      <w:pPr>
        <w:spacing w:after="0" w:line="158" w:lineRule="exact"/>
        <w:rPr>
          <w:sz w:val="20"/>
          <w:szCs w:val="20"/>
          <w:color w:val="auto"/>
        </w:rPr>
      </w:pPr>
    </w:p>
    <w:p>
      <w:pPr>
        <w:jc w:val="both"/>
        <w:ind w:left="1420" w:right="599" w:firstLine="412"/>
        <w:spacing w:after="0" w:line="270" w:lineRule="auto"/>
        <w:tabs>
          <w:tab w:leader="none" w:pos="242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spacing w:after="0" w:line="266" w:lineRule="auto"/>
        <w:rPr>
          <w:sz w:val="20"/>
          <w:szCs w:val="20"/>
          <w:color w:val="auto"/>
        </w:rPr>
      </w:pPr>
      <w:r>
        <w:rPr>
          <w:rFonts w:ascii="Times New Roman" w:cs="Times New Roman" w:eastAsia="Times New Roman" w:hAnsi="Times New Roman"/>
          <w:sz w:val="17"/>
          <w:szCs w:val="17"/>
          <w:color w:val="auto"/>
        </w:rPr>
        <w:t>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318" w:lineRule="exact"/>
        <w:rPr>
          <w:sz w:val="20"/>
          <w:szCs w:val="20"/>
          <w:color w:val="auto"/>
        </w:rPr>
      </w:pPr>
    </w:p>
    <w:p>
      <w:pPr>
        <w:jc w:val="both"/>
        <w:ind w:left="1420" w:right="579" w:firstLine="412"/>
        <w:spacing w:after="0" w:line="263" w:lineRule="auto"/>
        <w:tabs>
          <w:tab w:leader="none" w:pos="243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11" w:lineRule="exact"/>
        <w:rPr>
          <w:rFonts w:ascii="Times New Roman" w:cs="Times New Roman" w:eastAsia="Times New Roman" w:hAnsi="Times New Roman"/>
          <w:sz w:val="17"/>
          <w:szCs w:val="17"/>
          <w:color w:val="auto"/>
        </w:rPr>
      </w:pPr>
    </w:p>
    <w:p>
      <w:pPr>
        <w:jc w:val="both"/>
        <w:ind w:left="1420" w:right="579" w:firstLine="412"/>
        <w:spacing w:after="0" w:line="267" w:lineRule="auto"/>
        <w:tabs>
          <w:tab w:leader="none" w:pos="242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spacing w:after="0" w:line="91"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Restricted Period</w:t>
      </w:r>
    </w:p>
    <w:p>
      <w:pPr>
        <w:spacing w:after="0" w:line="158"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105"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8.4 Delivery of Restricted Stock and Settlement of Restricted Stock Units 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7"/>
          <w:szCs w:val="17"/>
          <w:b w:val="1"/>
          <w:bCs w:val="1"/>
          <w:color w:val="auto"/>
        </w:rPr>
        <w:t>Vested Unit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-2023110</wp:posOffset>
            </wp:positionV>
            <wp:extent cx="31502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150235" cy="8255"/>
                    </a:xfrm>
                    <a:prstGeom prst="rect">
                      <a:avLst/>
                    </a:prstGeom>
                    <a:noFill/>
                  </pic:spPr>
                </pic:pic>
              </a:graphicData>
            </a:graphic>
          </wp:anchor>
        </w:drawing>
      </w:r>
    </w:p>
    <w:p>
      <w:pPr>
        <w:spacing w:after="0" w:line="298"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Stock Restrictions</w:t>
      </w:r>
      <w:r>
        <w:rPr>
          <w:rFonts w:ascii="Times New Roman" w:cs="Times New Roman" w:eastAsia="Times New Roman" w:hAnsi="Times New Roman"/>
          <w:sz w:val="17"/>
          <w:szCs w:val="17"/>
          <w:color w:val="auto"/>
        </w:rPr>
        <w:t xml:space="preserve"> Each certificate representing Restricted Stock awarded under the Plan shall bear a legend in such form as the Company deems appropriate.</w:t>
      </w:r>
    </w:p>
    <w:p>
      <w:pPr>
        <w:spacing w:after="0" w:line="81" w:lineRule="exact"/>
        <w:rPr>
          <w:sz w:val="20"/>
          <w:szCs w:val="20"/>
          <w:color w:val="auto"/>
        </w:rPr>
      </w:pPr>
    </w:p>
    <w:p>
      <w:pPr>
        <w:jc w:val="both"/>
        <w:ind w:left="580" w:right="579" w:firstLine="414"/>
        <w:spacing w:after="0" w:line="263" w:lineRule="auto"/>
        <w:tabs>
          <w:tab w:leader="none" w:pos="139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-831850</wp:posOffset>
            </wp:positionV>
            <wp:extent cx="1275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9.1 Earning Performance Share Awards The number of Performance Shares earned by a Participant will depend on the extent to which the performance goals established by the Committee are attained within the applicable Performance Period,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711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78" w:lineRule="exact"/>
        <w:rPr>
          <w:sz w:val="20"/>
          <w:szCs w:val="20"/>
          <w:color w:val="auto"/>
        </w:rPr>
      </w:pPr>
    </w:p>
    <w:p>
      <w:pPr>
        <w:jc w:val="both"/>
        <w:ind w:left="580" w:right="579" w:firstLine="414"/>
        <w:spacing w:after="0" w:line="263" w:lineRule="auto"/>
        <w:tabs>
          <w:tab w:leader="none" w:pos="138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Equity-Based Awards and Cash Awards</w:t>
      </w:r>
      <w:r>
        <w:rPr>
          <w:rFonts w:ascii="Times New Roman" w:cs="Times New Roman" w:eastAsia="Times New Roman" w:hAnsi="Times New Roman"/>
          <w:sz w:val="17"/>
          <w:szCs w:val="17"/>
          <w:color w:val="auto"/>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11" w:lineRule="exact"/>
        <w:rPr>
          <w:rFonts w:ascii="Times New Roman" w:cs="Times New Roman" w:eastAsia="Times New Roman" w:hAnsi="Times New Roman"/>
          <w:sz w:val="17"/>
          <w:szCs w:val="17"/>
          <w:color w:val="auto"/>
        </w:rPr>
      </w:pPr>
    </w:p>
    <w:p>
      <w:pPr>
        <w:jc w:val="both"/>
        <w:ind w:left="580" w:right="579" w:firstLine="414"/>
        <w:spacing w:after="0" w:line="260" w:lineRule="auto"/>
        <w:tabs>
          <w:tab w:leader="none" w:pos="138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Law Compliance.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02" w:lineRule="exact"/>
        <w:rPr>
          <w:rFonts w:ascii="Times New Roman" w:cs="Times New Roman" w:eastAsia="Times New Roman" w:hAnsi="Times New Roman"/>
          <w:sz w:val="17"/>
          <w:szCs w:val="17"/>
          <w:color w:val="auto"/>
        </w:rPr>
      </w:pPr>
    </w:p>
    <w:p>
      <w:pPr>
        <w:ind w:left="580" w:right="599" w:firstLine="414"/>
        <w:spacing w:after="0" w:line="296" w:lineRule="auto"/>
        <w:tabs>
          <w:tab w:leader="none" w:pos="138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 from Stock</w:t>
      </w:r>
      <w:r>
        <w:rPr>
          <w:rFonts w:ascii="Times New Roman" w:cs="Times New Roman" w:eastAsia="Times New Roman" w:hAnsi="Times New Roman"/>
          <w:sz w:val="17"/>
          <w:szCs w:val="17"/>
          <w:color w:val="auto"/>
        </w:rPr>
        <w:t>. Proceeds from the sale of Common Stock pursuant to Awards, or upon exercise thereof, shall constitute general funds of the Company.</w:t>
      </w:r>
    </w:p>
    <w:p>
      <w:pPr>
        <w:spacing w:after="0" w:line="81"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-2174240</wp:posOffset>
            </wp:positionV>
            <wp:extent cx="12331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138"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Acceleration of Exercisability and Vesting</w:t>
      </w:r>
      <w:r>
        <w:rPr>
          <w:rFonts w:ascii="Times New Roman" w:cs="Times New Roman" w:eastAsia="Times New Roman" w:hAnsi="Times New Roman"/>
          <w:sz w:val="17"/>
          <w:szCs w:val="17"/>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90" w:lineRule="exact"/>
        <w:rPr>
          <w:sz w:val="20"/>
          <w:szCs w:val="20"/>
          <w:color w:val="auto"/>
        </w:rPr>
      </w:pPr>
    </w:p>
    <w:p>
      <w:pPr>
        <w:jc w:val="both"/>
        <w:ind w:left="100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spacing w:after="0" w:line="321"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No Employment or Other Service Rights</w:t>
      </w:r>
      <w:r>
        <w:rPr>
          <w:rFonts w:ascii="Times New Roman" w:cs="Times New Roman" w:eastAsia="Times New Roman" w:hAnsi="Times New Roman"/>
          <w:sz w:val="17"/>
          <w:szCs w:val="17"/>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12" w:lineRule="exact"/>
        <w:rPr>
          <w:sz w:val="20"/>
          <w:szCs w:val="20"/>
          <w:color w:val="auto"/>
        </w:rPr>
      </w:pPr>
    </w:p>
    <w:p>
      <w:pPr>
        <w:jc w:val="both"/>
        <w:ind w:left="1000" w:right="599" w:firstLine="419"/>
        <w:spacing w:after="0" w:line="264"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Transfer; Approved Leave of Absence</w:t>
      </w:r>
      <w:r>
        <w:rPr>
          <w:rFonts w:ascii="Times New Roman" w:cs="Times New Roman" w:eastAsia="Times New Roman" w:hAnsi="Times New Roman"/>
          <w:sz w:val="17"/>
          <w:szCs w:val="17"/>
          <w:color w:val="auto"/>
        </w:rPr>
        <w:t>. For purposes of the Plan, no termination of employment by an Employee shall be deemed to result from either (a) a transfer of employment to the Company from an Affiliate or from the Company to an Affiliate, or from one Affiliate to another, or</w:t>
      </w:r>
    </w:p>
    <w:p>
      <w:pPr>
        <w:spacing w:after="0" w:line="2" w:lineRule="exact"/>
        <w:rPr>
          <w:sz w:val="20"/>
          <w:szCs w:val="20"/>
          <w:color w:val="auto"/>
        </w:rPr>
      </w:pPr>
    </w:p>
    <w:p>
      <w:pPr>
        <w:ind w:left="1000" w:right="599" w:hanging="6"/>
        <w:spacing w:after="0" w:line="274" w:lineRule="auto"/>
        <w:tabs>
          <w:tab w:leader="none" w:pos="126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approved leave of absence for military service or sickness, or for any other purpose approved by the Company, if the Employee’s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4" w:lineRule="auto"/>
        <w:rPr>
          <w:sz w:val="20"/>
          <w:szCs w:val="20"/>
          <w:color w:val="auto"/>
        </w:rPr>
      </w:pPr>
      <w:r>
        <w:rPr>
          <w:rFonts w:ascii="Times New Roman" w:cs="Times New Roman" w:eastAsia="Times New Roman" w:hAnsi="Times New Roman"/>
          <w:sz w:val="17"/>
          <w:szCs w:val="17"/>
          <w:color w:val="auto"/>
        </w:rPr>
        <w:t>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313" w:lineRule="exact"/>
        <w:rPr>
          <w:sz w:val="20"/>
          <w:szCs w:val="20"/>
          <w:color w:val="auto"/>
        </w:rPr>
      </w:pPr>
    </w:p>
    <w:p>
      <w:pPr>
        <w:jc w:val="both"/>
        <w:ind w:left="1000" w:right="59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w:t>
      </w:r>
    </w:p>
    <w:p>
      <w:pPr>
        <w:spacing w:after="0" w:line="3" w:lineRule="exact"/>
        <w:rPr>
          <w:sz w:val="20"/>
          <w:szCs w:val="20"/>
          <w:color w:val="auto"/>
        </w:rPr>
      </w:pPr>
    </w:p>
    <w:p>
      <w:pPr>
        <w:jc w:val="both"/>
        <w:ind w:left="1000" w:right="579" w:hanging="6"/>
        <w:spacing w:after="0" w:line="261" w:lineRule="auto"/>
        <w:tabs>
          <w:tab w:leader="none" w:pos="126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authorizing the Company to withhold shares of Common Stock from the shares of Common Stock otherwise issuable to the Participant as a result of the exercise or acquisition of Common Stock under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shares of Common Stock are withheld with a value exceeding the maximum amount of tax required to be withheld by law; or (c) delivering to the Company previously owned and unencumbered shares of Common Stock of the Company.</w:t>
      </w:r>
    </w:p>
    <w:p>
      <w:pPr>
        <w:spacing w:after="0" w:line="111"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w:t>
      </w:r>
    </w:p>
    <w:p>
      <w:pPr>
        <w:spacing w:after="0" w:line="3" w:lineRule="exact"/>
        <w:rPr>
          <w:sz w:val="20"/>
          <w:szCs w:val="20"/>
          <w:color w:val="auto"/>
        </w:rPr>
      </w:pPr>
    </w:p>
    <w:p>
      <w:pPr>
        <w:jc w:val="both"/>
        <w:ind w:left="1000" w:right="599" w:hanging="6"/>
        <w:spacing w:after="0" w:line="265" w:lineRule="auto"/>
        <w:tabs>
          <w:tab w:leader="none" w:pos="1282"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to Directors, and (D) the Committee’s discretion to provide for accelerated exercisability or vesting of any Award, including in cases of retirement, death, disability or a Change in Control, in the terms of the Award or otherwise.</w:t>
      </w:r>
    </w:p>
    <w:p>
      <w:pPr>
        <w:spacing w:after="0" w:line="94" w:lineRule="exact"/>
        <w:rPr>
          <w:sz w:val="20"/>
          <w:szCs w:val="20"/>
          <w:color w:val="auto"/>
        </w:rPr>
      </w:pPr>
    </w:p>
    <w:p>
      <w:pPr>
        <w:jc w:val="both"/>
        <w:ind w:left="580" w:right="579" w:firstLine="414"/>
        <w:spacing w:after="0" w:line="259" w:lineRule="auto"/>
        <w:tabs>
          <w:tab w:leader="none" w:pos="138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Upon Changes in Stock.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 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32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Change in Control</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-2623820</wp:posOffset>
            </wp:positionV>
            <wp:extent cx="1654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654810"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w:t>
      </w:r>
    </w:p>
    <w:p>
      <w:pPr>
        <w:spacing w:after="0" w:line="3" w:lineRule="exact"/>
        <w:rPr>
          <w:sz w:val="20"/>
          <w:szCs w:val="20"/>
          <w:color w:val="auto"/>
        </w:rPr>
      </w:pPr>
    </w:p>
    <w:p>
      <w:pPr>
        <w:jc w:val="both"/>
        <w:ind w:left="1000" w:right="579" w:hanging="6"/>
        <w:spacing w:after="0" w:line="260" w:lineRule="auto"/>
        <w:tabs>
          <w:tab w:leader="none" w:pos="131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6" w:lineRule="auto"/>
        <w:rPr>
          <w:sz w:val="20"/>
          <w:szCs w:val="20"/>
          <w:color w:val="auto"/>
        </w:rPr>
      </w:pPr>
      <w:r>
        <w:rPr>
          <w:rFonts w:ascii="Times New Roman" w:cs="Times New Roman" w:eastAsia="Times New Roman" w:hAnsi="Times New Roman"/>
          <w:sz w:val="17"/>
          <w:szCs w:val="17"/>
          <w:color w:val="auto"/>
        </w:rPr>
        <w:t>other adjustment to the Awards then outstanding as the Committee deems necessary or appropriate to reflect such transaction or change. The number of shares of Common Stock subject to any Award shall be rounded to the nearest whole number.</w:t>
      </w:r>
    </w:p>
    <w:p>
      <w:pPr>
        <w:spacing w:after="0" w:line="9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03"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16.</w:t>
        <w:tab/>
        <w:t>Amendment of the Plan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16059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spacing w:after="0" w:line="125" w:lineRule="exact"/>
        <w:rPr>
          <w:sz w:val="20"/>
          <w:szCs w:val="20"/>
          <w:color w:val="auto"/>
        </w:rPr>
      </w:pPr>
    </w:p>
    <w:p>
      <w:pPr>
        <w:jc w:val="both"/>
        <w:ind w:left="100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06" w:lineRule="exact"/>
        <w:rPr>
          <w:sz w:val="20"/>
          <w:szCs w:val="20"/>
          <w:color w:val="auto"/>
        </w:rPr>
      </w:pPr>
    </w:p>
    <w:p>
      <w:pPr>
        <w:jc w:val="both"/>
        <w:ind w:left="100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Board may, in its sole discretion, submit any other amendment to the Plan for shareholder approval.</w:t>
      </w:r>
    </w:p>
    <w:p>
      <w:pPr>
        <w:spacing w:after="0" w:line="81"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16.3 </w:t>
      </w:r>
      <w:r>
        <w:rPr>
          <w:rFonts w:ascii="Times New Roman" w:cs="Times New Roman" w:eastAsia="Times New Roman" w:hAnsi="Times New Roman"/>
          <w:sz w:val="17"/>
          <w:szCs w:val="17"/>
          <w:u w:val="single" w:color="auto"/>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93"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16.4 </w:t>
      </w: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be impaired by any amendment of the Plan unless (a) the Company requests the consent of the Participant and (b) the Participant consents in writing.</w:t>
      </w:r>
    </w:p>
    <w:p>
      <w:pPr>
        <w:spacing w:after="0" w:line="98"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xml:space="preserve">. The Committee at any time, and from time to time, may amend the terms of any one or more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Committee may not affect any amendment which would otherwise constitute an impairment of the rights under any Award unless (a) the Company requests the consent of the Participant and (b) the Participant consents in writing.</w:t>
      </w:r>
    </w:p>
    <w:p>
      <w:pPr>
        <w:spacing w:after="0" w:line="103"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17.</w:t>
        <w:tab/>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8464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125"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13"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firstLine="419"/>
        <w:spacing w:after="0" w:line="274"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Other Compensation Arrangements</w:t>
      </w:r>
      <w:r>
        <w:rPr>
          <w:rFonts w:ascii="Times New Roman" w:cs="Times New Roman" w:eastAsia="Times New Roman" w:hAnsi="Times New Roman"/>
          <w:sz w:val="17"/>
          <w:szCs w:val="17"/>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313"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Sub-Plans</w:t>
      </w:r>
      <w:r>
        <w:rPr>
          <w:rFonts w:ascii="Times New Roman" w:cs="Times New Roman" w:eastAsia="Times New Roman" w:hAnsi="Times New Roman"/>
          <w:sz w:val="17"/>
          <w:szCs w:val="17"/>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05"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u w:val="single" w:color="auto"/>
          <w:color w:val="auto"/>
        </w:rPr>
        <w:t>Deferral of Awards</w:t>
      </w:r>
      <w:r>
        <w:rPr>
          <w:rFonts w:ascii="Times New Roman" w:cs="Times New Roman" w:eastAsia="Times New Roman" w:hAnsi="Times New Roman"/>
          <w:sz w:val="17"/>
          <w:szCs w:val="17"/>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00"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17.6 </w:t>
      </w: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98"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17"/>
          <w:szCs w:val="17"/>
          <w:u w:val="single" w:color="auto"/>
          <w:color w:val="auto"/>
        </w:rPr>
        <w:t>Recapitalizations</w:t>
      </w:r>
      <w:r>
        <w:rPr>
          <w:rFonts w:ascii="Times New Roman" w:cs="Times New Roman" w:eastAsia="Times New Roman" w:hAnsi="Times New Roman"/>
          <w:sz w:val="17"/>
          <w:szCs w:val="17"/>
          <w:color w:val="auto"/>
        </w:rPr>
        <w:t>. Each Award Agreement shall contain provisions required to reflect the provisions of Section 14.</w:t>
      </w:r>
    </w:p>
    <w:p>
      <w:pPr>
        <w:spacing w:after="0" w:line="81"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90"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17.9 </w:t>
      </w: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103"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17.10 </w:t>
      </w:r>
      <w:r>
        <w:rPr>
          <w:rFonts w:ascii="Times New Roman" w:cs="Times New Roman" w:eastAsia="Times New Roman" w:hAnsi="Times New Roman"/>
          <w:sz w:val="17"/>
          <w:szCs w:val="17"/>
          <w:u w:val="single" w:color="auto"/>
          <w:color w:val="auto"/>
        </w:rPr>
        <w:t>Other Provisions</w:t>
      </w:r>
      <w:r>
        <w:rPr>
          <w:rFonts w:ascii="Times New Roman" w:cs="Times New Roman" w:eastAsia="Times New Roman" w:hAnsi="Times New Roman"/>
          <w:sz w:val="17"/>
          <w:szCs w:val="17"/>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9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17.11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02"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17.12 </w:t>
      </w:r>
      <w:r>
        <w:rPr>
          <w:rFonts w:ascii="Times New Roman" w:cs="Times New Roman" w:eastAsia="Times New Roman" w:hAnsi="Times New Roman"/>
          <w:sz w:val="17"/>
          <w:szCs w:val="17"/>
          <w:u w:val="single" w:color="auto"/>
          <w:color w:val="auto"/>
        </w:rPr>
        <w:t>Disqualifying Dispositions</w:t>
      </w:r>
      <w:r>
        <w:rPr>
          <w:rFonts w:ascii="Times New Roman" w:cs="Times New Roman" w:eastAsia="Times New Roman" w:hAnsi="Times New Roman"/>
          <w:sz w:val="17"/>
          <w:szCs w:val="17"/>
          <w:color w:val="auto"/>
        </w:rPr>
        <w:t>. Any Participant who shall make a “disposition” (as defined in Section 424 of the Code) of all or any portion of shares of Common Stock acquired upon exercise of an Incentive Stock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Option within two years from the Grant Date of such Incentive Stock Option or within one year after the issuance of the shares of Common Stock acquired upon exercise of such Incentive Stock Option (a “</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shall be required to immediately advise the Company in writing as to the occurrence of the sale and the price realized upon the sale of such shares of Common Stock.</w:t>
      </w:r>
    </w:p>
    <w:p>
      <w:pPr>
        <w:spacing w:after="0" w:line="103"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17.13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spacing w:after="0" w:line="112"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17.14 </w:t>
      </w:r>
      <w:r>
        <w:rPr>
          <w:rFonts w:ascii="Times New Roman" w:cs="Times New Roman" w:eastAsia="Times New Roman" w:hAnsi="Times New Roman"/>
          <w:sz w:val="17"/>
          <w:szCs w:val="17"/>
          <w:u w:val="single" w:color="auto"/>
          <w:color w:val="auto"/>
        </w:rPr>
        <w:t>Beneficiary Designation</w:t>
      </w:r>
      <w:r>
        <w:rPr>
          <w:rFonts w:ascii="Times New Roman" w:cs="Times New Roman" w:eastAsia="Times New Roman" w:hAnsi="Times New Roman"/>
          <w:sz w:val="17"/>
          <w:szCs w:val="17"/>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17.15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costs of administering the Plan shall be paid by the Company.</w:t>
      </w:r>
    </w:p>
    <w:p>
      <w:pPr>
        <w:spacing w:after="0" w:line="15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17.16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03"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17.17 </w:t>
      </w:r>
      <w:r>
        <w:rPr>
          <w:rFonts w:ascii="Times New Roman" w:cs="Times New Roman" w:eastAsia="Times New Roman" w:hAnsi="Times New Roman"/>
          <w:sz w:val="17"/>
          <w:szCs w:val="17"/>
          <w:u w:val="single" w:color="auto"/>
          <w:color w:val="auto"/>
        </w:rPr>
        <w:t>Plan Headings</w:t>
      </w:r>
      <w:r>
        <w:rPr>
          <w:rFonts w:ascii="Times New Roman" w:cs="Times New Roman" w:eastAsia="Times New Roman" w:hAnsi="Times New Roman"/>
          <w:sz w:val="17"/>
          <w:szCs w:val="17"/>
          <w:color w:val="auto"/>
        </w:rPr>
        <w:t>. The headings in the Plan are for purposes of convenience only and are not intended to define or limit the construction of the provisions hereof.</w:t>
      </w:r>
    </w:p>
    <w:p>
      <w:pPr>
        <w:spacing w:after="0" w:line="68"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17.18 </w:t>
      </w:r>
      <w:r>
        <w:rPr>
          <w:rFonts w:ascii="Times New Roman" w:cs="Times New Roman" w:eastAsia="Times New Roman" w:hAnsi="Times New Roman"/>
          <w:sz w:val="17"/>
          <w:szCs w:val="17"/>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05" w:lineRule="exact"/>
        <w:rPr>
          <w:sz w:val="20"/>
          <w:szCs w:val="20"/>
          <w:color w:val="auto"/>
        </w:rPr>
      </w:pPr>
    </w:p>
    <w:p>
      <w:pPr>
        <w:ind w:left="1380" w:hanging="386"/>
        <w:spacing w:after="0"/>
        <w:tabs>
          <w:tab w:leader="none" w:pos="13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 of Plan. The Plan shall become effective as of the Effective Date.</w:t>
      </w:r>
    </w:p>
    <w:p>
      <w:pPr>
        <w:spacing w:after="0" w:line="158" w:lineRule="exact"/>
        <w:rPr>
          <w:rFonts w:ascii="Times New Roman" w:cs="Times New Roman" w:eastAsia="Times New Roman" w:hAnsi="Times New Roman"/>
          <w:sz w:val="17"/>
          <w:szCs w:val="17"/>
          <w:color w:val="auto"/>
        </w:rPr>
      </w:pPr>
    </w:p>
    <w:p>
      <w:pPr>
        <w:jc w:val="both"/>
        <w:ind w:left="580" w:right="579" w:firstLine="414"/>
        <w:spacing w:after="0" w:line="268" w:lineRule="auto"/>
        <w:tabs>
          <w:tab w:leader="none" w:pos="138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Termination or Suspension of the Plan. The Plan shall terminate automatically on </w:t>
      </w:r>
      <w:r>
        <w:rPr>
          <w:rFonts w:ascii="Times New Roman" w:cs="Times New Roman" w:eastAsia="Times New Roman" w:hAnsi="Times New Roman"/>
          <w:sz w:val="17"/>
          <w:szCs w:val="17"/>
          <w:color w:val="2E3192"/>
        </w:rPr>
        <w:t>April 29</w:t>
      </w:r>
      <w:r>
        <w:rPr>
          <w:rFonts w:ascii="Times New Roman" w:cs="Times New Roman" w:eastAsia="Times New Roman" w:hAnsi="Times New Roman"/>
          <w:sz w:val="17"/>
          <w:szCs w:val="17"/>
          <w:color w:val="D2232A"/>
          <w:strike w:val="1"/>
        </w:rPr>
        <w:t>June 8</w:t>
      </w:r>
      <w:r>
        <w:rPr>
          <w:rFonts w:ascii="Times New Roman" w:cs="Times New Roman" w:eastAsia="Times New Roman" w:hAnsi="Times New Roman"/>
          <w:sz w:val="17"/>
          <w:szCs w:val="17"/>
          <w:color w:val="auto"/>
        </w:rPr>
        <w:t>, 2032. No Award shall be granted pursuant to the Plan after such date, but Awards theretofore granted may extend beyond that date. The Board may suspend or terminate the Plan at any earlier date pursuant to Section 16.1 hereof. No Awards may be granted under the Plan while the Plan is suspended or after it is terminated.</w:t>
      </w:r>
    </w:p>
    <w:p>
      <w:pPr>
        <w:spacing w:after="0" w:line="305" w:lineRule="exact"/>
        <w:rPr>
          <w:rFonts w:ascii="Times New Roman" w:cs="Times New Roman" w:eastAsia="Times New Roman" w:hAnsi="Times New Roman"/>
          <w:sz w:val="17"/>
          <w:szCs w:val="17"/>
          <w:color w:val="auto"/>
        </w:rPr>
      </w:pPr>
    </w:p>
    <w:p>
      <w:pPr>
        <w:ind w:left="580" w:right="599" w:firstLine="414"/>
        <w:spacing w:after="0" w:line="296" w:lineRule="auto"/>
        <w:tabs>
          <w:tab w:leader="none" w:pos="138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Choice of Law. The law of the State of Nevada shall govern all questions concerning the construction, validity and interpretation of this Plan, without regard to such state’s conflict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-1158875</wp:posOffset>
            </wp:positionV>
            <wp:extent cx="9861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-934085</wp:posOffset>
            </wp:positionV>
            <wp:extent cx="17506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75069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-186055</wp:posOffset>
            </wp:positionV>
            <wp:extent cx="7251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adopted by the Board of Directors of Agrify Corporation on April 19, 2022.</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approved by the shareholders of Agrify Corporation on June 8, 2022.</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First amendment adopted by the Board of Directors of Agrify Corporation on November 28, 2023</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First amendment approved by the shareholders of Agrify Corporation on January 8, 2024</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Second amendment adopted by the Board of Directors of Agrify Corporation on [_], 2024</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Second amendment adopted by the shareholders of Agrify Corporation on [_],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809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64400" cy="99809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56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upperLetter"/>
      <w:start w:val="17"/>
    </w:lvl>
  </w:abstractNum>
  <w:abstractNum w:abstractNumId="6">
    <w:nsid w:val="79A1DEAA"/>
    <w:multiLevelType w:val="hybridMultilevel"/>
    <w:lvl w:ilvl="0">
      <w:lvlJc w:val="left"/>
      <w:lvlText w:val="%1:"/>
      <w:numFmt w:val="upperLetter"/>
      <w:start w:val="1"/>
    </w:lvl>
  </w:abstractNum>
  <w:abstractNum w:abstractNumId="7">
    <w:nsid w:val="75C6C33A"/>
    <w:multiLevelType w:val="hybridMultilevel"/>
    <w:lvl w:ilvl="0">
      <w:lvlJc w:val="left"/>
      <w:lvlText w:val="%1:"/>
      <w:numFmt w:val="upperLetter"/>
      <w:start w:val="17"/>
    </w:lvl>
  </w:abstractNum>
  <w:abstractNum w:abstractNumId="8">
    <w:nsid w:val="12E685FB"/>
    <w:multiLevelType w:val="hybridMultilevel"/>
    <w:lvl w:ilvl="0">
      <w:lvlJc w:val="left"/>
      <w:lvlText w:val="%1:"/>
      <w:numFmt w:val="upperLetter"/>
      <w:start w:val="1"/>
    </w:lvl>
  </w:abstractNum>
  <w:abstractNum w:abstractNumId="9">
    <w:nsid w:val="70C6A529"/>
    <w:multiLevelType w:val="hybridMultilevel"/>
    <w:lvl w:ilvl="0">
      <w:lvlJc w:val="left"/>
      <w:lvlText w:val="%1:"/>
      <w:numFmt w:val="upperLetter"/>
      <w:start w:val="17"/>
    </w:lvl>
  </w:abstractNum>
  <w:abstractNum w:abstractNumId="10">
    <w:nsid w:val="520EEDD1"/>
    <w:multiLevelType w:val="hybridMultilevel"/>
    <w:lvl w:ilvl="0">
      <w:lvlJc w:val="left"/>
      <w:lvlText w:val="%1:"/>
      <w:numFmt w:val="upperLetter"/>
      <w:start w:val="1"/>
    </w:lvl>
    <w:lvl w:ilvl="1">
      <w:lvlJc w:val="left"/>
      <w:lvlText w:val="•"/>
      <w:numFmt w:val="bullet"/>
      <w:start w:val="1"/>
    </w:lvl>
  </w:abstractNum>
  <w:abstractNum w:abstractNumId="11">
    <w:nsid w:val="374A3FE6"/>
    <w:multiLevelType w:val="hybridMultilevel"/>
    <w:lvl w:ilvl="0">
      <w:lvlJc w:val="left"/>
      <w:lvlText w:val="%1:"/>
      <w:numFmt w:val="upperLetter"/>
      <w:start w:val="17"/>
    </w:lvl>
  </w:abstractNum>
  <w:abstractNum w:abstractNumId="12">
    <w:nsid w:val="4F4EF005"/>
    <w:multiLevelType w:val="hybridMultilevel"/>
    <w:lvl w:ilvl="0">
      <w:lvlJc w:val="left"/>
      <w:lvlText w:val="%1:"/>
      <w:numFmt w:val="upperLetter"/>
      <w:start w:val="1"/>
    </w:lvl>
  </w:abstractNum>
  <w:abstractNum w:abstractNumId="13">
    <w:nsid w:val="23F9C13C"/>
    <w:multiLevelType w:val="hybridMultilevel"/>
    <w:lvl w:ilvl="0">
      <w:lvlJc w:val="left"/>
      <w:lvlText w:val="%1:"/>
      <w:numFmt w:val="upperLetter"/>
      <w:start w:val="17"/>
    </w:lvl>
  </w:abstractNum>
  <w:abstractNum w:abstractNumId="14">
    <w:nsid w:val="649BB77C"/>
    <w:multiLevelType w:val="hybridMultilevel"/>
    <w:lvl w:ilvl="0">
      <w:lvlJc w:val="left"/>
      <w:lvlText w:val="%1:"/>
      <w:numFmt w:val="upperLetter"/>
      <w:start w:val="1"/>
    </w:lvl>
  </w:abstractNum>
  <w:abstractNum w:abstractNumId="15">
    <w:nsid w:val="275AC794"/>
    <w:multiLevelType w:val="hybridMultilevel"/>
    <w:lvl w:ilvl="0">
      <w:lvlJc w:val="left"/>
      <w:lvlText w:val="%1:"/>
      <w:numFmt w:val="upperLetter"/>
      <w:start w:val="17"/>
    </w:lvl>
  </w:abstractNum>
  <w:abstractNum w:abstractNumId="16">
    <w:nsid w:val="39386575"/>
    <w:multiLevelType w:val="hybridMultilevel"/>
    <w:lvl w:ilvl="0">
      <w:lvlJc w:val="left"/>
      <w:lvlText w:val="%1:"/>
      <w:numFmt w:val="upperLetter"/>
      <w:start w:val="1"/>
    </w:lvl>
  </w:abstractNum>
  <w:abstractNum w:abstractNumId="17">
    <w:nsid w:val="1CF10FD8"/>
    <w:multiLevelType w:val="hybridMultilevel"/>
    <w:lvl w:ilvl="0">
      <w:lvlJc w:val="left"/>
      <w:lvlText w:val="%1:"/>
      <w:numFmt w:val="upperLetter"/>
      <w:start w:val="17"/>
    </w:lvl>
  </w:abstractNum>
  <w:abstractNum w:abstractNumId="18">
    <w:nsid w:val="180115BE"/>
    <w:multiLevelType w:val="hybridMultilevel"/>
    <w:lvl w:ilvl="0">
      <w:lvlJc w:val="left"/>
      <w:lvlText w:val="%1:"/>
      <w:numFmt w:val="upperLetter"/>
      <w:start w:val="1"/>
    </w:lvl>
    <w:lvl w:ilvl="1">
      <w:lvlJc w:val="left"/>
      <w:lvlText w:val="•"/>
      <w:numFmt w:val="bullet"/>
      <w:start w:val="1"/>
    </w:lvl>
  </w:abstractNum>
  <w:abstractNum w:abstractNumId="19">
    <w:nsid w:val="235BA861"/>
    <w:multiLevelType w:val="hybridMultilevel"/>
    <w:lvl w:ilvl="0">
      <w:lvlJc w:val="left"/>
      <w:lvlText w:val="%1:"/>
      <w:numFmt w:val="upperLetter"/>
      <w:start w:val="17"/>
    </w:lvl>
  </w:abstractNum>
  <w:abstractNum w:abstractNumId="20">
    <w:nsid w:val="47398C89"/>
    <w:multiLevelType w:val="hybridMultilevel"/>
    <w:lvl w:ilvl="0">
      <w:lvlJc w:val="left"/>
      <w:lvlText w:val="%1:"/>
      <w:numFmt w:val="upperLetter"/>
      <w:start w:val="1"/>
    </w:lvl>
  </w:abstractNum>
  <w:abstractNum w:abstractNumId="21">
    <w:nsid w:val="354FE9F9"/>
    <w:multiLevelType w:val="hybridMultilevel"/>
    <w:lvl w:ilvl="0">
      <w:lvlJc w:val="left"/>
      <w:lvlText w:val="%1:"/>
      <w:numFmt w:val="upperLetter"/>
      <w:start w:val="17"/>
    </w:lvl>
  </w:abstractNum>
  <w:abstractNum w:abstractNumId="22">
    <w:nsid w:val="15B5AF5C"/>
    <w:multiLevelType w:val="hybridMultilevel"/>
    <w:lvl w:ilvl="0">
      <w:lvlJc w:val="left"/>
      <w:lvlText w:val="%1:"/>
      <w:numFmt w:val="upperLetter"/>
      <w:start w:val="1"/>
    </w:lvl>
  </w:abstractNum>
  <w:abstractNum w:abstractNumId="23">
    <w:nsid w:val="741226BB"/>
    <w:multiLevelType w:val="hybridMultilevel"/>
    <w:lvl w:ilvl="0">
      <w:lvlJc w:val="left"/>
      <w:lvlText w:val="%1:"/>
      <w:numFmt w:val="upperLetter"/>
      <w:start w:val="17"/>
    </w:lvl>
  </w:abstractNum>
  <w:abstractNum w:abstractNumId="24">
    <w:nsid w:val="D34B6A8"/>
    <w:multiLevelType w:val="hybridMultilevel"/>
    <w:lvl w:ilvl="0">
      <w:lvlJc w:val="left"/>
      <w:lvlText w:val="%1:"/>
      <w:numFmt w:val="upperLetter"/>
      <w:start w:val="1"/>
    </w:lvl>
  </w:abstractNum>
  <w:abstractNum w:abstractNumId="25">
    <w:nsid w:val="10233C99"/>
    <w:multiLevelType w:val="hybridMultilevel"/>
    <w:lvl w:ilvl="0">
      <w:lvlJc w:val="left"/>
      <w:lvlText w:val="%1:"/>
      <w:numFmt w:val="upperLetter"/>
      <w:start w:val="17"/>
    </w:lvl>
  </w:abstractNum>
  <w:abstractNum w:abstractNumId="26">
    <w:nsid w:val="3F6AB60F"/>
    <w:multiLevelType w:val="hybridMultilevel"/>
    <w:lvl w:ilvl="0">
      <w:lvlJc w:val="left"/>
      <w:lvlText w:val="%1:"/>
      <w:numFmt w:val="upperLetter"/>
      <w:start w:val="1"/>
    </w:lvl>
  </w:abstractNum>
  <w:abstractNum w:abstractNumId="27">
    <w:nsid w:val="61574095"/>
    <w:multiLevelType w:val="hybridMultilevel"/>
    <w:lvl w:ilvl="0">
      <w:lvlJc w:val="left"/>
      <w:lvlText w:val="%1:"/>
      <w:numFmt w:val="upperLetter"/>
      <w:start w:val="17"/>
    </w:lvl>
  </w:abstractNum>
  <w:abstractNum w:abstractNumId="28">
    <w:nsid w:val="7E0C57B1"/>
    <w:multiLevelType w:val="hybridMultilevel"/>
    <w:lvl w:ilvl="0">
      <w:lvlJc w:val="left"/>
      <w:lvlText w:val="%1:"/>
      <w:numFmt w:val="upperLetter"/>
      <w:start w:val="1"/>
    </w:lvl>
  </w:abstractNum>
  <w:abstractNum w:abstractNumId="29">
    <w:nsid w:val="77AE35EB"/>
    <w:multiLevelType w:val="hybridMultilevel"/>
    <w:lvl w:ilvl="0">
      <w:lvlJc w:val="left"/>
      <w:lvlText w:val="%1:"/>
      <w:numFmt w:val="upperLetter"/>
      <w:start w:val="17"/>
    </w:lvl>
  </w:abstractNum>
  <w:abstractNum w:abstractNumId="30">
    <w:nsid w:val="579BE4F1"/>
    <w:multiLevelType w:val="hybridMultilevel"/>
    <w:lvl w:ilvl="0">
      <w:lvlJc w:val="left"/>
      <w:lvlText w:val="%1:"/>
      <w:numFmt w:val="upperLetter"/>
      <w:start w:val="1"/>
    </w:lvl>
    <w:lvl w:ilvl="1">
      <w:lvlJc w:val="left"/>
      <w:lvlText w:val="•"/>
      <w:numFmt w:val="bullet"/>
      <w:start w:val="1"/>
    </w:lvl>
  </w:abstractNum>
  <w:abstractNum w:abstractNumId="31">
    <w:nsid w:val="310C50B3"/>
    <w:multiLevelType w:val="hybridMultilevel"/>
    <w:lvl w:ilvl="0">
      <w:lvlJc w:val="left"/>
      <w:lvlText w:val="%1:"/>
      <w:numFmt w:val="upperLetter"/>
      <w:start w:val="17"/>
    </w:lvl>
  </w:abstractNum>
  <w:abstractNum w:abstractNumId="32">
    <w:nsid w:val="5FF87E05"/>
    <w:multiLevelType w:val="hybridMultilevel"/>
    <w:lvl w:ilvl="0">
      <w:lvlJc w:val="left"/>
      <w:lvlText w:val="%1:"/>
      <w:numFmt w:val="upperLetter"/>
      <w:start w:val="1"/>
    </w:lvl>
  </w:abstractNum>
  <w:abstractNum w:abstractNumId="33">
    <w:nsid w:val="2F305DEF"/>
    <w:multiLevelType w:val="hybridMultilevel"/>
    <w:lvl w:ilvl="0">
      <w:lvlJc w:val="left"/>
      <w:lvlText w:val="%1:"/>
      <w:numFmt w:val="upperLetter"/>
      <w:start w:val="17"/>
    </w:lvl>
  </w:abstractNum>
  <w:abstractNum w:abstractNumId="34">
    <w:nsid w:val="25A70BF7"/>
    <w:multiLevelType w:val="hybridMultilevel"/>
    <w:lvl w:ilvl="0">
      <w:lvlJc w:val="left"/>
      <w:lvlText w:val="%1:"/>
      <w:numFmt w:val="upperLetter"/>
      <w:start w:val="1"/>
    </w:lvl>
  </w:abstractNum>
  <w:abstractNum w:abstractNumId="35">
    <w:nsid w:val="1DBABF00"/>
    <w:multiLevelType w:val="hybridMultilevel"/>
    <w:lvl w:ilvl="0">
      <w:lvlJc w:val="left"/>
      <w:lvlText w:val="%1:"/>
      <w:numFmt w:val="upperLetter"/>
      <w:start w:val="17"/>
    </w:lvl>
  </w:abstractNum>
  <w:abstractNum w:abstractNumId="36">
    <w:nsid w:val="4AD084E9"/>
    <w:multiLevelType w:val="hybridMultilevel"/>
    <w:lvl w:ilvl="0">
      <w:lvlJc w:val="left"/>
      <w:lvlText w:val="%1:"/>
      <w:numFmt w:val="upperLetter"/>
      <w:start w:val="1"/>
    </w:lvl>
    <w:lvl w:ilvl="1">
      <w:lvlJc w:val="left"/>
      <w:lvlText w:val="•"/>
      <w:numFmt w:val="bullet"/>
      <w:start w:val="1"/>
    </w:lvl>
  </w:abstractNum>
  <w:abstractNum w:abstractNumId="37">
    <w:nsid w:val="1F48EAA1"/>
    <w:multiLevelType w:val="hybridMultilevel"/>
    <w:lvl w:ilvl="0">
      <w:lvlJc w:val="left"/>
      <w:lvlText w:val="%1:"/>
      <w:numFmt w:val="upperLetter"/>
      <w:start w:val="17"/>
    </w:lvl>
  </w:abstractNum>
  <w:abstractNum w:abstractNumId="38">
    <w:nsid w:val="1381823A"/>
    <w:multiLevelType w:val="hybridMultilevel"/>
    <w:lvl w:ilvl="0">
      <w:lvlJc w:val="left"/>
      <w:lvlText w:val="%1:"/>
      <w:numFmt w:val="upperLetter"/>
      <w:start w:val="1"/>
    </w:lvl>
  </w:abstractNum>
  <w:abstractNum w:abstractNumId="39">
    <w:nsid w:val="5DB70AE5"/>
    <w:multiLevelType w:val="hybridMultilevel"/>
    <w:lvl w:ilvl="0">
      <w:lvlJc w:val="left"/>
      <w:lvlText w:val="%1:"/>
      <w:numFmt w:val="upperLetter"/>
      <w:start w:val="17"/>
    </w:lvl>
  </w:abstractNum>
  <w:abstractNum w:abstractNumId="40">
    <w:nsid w:val="100F8FCA"/>
    <w:multiLevelType w:val="hybridMultilevel"/>
    <w:lvl w:ilvl="0">
      <w:lvlJc w:val="left"/>
      <w:lvlText w:val="%1:"/>
      <w:numFmt w:val="upperLetter"/>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decimal"/>
      <w:start w:val="1"/>
    </w:lvl>
  </w:abstractNum>
  <w:abstractNum w:abstractNumId="43">
    <w:nsid w:val="5F5E7FD0"/>
    <w:multiLevelType w:val="hybridMultilevel"/>
    <w:lvl w:ilvl="0">
      <w:lvlJc w:val="left"/>
      <w:lvlText w:val="(%1)"/>
      <w:numFmt w:val="lowerRoman"/>
      <w:start w:val="2"/>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1)"/>
      <w:numFmt w:val="decimal"/>
      <w:start w:val="1"/>
    </w:lvl>
    <w:lvl w:ilvl="1">
      <w:lvlJc w:val="left"/>
      <w:lvlText w:val="(%2)"/>
      <w:numFmt w:val="lowerLetter"/>
      <w:start w:val="1"/>
    </w:lvl>
  </w:abstractNum>
  <w:abstractNum w:abstractNumId="46">
    <w:nsid w:val="6B94764"/>
    <w:multiLevelType w:val="hybridMultilevel"/>
    <w:lvl w:ilvl="0">
      <w:lvlJc w:val="left"/>
      <w:lvlText w:val="%1"/>
      <w:numFmt w:val="decimal"/>
      <w:start w:val="1"/>
    </w:lvl>
    <w:lvl w:ilvl="1">
      <w:lvlJc w:val="left"/>
      <w:lvlText w:val="(%2)"/>
      <w:numFmt w:val="lowerLetter"/>
      <w:start w:val="35"/>
    </w:lvl>
  </w:abstractNum>
  <w:abstractNum w:abstractNumId="47">
    <w:nsid w:val="42C296BD"/>
    <w:multiLevelType w:val="hybridMultilevel"/>
    <w:lvl w:ilvl="0">
      <w:lvlJc w:val="left"/>
      <w:lvlText w:val="(%1)"/>
      <w:numFmt w:val="decimal"/>
      <w:start w:val="4"/>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lowerRoman"/>
      <w:start w:val="2"/>
    </w:lvl>
  </w:abstractNum>
  <w:abstractNum w:abstractNumId="52">
    <w:nsid w:val="540A471C"/>
    <w:multiLevelType w:val="hybridMultilevel"/>
    <w:lvl w:ilvl="0">
      <w:lvlJc w:val="left"/>
      <w:lvlText w:val="(%1)"/>
      <w:numFmt w:val="lowerRoman"/>
      <w:start w:val="2"/>
    </w:lvl>
  </w:abstractNum>
  <w:abstractNum w:abstractNumId="53">
    <w:nsid w:val="7BD3EE7B"/>
    <w:multiLevelType w:val="hybridMultilevel"/>
    <w:lvl w:ilvl="0">
      <w:lvlJc w:val="left"/>
      <w:lvlText w:val="(%1)"/>
      <w:numFmt w:val="lowerLetter"/>
      <w:start w:val="2"/>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lowerLetter"/>
      <w:start w:val="2"/>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1)"/>
      <w:numFmt w:val="lowerRoman"/>
      <w:start w:val="1"/>
    </w:lvl>
  </w:abstractNum>
  <w:abstractNum w:abstractNumId="63">
    <w:nsid w:val="68EB2F63"/>
    <w:multiLevelType w:val="hybridMultilevel"/>
    <w:lvl w:ilvl="0">
      <w:lvlJc w:val="left"/>
      <w:lvlText w:val="(%1)"/>
      <w:numFmt w:val="lowerRoman"/>
      <w:start w:val="4"/>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1)"/>
      <w:numFmt w:val="lowerRoman"/>
      <w:start w:val="1"/>
    </w:lvl>
  </w:abstractNum>
  <w:abstractNum w:abstractNumId="68">
    <w:nsid w:val="7FFFCA11"/>
    <w:multiLevelType w:val="hybridMultilevel"/>
    <w:lvl w:ilvl="0">
      <w:lvlJc w:val="left"/>
      <w:lvlText w:val="(%1)"/>
      <w:numFmt w:val="upperLetter"/>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2"/>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2"/>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decimal"/>
      <w:start w:val="3"/>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3"/>
    </w:lvl>
  </w:abstractNum>
  <w:abstractNum w:abstractNumId="79">
    <w:nsid w:val="1716703B"/>
    <w:multiLevelType w:val="hybridMultilevel"/>
    <w:lvl w:ilvl="0">
      <w:lvlJc w:val="left"/>
      <w:lvlText w:val="(%1)"/>
      <w:numFmt w:val="lowerLetter"/>
      <w:start w:val="13"/>
    </w:lvl>
  </w:abstractNum>
  <w:abstractNum w:abstractNumId="80">
    <w:nsid w:val="14E17E33"/>
    <w:multiLevelType w:val="hybridMultilevel"/>
    <w:lvl w:ilvl="0">
      <w:lvlJc w:val="left"/>
      <w:lvlText w:val="%1."/>
      <w:numFmt w:val="decimal"/>
      <w:start w:val="4"/>
    </w:lvl>
  </w:abstractNum>
  <w:abstractNum w:abstractNumId="81">
    <w:nsid w:val="3222E7CD"/>
    <w:multiLevelType w:val="hybridMultilevel"/>
    <w:lvl w:ilvl="0">
      <w:lvlJc w:val="left"/>
      <w:lvlText w:val="%1."/>
      <w:numFmt w:val="decimal"/>
      <w:start w:val="5"/>
    </w:lvl>
  </w:abstractNum>
  <w:abstractNum w:abstractNumId="82">
    <w:nsid w:val="74DE0EE3"/>
    <w:multiLevelType w:val="hybridMultilevel"/>
    <w:lvl w:ilvl="0">
      <w:lvlJc w:val="left"/>
      <w:lvlText w:val="%1."/>
      <w:numFmt w:val="decimal"/>
      <w:start w:val="6"/>
    </w:lvl>
  </w:abstractNum>
  <w:abstractNum w:abstractNumId="83">
    <w:nsid w:val="68EBC550"/>
    <w:multiLevelType w:val="hybridMultilevel"/>
    <w:lvl w:ilvl="0">
      <w:lvlJc w:val="left"/>
      <w:lvlText w:val="%1."/>
      <w:numFmt w:val="decimal"/>
      <w:start w:val="7"/>
    </w:lvl>
  </w:abstractNum>
  <w:abstractNum w:abstractNumId="84">
    <w:nsid w:val="2DF6D648"/>
    <w:multiLevelType w:val="hybridMultilevel"/>
    <w:lvl w:ilvl="0">
      <w:lvlJc w:val="left"/>
      <w:lvlText w:val="%1."/>
      <w:numFmt w:val="decimal"/>
      <w:start w:val="8"/>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1)"/>
      <w:numFmt w:val="lowerLetter"/>
      <w:start w:val="2"/>
    </w:lvl>
  </w:abstractNum>
  <w:abstractNum w:abstractNumId="88">
    <w:nsid w:val="57FC4FBB"/>
    <w:multiLevelType w:val="hybridMultilevel"/>
    <w:lvl w:ilvl="0">
      <w:lvlJc w:val="left"/>
      <w:lvlText w:val="%1."/>
      <w:numFmt w:val="decimal"/>
      <w:start w:val="9"/>
    </w:lvl>
  </w:abstractNum>
  <w:abstractNum w:abstractNumId="89">
    <w:nsid w:val="CC1016F"/>
    <w:multiLevelType w:val="hybridMultilevel"/>
    <w:lvl w:ilvl="0">
      <w:lvlJc w:val="left"/>
      <w:lvlText w:val="%1."/>
      <w:numFmt w:val="decimal"/>
      <w:start w:val="10"/>
    </w:lvl>
  </w:abstractNum>
  <w:abstractNum w:abstractNumId="90">
    <w:nsid w:val="43F18422"/>
    <w:multiLevelType w:val="hybridMultilevel"/>
    <w:lvl w:ilvl="0">
      <w:lvlJc w:val="left"/>
      <w:lvlText w:val="(%1)"/>
      <w:numFmt w:val="lowerLetter"/>
      <w:start w:val="2"/>
    </w:lvl>
  </w:abstractNum>
  <w:abstractNum w:abstractNumId="91">
    <w:nsid w:val="60EF0119"/>
    <w:multiLevelType w:val="hybridMultilevel"/>
    <w:lvl w:ilvl="0">
      <w:lvlJc w:val="left"/>
      <w:lvlText w:val="(%1)"/>
      <w:numFmt w:val="lowerLetter"/>
      <w:start w:val="2"/>
    </w:lvl>
  </w:abstractNum>
  <w:abstractNum w:abstractNumId="92">
    <w:nsid w:val="26F324BA"/>
    <w:multiLevelType w:val="hybridMultilevel"/>
    <w:lvl w:ilvl="0">
      <w:lvlJc w:val="left"/>
      <w:lvlText w:val="(%1)"/>
      <w:numFmt w:val="upperLetter"/>
      <w:start w:val="3"/>
    </w:lvl>
  </w:abstractNum>
  <w:abstractNum w:abstractNumId="93">
    <w:nsid w:val="7F01579B"/>
    <w:multiLevelType w:val="hybridMultilevel"/>
    <w:lvl w:ilvl="0">
      <w:lvlJc w:val="left"/>
      <w:lvlText w:val="%1."/>
      <w:numFmt w:val="decimal"/>
      <w:start w:val="14"/>
    </w:lvl>
  </w:abstractNum>
  <w:abstractNum w:abstractNumId="94">
    <w:nsid w:val="49DA307D"/>
    <w:multiLevelType w:val="hybridMultilevel"/>
    <w:lvl w:ilvl="0">
      <w:lvlJc w:val="left"/>
      <w:lvlText w:val="(%1)"/>
      <w:numFmt w:val="lowerRoman"/>
      <w:start w:val="3"/>
    </w:lvl>
  </w:abstractNum>
  <w:abstractNum w:abstractNumId="95">
    <w:nsid w:val="7055A5F5"/>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76" Type="http://schemas.openxmlformats.org/officeDocument/2006/relationships/hyperlink" Target="http://www.sec.gov/Archives/edgar/data/1800637/000121390024037183/ea0204717-10ka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2024-07-22T15:42:58Z</dcterms:created>
  <dcterms:modified xsi:type="dcterms:W3CDTF">2024-07-22T15:42:58Z</dcterms:modified>
</cp:coreProperties>
</file>