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40" w:type="dxa"/>
            <w:vAlign w:val="bottom"/>
            <w:gridSpan w:val="5"/>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3260" w:type="dxa"/>
            <w:vAlign w:val="bottom"/>
          </w:tcPr>
          <w:p>
            <w:pPr>
              <w:spacing w:after="0"/>
              <w:rPr>
                <w:sz w:val="20"/>
                <w:szCs w:val="20"/>
                <w:color w:val="auto"/>
              </w:rPr>
            </w:pPr>
          </w:p>
        </w:tc>
      </w:tr>
      <w:tr>
        <w:trPr>
          <w:trHeight w:val="410"/>
        </w:trPr>
        <w:tc>
          <w:tcPr>
            <w:tcW w:w="3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40" w:type="dxa"/>
            <w:vAlign w:val="bottom"/>
            <w:gridSpan w:val="5"/>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3260" w:type="dxa"/>
            <w:vAlign w:val="bottom"/>
          </w:tcPr>
          <w:p>
            <w:pPr>
              <w:spacing w:after="0"/>
              <w:rPr>
                <w:sz w:val="24"/>
                <w:szCs w:val="24"/>
                <w:color w:val="auto"/>
              </w:rPr>
            </w:pPr>
          </w:p>
        </w:tc>
      </w:tr>
      <w:tr>
        <w:trPr>
          <w:trHeight w:val="216"/>
        </w:trPr>
        <w:tc>
          <w:tcPr>
            <w:tcW w:w="3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40" w:type="dxa"/>
            <w:vAlign w:val="bottom"/>
            <w:gridSpan w:val="5"/>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tc>
        <w:tc>
          <w:tcPr>
            <w:tcW w:w="3260" w:type="dxa"/>
            <w:vAlign w:val="bottom"/>
          </w:tcPr>
          <w:p>
            <w:pPr>
              <w:spacing w:after="0"/>
              <w:rPr>
                <w:sz w:val="18"/>
                <w:szCs w:val="18"/>
                <w:color w:val="auto"/>
              </w:rPr>
            </w:pPr>
          </w:p>
        </w:tc>
      </w:tr>
      <w:tr>
        <w:trPr>
          <w:trHeight w:val="238"/>
        </w:trPr>
        <w:tc>
          <w:tcPr>
            <w:tcW w:w="3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40" w:type="dxa"/>
            <w:vAlign w:val="bottom"/>
            <w:gridSpan w:val="5"/>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of The Securities Exchange Act of 1934</w:t>
            </w:r>
          </w:p>
        </w:tc>
        <w:tc>
          <w:tcPr>
            <w:tcW w:w="3260" w:type="dxa"/>
            <w:vAlign w:val="bottom"/>
          </w:tcPr>
          <w:p>
            <w:pPr>
              <w:spacing w:after="0"/>
              <w:rPr>
                <w:sz w:val="20"/>
                <w:szCs w:val="20"/>
                <w:color w:val="auto"/>
              </w:rPr>
            </w:pPr>
          </w:p>
        </w:tc>
      </w:tr>
      <w:tr>
        <w:trPr>
          <w:trHeight w:val="432"/>
        </w:trPr>
        <w:tc>
          <w:tcPr>
            <w:tcW w:w="3240" w:type="dxa"/>
            <w:vAlign w:val="bottom"/>
          </w:tcPr>
          <w:p>
            <w:pPr>
              <w:spacing w:after="0"/>
              <w:rPr>
                <w:sz w:val="24"/>
                <w:szCs w:val="24"/>
                <w:color w:val="auto"/>
              </w:rPr>
            </w:pPr>
          </w:p>
        </w:tc>
        <w:tc>
          <w:tcPr>
            <w:tcW w:w="474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Date of report (Date of earliest event reported): </w:t>
            </w:r>
            <w:r>
              <w:rPr>
                <w:rFonts w:ascii="Times New Roman" w:cs="Times New Roman" w:eastAsia="Times New Roman" w:hAnsi="Times New Roman"/>
                <w:sz w:val="18"/>
                <w:szCs w:val="18"/>
                <w:b w:val="1"/>
                <w:bCs w:val="1"/>
                <w:color w:val="auto"/>
                <w:w w:val="99"/>
              </w:rPr>
              <w:t>June 30, 2024</w:t>
            </w:r>
          </w:p>
        </w:tc>
        <w:tc>
          <w:tcPr>
            <w:tcW w:w="3260" w:type="dxa"/>
            <w:vAlign w:val="bottom"/>
          </w:tcPr>
          <w:p>
            <w:pPr>
              <w:spacing w:after="0"/>
              <w:rPr>
                <w:sz w:val="24"/>
                <w:szCs w:val="24"/>
                <w:color w:val="auto"/>
              </w:rPr>
            </w:pPr>
          </w:p>
        </w:tc>
      </w:tr>
      <w:tr>
        <w:trPr>
          <w:trHeight w:val="414"/>
        </w:trPr>
        <w:tc>
          <w:tcPr>
            <w:tcW w:w="3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40" w:type="dxa"/>
            <w:vAlign w:val="bottom"/>
            <w:gridSpan w:val="5"/>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AGRIFY CORPORATION</w:t>
            </w:r>
          </w:p>
        </w:tc>
        <w:tc>
          <w:tcPr>
            <w:tcW w:w="3260" w:type="dxa"/>
            <w:vAlign w:val="bottom"/>
          </w:tcPr>
          <w:p>
            <w:pPr>
              <w:spacing w:after="0"/>
              <w:rPr>
                <w:sz w:val="24"/>
                <w:szCs w:val="24"/>
                <w:color w:val="auto"/>
              </w:rPr>
            </w:pPr>
          </w:p>
        </w:tc>
      </w:tr>
      <w:tr>
        <w:trPr>
          <w:trHeight w:val="234"/>
        </w:trPr>
        <w:tc>
          <w:tcPr>
            <w:tcW w:w="3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360" w:type="dxa"/>
            <w:vAlign w:val="bottom"/>
            <w:gridSpan w:val="6"/>
          </w:tcPr>
          <w:p>
            <w:pPr>
              <w:jc w:val="center"/>
              <w:ind w:right="3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260" w:type="dxa"/>
            <w:vAlign w:val="bottom"/>
          </w:tcPr>
          <w:p>
            <w:pPr>
              <w:spacing w:after="0"/>
              <w:rPr>
                <w:sz w:val="20"/>
                <w:szCs w:val="20"/>
                <w:color w:val="auto"/>
              </w:rPr>
            </w:pPr>
          </w:p>
        </w:tc>
      </w:tr>
      <w:tr>
        <w:trPr>
          <w:trHeight w:val="439"/>
        </w:trPr>
        <w:tc>
          <w:tcPr>
            <w:tcW w:w="324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4200" w:type="dxa"/>
            <w:vAlign w:val="bottom"/>
            <w:gridSpan w:val="5"/>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001-39946</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6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30-0943453</w:t>
            </w:r>
          </w:p>
        </w:tc>
      </w:tr>
      <w:tr>
        <w:trPr>
          <w:trHeight w:val="198"/>
        </w:trPr>
        <w:tc>
          <w:tcPr>
            <w:tcW w:w="3240" w:type="dxa"/>
            <w:vAlign w:val="bottom"/>
            <w:tcBorders>
              <w:top w:val="single" w:sz="8" w:color="auto"/>
            </w:tcBorders>
          </w:tcPr>
          <w:p>
            <w:pPr>
              <w:jc w:val="center"/>
              <w:ind w:left="29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3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gridSpan w:val="3"/>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3260" w:type="dxa"/>
            <w:vAlign w:val="bottom"/>
            <w:tcBorders>
              <w:top w:val="single" w:sz="8" w:color="auto"/>
            </w:tcBorders>
          </w:tcPr>
          <w:p>
            <w:pPr>
              <w:jc w:val="center"/>
              <w:ind w:right="23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2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7980" w:type="dxa"/>
            <w:vAlign w:val="bottom"/>
            <w:gridSpan w:val="8"/>
          </w:tcPr>
          <w:p>
            <w:pPr>
              <w:jc w:val="center"/>
              <w:ind w:right="2460"/>
              <w:spacing w:after="0"/>
              <w:rPr>
                <w:sz w:val="20"/>
                <w:szCs w:val="20"/>
                <w:color w:val="auto"/>
              </w:rPr>
            </w:pPr>
            <w:r>
              <w:rPr>
                <w:rFonts w:ascii="Times New Roman" w:cs="Times New Roman" w:eastAsia="Times New Roman" w:hAnsi="Times New Roman"/>
                <w:sz w:val="18"/>
                <w:szCs w:val="18"/>
                <w:b w:val="1"/>
                <w:bCs w:val="1"/>
                <w:color w:val="auto"/>
                <w:w w:val="98"/>
              </w:rPr>
              <w:t>2468 Industrial Row Dr.</w:t>
            </w:r>
          </w:p>
        </w:tc>
        <w:tc>
          <w:tcPr>
            <w:tcW w:w="3260" w:type="dxa"/>
            <w:vAlign w:val="bottom"/>
          </w:tcPr>
          <w:p>
            <w:pPr>
              <w:spacing w:after="0"/>
              <w:rPr>
                <w:sz w:val="24"/>
                <w:szCs w:val="24"/>
                <w:color w:val="auto"/>
              </w:rPr>
            </w:pPr>
          </w:p>
        </w:tc>
      </w:tr>
      <w:tr>
        <w:trPr>
          <w:trHeight w:val="245"/>
        </w:trPr>
        <w:tc>
          <w:tcPr>
            <w:tcW w:w="3240" w:type="dxa"/>
            <w:vAlign w:val="bottom"/>
            <w:tcBorders>
              <w:bottom w:val="single" w:sz="8" w:color="auto"/>
            </w:tcBorders>
          </w:tcPr>
          <w:p>
            <w:pPr>
              <w:jc w:val="center"/>
              <w:ind w:left="2190"/>
              <w:spacing w:after="0"/>
              <w:rPr>
                <w:sz w:val="20"/>
                <w:szCs w:val="20"/>
                <w:color w:val="auto"/>
              </w:rPr>
            </w:pPr>
            <w:r>
              <w:rPr>
                <w:rFonts w:ascii="Times New Roman" w:cs="Times New Roman" w:eastAsia="Times New Roman" w:hAnsi="Times New Roman"/>
                <w:sz w:val="18"/>
                <w:szCs w:val="18"/>
                <w:b w:val="1"/>
                <w:bCs w:val="1"/>
                <w:color w:val="auto"/>
                <w:w w:val="95"/>
              </w:rPr>
              <w:t>Troy, MI</w:t>
            </w:r>
          </w:p>
        </w:tc>
        <w:tc>
          <w:tcPr>
            <w:tcW w:w="3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48084</w:t>
            </w:r>
          </w:p>
        </w:tc>
      </w:tr>
      <w:tr>
        <w:trPr>
          <w:trHeight w:val="234"/>
        </w:trPr>
        <w:tc>
          <w:tcPr>
            <w:tcW w:w="55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2240" w:type="dxa"/>
            <w:vAlign w:val="bottom"/>
            <w:gridSpan w:val="3"/>
          </w:tcPr>
          <w:p>
            <w:pPr>
              <w:spacing w:after="0"/>
              <w:rPr>
                <w:sz w:val="20"/>
                <w:szCs w:val="20"/>
                <w:color w:val="auto"/>
              </w:rPr>
            </w:pPr>
          </w:p>
        </w:tc>
        <w:tc>
          <w:tcPr>
            <w:tcW w:w="3260" w:type="dxa"/>
            <w:vAlign w:val="bottom"/>
          </w:tcPr>
          <w:p>
            <w:pPr>
              <w:jc w:val="center"/>
              <w:ind w:right="21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896-5243</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AGFY</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of Pre-Funded Warrants for CP Acquisitions, LLC</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previously reported, on January 25, 2024, Agrify Corporation (the “Company”) and CP Acquisitions, LLC (“CP”), an entity affiliated with and controlled by Raymond Chang, the Chief Executive Officer of the Company and a member of its Board of Directors (the “Board”), and I-Tseng Jenny Chan, a member of the Board, agreed to amend, restate and consolidate certain outstanding notes held by CP into a Senior Secured Amended, Restated and Consolidated Convertible Note (the “Convertible Note”).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previously reported, on May 21, 2024, the Company and CP entered into an amendment to the Convertible Note (the “CP Note Amendment”), pursuant to which CP may elect, in lieu of shares of common stock issuable upon conversion of the Convertible Note, to instead receive pre-funded warrants. The conversion price applicable to the Pre-Funded Warrants remained unchanged at $1.46.</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Pre-Funded Warrants have an exercise price of $0.001 per share, became exercisable upon issuance, will expire when the applicable warrant is exercised in full, and are exercisable on a cash basis or, if there is no effective registration statement registering the resale of the underlying shares of common stock, on a cashless exercise basis at CP’s discretion. Immediately following the execution of the CP Note Amendment, CP elected to convert $11.5 million of outstanding principal into a pre-funded warrant (the “CP Warrant”) exercisable at issuance for up to 7,876,712 shares of common stock.</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30, 2024, the Company and CP entered into an amendment to the CP Warrant (the “CP Warrant Amendment”). Prior to the CP Warrant Amendment, the CP Warrant provided that each time the Company consummated any bona fide equity financing with the primary purpose of raising capital, then the number of shares of common stock underlying the CP Warrant would be increased (the “Adjustment Provision”) to an amount equal to (i) the amount of the Convertible Note that was originally converted into the CP Warrant divided by (ii) the purchase or conversion price in the equity financing transaction, subject to proportional adjustment in the event the CP Warrant has been partially exercised. The CP Warrant Amendment amended the CP Warrant to (i) remove the Adjustment Provision and (ii) increase the threshold for a change of control, for purposes of determining whether a Fundamental Transaction has occurred (as such term is defined in the CP Warrant), from 50% of the outstanding common stock of the Company as originally provided in the CP Warrant to greater than 50% of the outstanding common stock of the Company.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of Pre-Funded Warrants for GIC Acquisition LLC</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previously reported, on July 12, 2023, the Company issued an unsecured promissory note with an original principal amount of $500,000 in favor of GIC Acquisition LLC (“GIC”), an entity that is indirectly owned and managed by Mr. Chang, and on October 27, 2023, GIC and the Company amended and restated the note to extend the maturity date to December 31, 2023, and to grant a security interest in the Company’s assets that ranks junior to the Convertible Note (the “Junior Note”). As previously reported, on January 25, 2024, GIC and the Company amended and restated the Junior Note to increase the principal amount thereunder to $1.0 million and to extend the maturity date until June 30, 2024.</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previously reported on May 21, 2024, GIC and the Company amended and restated the Junior Note (the “Restated Junior Note”) to increase the aggregate principal amount to approximately $2.29 million, extend the maturity date to December 31, 2025, and provide that the Junior Note may be converted into common stock of the Company or, at GIC’s election, pre-funded warrants, in each case at a conversion price of $0.31. Immediately following the execution of the Restated Junior Note, GIC elected to convert all of the outstanding principal and accrued but unpaid interest under the Restated Junior Note into a pre-funded warrant (the “GIC Warrant”) exercisable at issuance for up to 7,383,053 shares of common stock, which included an Adjustment Provision.</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spacing w:after="0" w:line="261" w:lineRule="auto"/>
        <w:rPr>
          <w:sz w:val="20"/>
          <w:szCs w:val="20"/>
          <w:color w:val="auto"/>
        </w:rPr>
      </w:pPr>
      <w:r>
        <w:rPr>
          <w:rFonts w:ascii="Times New Roman" w:cs="Times New Roman" w:eastAsia="Times New Roman" w:hAnsi="Times New Roman"/>
          <w:sz w:val="18"/>
          <w:szCs w:val="18"/>
          <w:color w:val="auto"/>
        </w:rPr>
        <w:t>On June 30, 2024, the Company and GIC entered into an amendment to the Pre-Funded Warrants (the “GIC Warrant Amendment”). The GIC Warrant Amendment amended the GIC Warrant to (i) remove the Adjustment Provision and (ii) increase the threshold for a change of control, for purposes of determining whether a Fundamental Transaction has occurred (as such term is defined in the GIC Warrant), from 50% of the outstanding common stock of the Company as originally provided in the GIC Warrant to greater than 50% of the outstanding common stock of the Company.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plans to seek stockholder approval at the next annual meeting of stockholders to amend the CP Warrant and GIC Warrant to insert the Adjustment Provisions into the CP Warrant and the GIC Warrant at a future date pursuant to Nasdaq Listing Rule 5635.</w:t>
      </w:r>
    </w:p>
    <w:p>
      <w:pPr>
        <w:spacing w:after="0" w:line="162" w:lineRule="exact"/>
        <w:rPr>
          <w:sz w:val="20"/>
          <w:szCs w:val="20"/>
          <w:color w:val="auto"/>
        </w:rPr>
      </w:pPr>
    </w:p>
    <w:p>
      <w:pPr>
        <w:jc w:val="both"/>
        <w:ind w:right="20"/>
        <w:spacing w:after="0" w:line="312" w:lineRule="auto"/>
        <w:rPr>
          <w:sz w:val="20"/>
          <w:szCs w:val="20"/>
          <w:color w:val="auto"/>
        </w:rPr>
      </w:pPr>
      <w:r>
        <w:rPr>
          <w:rFonts w:ascii="Times New Roman" w:cs="Times New Roman" w:eastAsia="Times New Roman" w:hAnsi="Times New Roman"/>
          <w:sz w:val="17"/>
          <w:szCs w:val="17"/>
          <w:color w:val="auto"/>
        </w:rPr>
        <w:t>The foregoing summaries of the CP Warrant Amendment and the GIC Warrant Amendment do not purport to be complete and are qualified in their entirety by reference to copies of the CP Warrant Amendment and the GIC Warrant Amendment, which are filed as Exhibits 4.1 and 4.2 hereto, respectively.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Current Report on Form 8-K contains certain “forward-looking statements” within the meaning of the federal U.S. securities laws with respect to seeking shareholder approval to insert the Adjustment Provision into the CP Warrant and GIC Warrant, other future plans and intentions, or other future events. These forward-looking statements generally are identified by words such as “will,” “intend,” “should,” “plan,” or similar statements, reflect management’s current beliefs and assumptions and are based on the information currently available to management. Forward-looking statements are predictions, projections and other statements about future events that are based on current expectations and assumptions and, as a result, are subject to risks and uncertainties. Many factors could cause actual results or developments to differ materially from those expressed or implied by such forward-looking statements. For additional details on the uncertainties that may cause our actual results to be materially different than those expressed in our forward-looking statements, please review the most recent Annual Reports on Form 10-K filed by the Company with the Securities and Exchange Commission at www.sec.gov, particularly the information contained in the sections entitled “Risk Factors.” Forward-looking statements speak only as of the date on which they are made, and the Company does not assume any obligation to update or revise any forward-looking statements or other information contained herein, whether as a result of new information, future events or otherwise. You are cautioned not to put undue reliance on these forward-looking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360" w:type="dxa"/>
            <w:vAlign w:val="bottom"/>
          </w:tcPr>
          <w:p>
            <w:pPr>
              <w:spacing w:after="0"/>
              <w:rPr>
                <w:sz w:val="20"/>
                <w:szCs w:val="20"/>
                <w:color w:val="auto"/>
              </w:rPr>
            </w:pPr>
          </w:p>
        </w:tc>
        <w:tc>
          <w:tcPr>
            <w:tcW w:w="9740" w:type="dxa"/>
            <w:vAlign w:val="bottom"/>
          </w:tcPr>
          <w:p>
            <w:pPr>
              <w:spacing w:after="0"/>
              <w:rPr>
                <w:sz w:val="20"/>
                <w:szCs w:val="20"/>
                <w:color w:val="auto"/>
              </w:rPr>
            </w:pP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Amendment to Pre-Funded Comon Stock Purchase Warrant between Agrify Corporation and CP Acquisitions, LLC dated as of June 30,</w:t>
            </w:r>
          </w:p>
        </w:tc>
      </w:tr>
      <w:tr>
        <w:trPr>
          <w:trHeight w:val="221"/>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0000EE"/>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4"/>
              </w:rPr>
              <w:t>2024</w:t>
            </w:r>
          </w:p>
        </w:tc>
        <w:tc>
          <w:tcPr>
            <w:tcW w:w="9740" w:type="dxa"/>
            <w:vAlign w:val="bottom"/>
            <w:tcBorders>
              <w:bottom w:val="single" w:sz="8" w:color="CCEEFF"/>
            </w:tcBorders>
            <w:shd w:val="clear" w:color="auto" w:fill="CCEEFF"/>
          </w:tcPr>
          <w:p>
            <w:pPr>
              <w:spacing w:after="0"/>
              <w:rPr>
                <w:sz w:val="18"/>
                <w:szCs w:val="18"/>
                <w:color w:val="auto"/>
              </w:rPr>
            </w:pPr>
          </w:p>
        </w:tc>
      </w:tr>
      <w:tr>
        <w:trPr>
          <w:trHeight w:val="175"/>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top w:val="single" w:sz="8" w:color="CCEEFF"/>
            </w:tcBorders>
          </w:tcPr>
          <w:p>
            <w:pPr>
              <w:spacing w:after="0"/>
              <w:rPr>
                <w:sz w:val="15"/>
                <w:szCs w:val="15"/>
                <w:color w:val="auto"/>
              </w:rPr>
            </w:pPr>
          </w:p>
        </w:tc>
        <w:tc>
          <w:tcPr>
            <w:tcW w:w="10100" w:type="dxa"/>
            <w:vAlign w:val="bottom"/>
            <w:tcBorders>
              <w:top w:val="single" w:sz="8" w:color="CCEEFF"/>
              <w:bottom w:val="single" w:sz="8" w:color="0000EE"/>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Amendment to Pre-Funded Comon Stock Purchase Warrant between Agrify Corporation and GIC Acquisitions, LLC dated as of June 30,</w:t>
            </w: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2024</w:t>
            </w:r>
          </w:p>
        </w:tc>
        <w:tc>
          <w:tcPr>
            <w:tcW w:w="9740" w:type="dxa"/>
            <w:vAlign w:val="bottom"/>
          </w:tcPr>
          <w:p>
            <w:pPr>
              <w:spacing w:after="0"/>
              <w:rPr>
                <w:sz w:val="17"/>
                <w:szCs w:val="17"/>
                <w:color w:val="auto"/>
              </w:rPr>
            </w:pPr>
          </w:p>
        </w:tc>
      </w:tr>
    </w:tbl>
    <w:p>
      <w:pPr>
        <w:spacing w:after="0" w:line="9" w:lineRule="exact"/>
        <w:rPr>
          <w:sz w:val="20"/>
          <w:szCs w:val="20"/>
          <w:color w:val="auto"/>
        </w:rPr>
      </w:pPr>
    </w:p>
    <w:p>
      <w:pPr>
        <w:ind w:left="5560" w:right="4280" w:hanging="5552"/>
        <w:spacing w:after="0" w:line="783" w:lineRule="auto"/>
        <w:tabs>
          <w:tab w:leader="none" w:pos="114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-845185</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9"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July 3, 2024</w:t>
      </w:r>
      <w:r>
        <w:rPr>
          <w:sz w:val="20"/>
          <w:szCs w:val="20"/>
          <w:color w:val="auto"/>
        </w:rPr>
        <w:tab/>
      </w:r>
      <w:r>
        <w:rPr>
          <w:rFonts w:ascii="Times New Roman" w:cs="Times New Roman" w:eastAsia="Times New Roman" w:hAnsi="Times New Roman"/>
          <w:sz w:val="18"/>
          <w:szCs w:val="18"/>
          <w:color w:val="auto"/>
        </w:rPr>
        <w:t>By:</w:t>
        <w:tab/>
        <w:t>/s/ Raymond Nobu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Raymond Nobu Chang</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ind w:left="10240"/>
        <w:spacing w:after="0"/>
        <w:rPr>
          <w:sz w:val="20"/>
          <w:szCs w:val="20"/>
          <w:color w:val="auto"/>
        </w:rPr>
      </w:pPr>
      <w:r>
        <w:rPr>
          <w:rFonts w:ascii="Times New Roman" w:cs="Times New Roman" w:eastAsia="Times New Roman" w:hAnsi="Times New Roman"/>
          <w:sz w:val="21"/>
          <w:szCs w:val="21"/>
          <w:b w:val="1"/>
          <w:bCs w:val="1"/>
          <w:color w:val="auto"/>
        </w:rPr>
        <w:t>Exhibit 4.1</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TO PRE-FUNDED COMMON STOCK PURCHASE WARRANT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AMENDMENT TO PRE-FUNDED COMMON STOCK PURCHASE WARRANT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effective as of June 30, 2024 (the “</w:t>
      </w:r>
      <w:r>
        <w:rPr>
          <w:rFonts w:ascii="Times New Roman" w:cs="Times New Roman" w:eastAsia="Times New Roman" w:hAnsi="Times New Roman"/>
          <w:sz w:val="18"/>
          <w:szCs w:val="18"/>
          <w:u w:val="single" w:color="auto"/>
          <w:color w:val="auto"/>
        </w:rPr>
        <w:t>Amendment Effective Date</w:t>
      </w:r>
      <w:r>
        <w:rPr>
          <w:rFonts w:ascii="Times New Roman" w:cs="Times New Roman" w:eastAsia="Times New Roman" w:hAnsi="Times New Roman"/>
          <w:sz w:val="18"/>
          <w:szCs w:val="18"/>
          <w:color w:val="auto"/>
        </w:rPr>
        <w:t>”), is by and between CP Acquisitions, LLC or its assigns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and Agrify Corporation, a Nevada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amends that certain Pre-Funded Common Stock Purchase Warrant, dated May 21, 2024, by and between the Company and Holder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Capitalized terms used in this Amendment but not defined herein shall have the respective meanings ascribed to them in the Warrant.</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accordance with the Warrant, the Company desires to amend the Warrant, pursuant to section 5(l) thereof, as provided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and Holder is willing to agree to the foregoing subject to the terms and conditions set forth in this Amendment.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for good and valuable consideration, the sufficiency and receipt of all of which are acknowledged, the Company and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 hereto agree as follows:</w:t>
      </w:r>
    </w:p>
    <w:p>
      <w:pPr>
        <w:spacing w:after="0" w:line="203" w:lineRule="exact"/>
        <w:rPr>
          <w:sz w:val="20"/>
          <w:szCs w:val="20"/>
          <w:color w:val="auto"/>
        </w:rPr>
      </w:pPr>
    </w:p>
    <w:p>
      <w:pPr>
        <w:ind w:left="660" w:hanging="328"/>
        <w:spacing w:after="0" w:line="28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Amendments</w:t>
      </w:r>
      <w:r>
        <w:rPr>
          <w:rFonts w:ascii="Times New Roman" w:cs="Times New Roman" w:eastAsia="Times New Roman" w:hAnsi="Times New Roman"/>
          <w:sz w:val="18"/>
          <w:szCs w:val="18"/>
          <w:color w:val="auto"/>
        </w:rPr>
        <w:t>. Upon the effectiveness of this Amendment, in accordance with the provisions hereof and notwithstanding anything to the contrary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contained in the Warrant:</w:t>
      </w:r>
    </w:p>
    <w:p>
      <w:pPr>
        <w:spacing w:after="0" w:line="159"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Section 3(d) shall be removed from the Warrant and replaced with the following:</w:t>
      </w:r>
    </w:p>
    <w:p>
      <w:pPr>
        <w:spacing w:after="0" w:line="225" w:lineRule="exact"/>
        <w:rPr>
          <w:sz w:val="20"/>
          <w:szCs w:val="20"/>
          <w:color w:val="auto"/>
        </w:rPr>
      </w:pPr>
    </w:p>
    <w:p>
      <w:pPr>
        <w:jc w:val="both"/>
        <w:ind w:left="130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If, at any time while this Warrant is outstanding, (i) the Company, directly or indirectly, in one or more related transactions effects any merger or consolidation of the Company with or into another Person, (ii) the Company (and all of its Subsidiaries, taken as a whole),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greater than 50% of the outstanding Common Stock,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greater than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(each a “Fundamental Transaction”),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“Alternate Consideration”)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“Successor Entity”) to assume in writing all of the obligations of the Company under this Warrant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referring to the “Company” shall refer instead to the Successor Entity), and may exercise every right and power of the Company and shall assume all of the obligations of the Company under this Warrant with the same effect as if such Successor Entity had been named as the Company herein. For the avoidance of doubt, except as expressly set forth in this Warrant, in no event does this agreement result in the Company having an obligation to issue cash or other assets to the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ind w:left="968" w:right="720" w:hanging="644"/>
        <w:spacing w:after="0" w:line="498" w:lineRule="auto"/>
        <w:tabs>
          <w:tab w:leader="none" w:pos="64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Number of Warrant Shares Issuable</w:t>
      </w:r>
      <w:r>
        <w:rPr>
          <w:rFonts w:ascii="Times New Roman" w:cs="Times New Roman" w:eastAsia="Times New Roman" w:hAnsi="Times New Roman"/>
          <w:sz w:val="18"/>
          <w:szCs w:val="18"/>
          <w:color w:val="auto"/>
        </w:rPr>
        <w:t>. Section 3(g) shall be removed from the Warrant and replaced with the following: “Reserved.”</w:t>
      </w:r>
    </w:p>
    <w:p>
      <w:pPr>
        <w:spacing w:after="0" w:line="1" w:lineRule="exact"/>
        <w:rPr>
          <w:rFonts w:ascii="Times New Roman" w:cs="Times New Roman" w:eastAsia="Times New Roman" w:hAnsi="Times New Roman"/>
          <w:sz w:val="18"/>
          <w:szCs w:val="18"/>
          <w:color w:val="auto"/>
        </w:rPr>
      </w:pPr>
    </w:p>
    <w:p>
      <w:pPr>
        <w:ind w:left="328" w:hanging="328"/>
        <w:spacing w:after="0" w:line="286"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Other Amendments; Confirmation</w:t>
      </w:r>
      <w:r>
        <w:rPr>
          <w:rFonts w:ascii="Times New Roman" w:cs="Times New Roman" w:eastAsia="Times New Roman" w:hAnsi="Times New Roman"/>
          <w:sz w:val="18"/>
          <w:szCs w:val="18"/>
          <w:color w:val="auto"/>
        </w:rPr>
        <w:t>. Except as expressly amended, modified and supplemented hereby, the provisions of the Warrant are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remain in full force and effect.</w:t>
      </w:r>
    </w:p>
    <w:p>
      <w:pPr>
        <w:spacing w:after="0" w:line="154" w:lineRule="exact"/>
        <w:rPr>
          <w:rFonts w:ascii="Times New Roman" w:cs="Times New Roman" w:eastAsia="Times New Roman" w:hAnsi="Times New Roman"/>
          <w:sz w:val="18"/>
          <w:szCs w:val="18"/>
          <w:color w:val="auto"/>
        </w:rPr>
      </w:pPr>
    </w:p>
    <w:p>
      <w:pPr>
        <w:jc w:val="both"/>
        <w:ind w:left="328" w:hanging="328"/>
        <w:spacing w:after="0" w:line="268"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Integration</w:t>
      </w:r>
      <w:r>
        <w:rPr>
          <w:rFonts w:ascii="Times New Roman" w:cs="Times New Roman" w:eastAsia="Times New Roman" w:hAnsi="Times New Roman"/>
          <w:sz w:val="18"/>
          <w:szCs w:val="18"/>
          <w:color w:val="auto"/>
        </w:rPr>
        <w:t>. This Amendment and the Warrant together constitute the entire agreement and the understanding of the parties with respect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matter hereof and supersedes any and all prior negotiations, correspondence, agreements, understandings, duties or obligations between the parties with respect to the subject matter hereof.</w:t>
      </w:r>
    </w:p>
    <w:p>
      <w:pPr>
        <w:spacing w:after="0" w:line="170" w:lineRule="exact"/>
        <w:rPr>
          <w:rFonts w:ascii="Times New Roman" w:cs="Times New Roman" w:eastAsia="Times New Roman" w:hAnsi="Times New Roman"/>
          <w:sz w:val="18"/>
          <w:szCs w:val="18"/>
          <w:color w:val="auto"/>
        </w:rPr>
      </w:pPr>
    </w:p>
    <w:p>
      <w:pPr>
        <w:jc w:val="both"/>
        <w:ind w:left="328" w:hanging="328"/>
        <w:spacing w:after="0" w:line="268"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AMENDMENT SHALL BE SUBJECT TO THE PROVISIONS REGARDING GOVERNING LAW AND CONSENT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JURISDICTION SET FORTH IN SECTION 5(e) OF THE WARRANT, AND SUCH PROVISIONS ARE INCORPORATED HEREIN BY REFERENCE.</w:t>
      </w:r>
    </w:p>
    <w:p>
      <w:pPr>
        <w:spacing w:after="0" w:line="170" w:lineRule="exact"/>
        <w:rPr>
          <w:rFonts w:ascii="Times New Roman" w:cs="Times New Roman" w:eastAsia="Times New Roman" w:hAnsi="Times New Roman"/>
          <w:sz w:val="18"/>
          <w:szCs w:val="18"/>
          <w:color w:val="auto"/>
        </w:rPr>
      </w:pPr>
    </w:p>
    <w:p>
      <w:pPr>
        <w:jc w:val="both"/>
        <w:ind w:left="328" w:hanging="328"/>
        <w:spacing w:after="0" w:line="268"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Amendment may be executed in counterparts, each of which shall be deemed an original but all of which shall be deemed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one and the same agreement. A signed copy of this warrant delivered electronically shall be deemed to have the same legal effect as delivery of an original signed copy of this Amendment.</w:t>
      </w:r>
    </w:p>
    <w:p>
      <w:pPr>
        <w:spacing w:after="0" w:line="173"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IN WITNESS WHEREOF, the parties have executed this Amendment as of the date first written above.</w:t>
      </w:r>
    </w:p>
    <w:p>
      <w:pPr>
        <w:spacing w:after="0" w:line="221"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9"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AGRIFY CORPORATION</w:t>
      </w:r>
    </w:p>
    <w:p>
      <w:pPr>
        <w:spacing w:after="0" w:line="225" w:lineRule="exact"/>
        <w:rPr>
          <w:sz w:val="20"/>
          <w:szCs w:val="20"/>
          <w:color w:val="auto"/>
        </w:rPr>
      </w:pPr>
    </w:p>
    <w:p>
      <w:pPr>
        <w:ind w:left="6420"/>
        <w:spacing w:after="0"/>
        <w:tabs>
          <w:tab w:leader="none" w:pos="69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Raymond N.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17145</wp:posOffset>
            </wp:positionV>
            <wp:extent cx="249428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Name: Raymond N. Chang</w:t>
      </w:r>
    </w:p>
    <w:p>
      <w:pPr>
        <w:spacing w:after="0" w:line="36" w:lineRule="exact"/>
        <w:rPr>
          <w:sz w:val="20"/>
          <w:szCs w:val="20"/>
          <w:color w:val="auto"/>
        </w:rPr>
      </w:pPr>
    </w:p>
    <w:p>
      <w:pPr>
        <w:ind w:left="6420"/>
        <w:spacing w:after="0"/>
        <w:tabs>
          <w:tab w:leader="none" w:pos="69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3"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229"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CP ACQUISITIONS, LLC</w:t>
      </w:r>
    </w:p>
    <w:p>
      <w:pPr>
        <w:spacing w:after="0" w:line="225" w:lineRule="exact"/>
        <w:rPr>
          <w:sz w:val="20"/>
          <w:szCs w:val="20"/>
          <w:color w:val="auto"/>
        </w:rPr>
      </w:pPr>
    </w:p>
    <w:p>
      <w:pPr>
        <w:ind w:left="6420"/>
        <w:spacing w:after="0"/>
        <w:tabs>
          <w:tab w:leader="none" w:pos="69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Raymond N.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17145</wp:posOffset>
            </wp:positionV>
            <wp:extent cx="249428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Name: Raymond N. Chang</w:t>
      </w:r>
    </w:p>
    <w:p>
      <w:pPr>
        <w:spacing w:after="0" w:line="36" w:lineRule="exact"/>
        <w:rPr>
          <w:sz w:val="20"/>
          <w:szCs w:val="20"/>
          <w:color w:val="auto"/>
        </w:rPr>
      </w:pPr>
    </w:p>
    <w:p>
      <w:pPr>
        <w:ind w:left="6420"/>
        <w:spacing w:after="0"/>
        <w:tabs>
          <w:tab w:leader="none" w:pos="696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5"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Amendment to CP Acquisition Warrant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799"/>
          </w:cols>
          <w:pgMar w:left="660" w:top="904" w:right="1440" w:bottom="1440" w:gutter="0" w:footer="0" w:header="0"/>
        </w:sectPr>
      </w:pPr>
    </w:p>
    <w:bookmarkStart w:id="7" w:name="page8"/>
    <w:bookmarkEnd w:id="7"/>
    <w:p>
      <w:pPr>
        <w:ind w:left="10240"/>
        <w:spacing w:after="0"/>
        <w:rPr>
          <w:sz w:val="20"/>
          <w:szCs w:val="20"/>
          <w:color w:val="auto"/>
        </w:rPr>
      </w:pPr>
      <w:r>
        <w:rPr>
          <w:rFonts w:ascii="Times New Roman" w:cs="Times New Roman" w:eastAsia="Times New Roman" w:hAnsi="Times New Roman"/>
          <w:sz w:val="21"/>
          <w:szCs w:val="21"/>
          <w:b w:val="1"/>
          <w:bCs w:val="1"/>
          <w:color w:val="auto"/>
        </w:rPr>
        <w:t>Exhibit 4.2</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TO PRE-FUNDED COMMON STOCK PURCHASE WARRANT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AMENDMENT TO PRE-FUNDED COMMON STOCK PURCHASE WARRANT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effective as of June 30, 2024 (the “</w:t>
      </w:r>
      <w:r>
        <w:rPr>
          <w:rFonts w:ascii="Times New Roman" w:cs="Times New Roman" w:eastAsia="Times New Roman" w:hAnsi="Times New Roman"/>
          <w:sz w:val="18"/>
          <w:szCs w:val="18"/>
          <w:u w:val="single" w:color="auto"/>
          <w:color w:val="auto"/>
        </w:rPr>
        <w:t>Amendment Effective Date</w:t>
      </w:r>
      <w:r>
        <w:rPr>
          <w:rFonts w:ascii="Times New Roman" w:cs="Times New Roman" w:eastAsia="Times New Roman" w:hAnsi="Times New Roman"/>
          <w:sz w:val="18"/>
          <w:szCs w:val="18"/>
          <w:color w:val="auto"/>
        </w:rPr>
        <w:t>”), is by and between GIC Acquisition LLC or its assigns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and Agrify Corporation, a Nevada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amends that certain Pre-Funded Common Stock Purchase Warrant, dated May 21, 2024, by and between the Company and Holder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Capitalized terms used in this Amendment but not defined herein shall have the respective meanings ascribed to them in the Warrant.</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accordance with the Warrant, the Company desires to amend the Warrant, pursuant to section 5(l) thereof, as provided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and Holder is willing to agree to the foregoing subject to the terms and conditions set forth in this Amendment.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for good and valuable consideration, the sufficiency and receipt of all of which are acknowledged, the Company and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 hereto agree as follows:</w:t>
      </w:r>
    </w:p>
    <w:p>
      <w:pPr>
        <w:spacing w:after="0" w:line="203" w:lineRule="exact"/>
        <w:rPr>
          <w:sz w:val="20"/>
          <w:szCs w:val="20"/>
          <w:color w:val="auto"/>
        </w:rPr>
      </w:pPr>
    </w:p>
    <w:p>
      <w:pPr>
        <w:ind w:left="660" w:hanging="328"/>
        <w:spacing w:after="0" w:line="28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Amendments</w:t>
      </w:r>
      <w:r>
        <w:rPr>
          <w:rFonts w:ascii="Times New Roman" w:cs="Times New Roman" w:eastAsia="Times New Roman" w:hAnsi="Times New Roman"/>
          <w:sz w:val="18"/>
          <w:szCs w:val="18"/>
          <w:color w:val="auto"/>
        </w:rPr>
        <w:t>. Upon the effectiveness of this Amendment, in accordance with the provisions hereof and notwithstanding anything to the contrary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contained in the Warrant:</w:t>
      </w:r>
    </w:p>
    <w:p>
      <w:pPr>
        <w:spacing w:after="0" w:line="158"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Section 3(d) shall be removed from the Warrant and replaced with the following:</w:t>
      </w:r>
    </w:p>
    <w:p>
      <w:pPr>
        <w:spacing w:after="0" w:line="225" w:lineRule="exact"/>
        <w:rPr>
          <w:sz w:val="20"/>
          <w:szCs w:val="20"/>
          <w:color w:val="auto"/>
        </w:rPr>
      </w:pPr>
    </w:p>
    <w:p>
      <w:pPr>
        <w:jc w:val="both"/>
        <w:ind w:left="130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If, at any time while this Warrant is outstanding, (i) the Company, directly or indirectly, in one or more related transactions effects any merger or consolidation of the Company with or into another Person, (ii) the Company (and all of its Subsidiaries, taken as a whole),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greater than 50% of the outstanding Common Stock,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greater than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(each a “Fundamental Transaction”),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“Alternate Consideration”)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“Successor Entity”) to assume in writing all of the obligations of the Company under this Warrant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referring to the “Company” shall refer instead to the Successor Entity), and may exercise every right and power of the Company and shall assume all of the obligations of the Company under this Warrant with the same effect as if such Successor Entity had been named as the Company herein. For the avoidance of doubt, except as expressly set forth in this Warrant, in no event does this agreement result in the Company having an obligation to issue cash or other assets to the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p>
      <w:pPr>
        <w:ind w:left="968" w:right="720" w:hanging="644"/>
        <w:spacing w:after="0" w:line="498" w:lineRule="auto"/>
        <w:tabs>
          <w:tab w:leader="none" w:pos="64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Number of Warrant Shares Issuable</w:t>
      </w:r>
      <w:r>
        <w:rPr>
          <w:rFonts w:ascii="Times New Roman" w:cs="Times New Roman" w:eastAsia="Times New Roman" w:hAnsi="Times New Roman"/>
          <w:sz w:val="18"/>
          <w:szCs w:val="18"/>
          <w:color w:val="auto"/>
        </w:rPr>
        <w:t>. Section 3(g) shall be removed from the Warrant and replaced with the following: “Reserved.”</w:t>
      </w:r>
    </w:p>
    <w:p>
      <w:pPr>
        <w:spacing w:after="0" w:line="1" w:lineRule="exact"/>
        <w:rPr>
          <w:rFonts w:ascii="Times New Roman" w:cs="Times New Roman" w:eastAsia="Times New Roman" w:hAnsi="Times New Roman"/>
          <w:sz w:val="18"/>
          <w:szCs w:val="18"/>
          <w:color w:val="auto"/>
        </w:rPr>
      </w:pPr>
    </w:p>
    <w:p>
      <w:pPr>
        <w:ind w:left="328" w:hanging="328"/>
        <w:spacing w:after="0" w:line="286" w:lineRule="auto"/>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Other Amendments; Confirmation</w:t>
      </w:r>
      <w:r>
        <w:rPr>
          <w:rFonts w:ascii="Times New Roman" w:cs="Times New Roman" w:eastAsia="Times New Roman" w:hAnsi="Times New Roman"/>
          <w:sz w:val="18"/>
          <w:szCs w:val="18"/>
          <w:color w:val="auto"/>
        </w:rPr>
        <w:t>. Except as expressly amended, modified and supplemented hereby, the provisions of the Warrant are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remain in full force and effect.</w:t>
      </w:r>
    </w:p>
    <w:p>
      <w:pPr>
        <w:spacing w:after="0" w:line="154" w:lineRule="exact"/>
        <w:rPr>
          <w:rFonts w:ascii="Times New Roman" w:cs="Times New Roman" w:eastAsia="Times New Roman" w:hAnsi="Times New Roman"/>
          <w:sz w:val="18"/>
          <w:szCs w:val="18"/>
          <w:color w:val="auto"/>
        </w:rPr>
      </w:pPr>
    </w:p>
    <w:p>
      <w:pPr>
        <w:jc w:val="both"/>
        <w:ind w:left="328" w:hanging="328"/>
        <w:spacing w:after="0" w:line="268" w:lineRule="auto"/>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Integration</w:t>
      </w:r>
      <w:r>
        <w:rPr>
          <w:rFonts w:ascii="Times New Roman" w:cs="Times New Roman" w:eastAsia="Times New Roman" w:hAnsi="Times New Roman"/>
          <w:sz w:val="18"/>
          <w:szCs w:val="18"/>
          <w:color w:val="auto"/>
        </w:rPr>
        <w:t>. This Amendment and the Warrant together constitute the entire agreement and the understanding of the parties with respect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matter hereof and supersedes any and all prior negotiations, correspondence, agreements, understandings, duties or obligations between the parties with respect to the subject matter hereof.</w:t>
      </w:r>
    </w:p>
    <w:p>
      <w:pPr>
        <w:spacing w:after="0" w:line="170" w:lineRule="exact"/>
        <w:rPr>
          <w:rFonts w:ascii="Times New Roman" w:cs="Times New Roman" w:eastAsia="Times New Roman" w:hAnsi="Times New Roman"/>
          <w:sz w:val="18"/>
          <w:szCs w:val="18"/>
          <w:color w:val="auto"/>
        </w:rPr>
      </w:pPr>
    </w:p>
    <w:p>
      <w:pPr>
        <w:jc w:val="both"/>
        <w:ind w:left="328" w:hanging="328"/>
        <w:spacing w:after="0" w:line="268" w:lineRule="auto"/>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AMENDMENT SHALL BE SUBJECT TO THE PROVISIONS REGARDING GOVERNING LAW AND CONSENT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JURISDICTION SET FORTH IN SECTION 5(e) OF THE WARRANT, AND SUCH PROVISIONS ARE INCORPORATED HEREIN BY REFERENCE.</w:t>
      </w:r>
    </w:p>
    <w:p>
      <w:pPr>
        <w:spacing w:after="0" w:line="170" w:lineRule="exact"/>
        <w:rPr>
          <w:rFonts w:ascii="Times New Roman" w:cs="Times New Roman" w:eastAsia="Times New Roman" w:hAnsi="Times New Roman"/>
          <w:sz w:val="18"/>
          <w:szCs w:val="18"/>
          <w:color w:val="auto"/>
        </w:rPr>
      </w:pPr>
    </w:p>
    <w:p>
      <w:pPr>
        <w:jc w:val="both"/>
        <w:ind w:left="328" w:hanging="328"/>
        <w:spacing w:after="0" w:line="268" w:lineRule="auto"/>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Amendment may be executed in counterparts, each of which shall be deemed an original but all of which shall be deemed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one and the same agreement. A signed copy of this warrant delivered electronically shall be deemed to have the same legal effect as delivery of an original signed copy of this Amendment.</w:t>
      </w:r>
    </w:p>
    <w:p>
      <w:pPr>
        <w:spacing w:after="0" w:line="173"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352"/>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IN WITNESS WHEREOF, the parties have executed this Amendment as of the date first written above.</w:t>
      </w:r>
    </w:p>
    <w:p>
      <w:pPr>
        <w:spacing w:after="0" w:line="221"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9"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AGRIFY CORPORATION</w:t>
      </w:r>
    </w:p>
    <w:p>
      <w:pPr>
        <w:spacing w:after="0" w:line="225" w:lineRule="exact"/>
        <w:rPr>
          <w:sz w:val="20"/>
          <w:szCs w:val="20"/>
          <w:color w:val="auto"/>
        </w:rPr>
      </w:pPr>
    </w:p>
    <w:p>
      <w:pPr>
        <w:ind w:left="6420"/>
        <w:spacing w:after="0"/>
        <w:tabs>
          <w:tab w:leader="none" w:pos="69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Raymond N.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17145</wp:posOffset>
            </wp:positionV>
            <wp:extent cx="249428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Name: Raymond N. Chang</w:t>
      </w:r>
    </w:p>
    <w:p>
      <w:pPr>
        <w:spacing w:after="0" w:line="36" w:lineRule="exact"/>
        <w:rPr>
          <w:sz w:val="20"/>
          <w:szCs w:val="20"/>
          <w:color w:val="auto"/>
        </w:rPr>
      </w:pPr>
    </w:p>
    <w:p>
      <w:pPr>
        <w:ind w:left="6420"/>
        <w:spacing w:after="0"/>
        <w:tabs>
          <w:tab w:leader="none" w:pos="69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3"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229"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GIC ACQUISITION LLC</w:t>
      </w:r>
    </w:p>
    <w:p>
      <w:pPr>
        <w:spacing w:after="0" w:line="225" w:lineRule="exact"/>
        <w:rPr>
          <w:sz w:val="20"/>
          <w:szCs w:val="20"/>
          <w:color w:val="auto"/>
        </w:rPr>
      </w:pPr>
    </w:p>
    <w:p>
      <w:pPr>
        <w:ind w:left="6420"/>
        <w:spacing w:after="0"/>
        <w:tabs>
          <w:tab w:leader="none" w:pos="69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Raymond N.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17145</wp:posOffset>
            </wp:positionV>
            <wp:extent cx="249428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Name: Raymond N. Chang</w:t>
      </w:r>
    </w:p>
    <w:p>
      <w:pPr>
        <w:spacing w:after="0" w:line="36" w:lineRule="exact"/>
        <w:rPr>
          <w:sz w:val="20"/>
          <w:szCs w:val="20"/>
          <w:color w:val="auto"/>
        </w:rPr>
      </w:pPr>
    </w:p>
    <w:p>
      <w:pPr>
        <w:ind w:left="6420"/>
        <w:spacing w:after="0"/>
        <w:tabs>
          <w:tab w:leader="none" w:pos="696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0" w:lineRule="exact"/>
        <w:rPr>
          <w:sz w:val="20"/>
          <w:szCs w:val="20"/>
          <w:color w:val="auto"/>
        </w:rPr>
      </w:pPr>
    </w:p>
    <w:p>
      <w:pPr>
        <w:spacing w:after="0" w:line="221"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Amendment to GIC Acquisition Warrant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799"/>
      </w:cols>
      <w:pgMar w:left="66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04"/>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decimal"/>
      <w:start w:val="1"/>
    </w:lvl>
    <w:lvl w:ilvl="1">
      <w:lvlJc w:val="left"/>
      <w:lvlText w:val="%2."/>
      <w:numFmt w:val="lowerLetter"/>
      <w:start w:val="2"/>
    </w:lvl>
  </w:abstractNum>
  <w:abstractNum w:abstractNumId="5">
    <w:nsid w:val="79E2A9E3"/>
    <w:multiLevelType w:val="hybridMultilevel"/>
    <w:lvl w:ilvl="0">
      <w:lvlJc w:val="left"/>
      <w:lvlText w:val="%1."/>
      <w:numFmt w:val="decimal"/>
      <w:start w:val="2"/>
    </w:lvl>
    <w:lvl w:ilvl="1">
      <w:lvlJc w:val="left"/>
      <w:lvlText w:val="%2"/>
      <w:numFmt w:val="lowerLetter"/>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1"/>
    </w:lvl>
    <w:lvl w:ilvl="1">
      <w:lvlJc w:val="left"/>
      <w:lvlText w:val="%2."/>
      <w:numFmt w:val="lowerLetter"/>
      <w:start w:val="2"/>
    </w:lvl>
  </w:abstractNum>
  <w:abstractNum w:abstractNumId="8">
    <w:nsid w:val="5BD062C2"/>
    <w:multiLevelType w:val="hybridMultilevel"/>
    <w:lvl w:ilvl="0">
      <w:lvlJc w:val="left"/>
      <w:lvlText w:val="%1."/>
      <w:numFmt w:val="decimal"/>
      <w:start w:val="2"/>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2024-07-03T06:04:00Z</dcterms:created>
  <dcterms:modified xsi:type="dcterms:W3CDTF">2024-07-03T06:04:00Z</dcterms:modified>
</cp:coreProperties>
</file>