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9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787" w:right="1440" w:bottom="1440" w:gutter="0" w:footer="0" w:header="0"/>
        </w:sectPr>
      </w:pPr>
    </w:p>
    <w:p>
      <w:pPr>
        <w:spacing w:after="0" w:line="17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3780" w:space="720"/>
            <w:col w:w="4519"/>
          </w:cols>
          <w:pgMar w:left="1440" w:top="787"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780" w:space="720"/>
            <w:col w:w="4519"/>
          </w:cols>
          <w:pgMar w:left="1440" w:top="787"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787" w:right="1440" w:bottom="1440" w:gutter="0" w:footer="0" w:header="0"/>
          <w:type w:val="continuous"/>
        </w:sectPr>
      </w:pPr>
    </w:p>
    <w:p>
      <w:pPr>
        <w:spacing w:after="0" w:line="184" w:lineRule="exact"/>
        <w:rPr>
          <w:sz w:val="24"/>
          <w:szCs w:val="24"/>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459" w:hanging="6"/>
        <w:spacing w:after="0" w:line="265" w:lineRule="exact"/>
        <w:tabs>
          <w:tab w:leader="none" w:pos="9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Agrify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453390</wp:posOffset>
            </wp:positionV>
            <wp:extent cx="815340" cy="681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5340" cy="6819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April 30, 2025</w:t>
      </w:r>
    </w:p>
    <w:p>
      <w:pPr>
        <w:spacing w:after="0" w:line="10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445770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695325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153670</wp:posOffset>
            </wp:positionV>
            <wp:extent cx="815340" cy="690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5340"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30, 2025</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the Agrify Corporation (“Agrify” or the “Company”) Virtual Annual Meeting of Stockholders to be June 11, 2025, at 4:30 p.m. Eastern Time. To be admitted to the Annual Meeting at </w:t>
      </w:r>
      <w:r>
        <w:rPr>
          <w:rFonts w:ascii="Times New Roman" w:cs="Times New Roman" w:eastAsia="Times New Roman" w:hAnsi="Times New Roman"/>
          <w:sz w:val="17"/>
          <w:szCs w:val="17"/>
          <w:i w:val="1"/>
          <w:iCs w:val="1"/>
          <w:color w:val="auto"/>
        </w:rPr>
        <w:t>www.virtualshareholdermeeting.com/AGFY2025</w:t>
      </w:r>
      <w:r>
        <w:rPr>
          <w:rFonts w:ascii="Times New Roman" w:cs="Times New Roman" w:eastAsia="Times New Roman" w:hAnsi="Times New Roman"/>
          <w:sz w:val="17"/>
          <w:szCs w:val="17"/>
          <w:color w:val="auto"/>
        </w:rPr>
        <w:t>, you must enter the control number found on your proxy card, voting instruction form or notice you previously received. You may vote during the Annual Meeting by following the instructions available on the meeting website during the meeting.</w:t>
      </w:r>
    </w:p>
    <w:p>
      <w:pPr>
        <w:spacing w:after="0" w:line="3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00" w:hanging="406"/>
        <w:spacing w:after="0"/>
        <w:tabs>
          <w:tab w:leader="none" w:pos="14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seven directors, each for a one-year term;</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GuzmanGray as the Company’s independent registered public accounting firm for the fiscal year ending December 31, 2025;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89"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 shares.</w:t>
      </w:r>
    </w:p>
    <w:p>
      <w:pPr>
        <w:spacing w:after="0" w:line="30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April 22, 2025, the Company had 1,952,014 shares of Common Stock outstanding. Only shareholders of record as of the close of business on April 22, 2025 are entitled to receive notice of, to attend, and to vote at, the Annual Meeting.</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us. </w:t>
      </w:r>
      <w:r>
        <w:rPr>
          <w:rFonts w:ascii="Times New Roman" w:cs="Times New Roman" w:eastAsia="Times New Roman" w:hAnsi="Times New Roman"/>
          <w:sz w:val="17"/>
          <w:szCs w:val="17"/>
          <w:color w:val="auto"/>
        </w:rPr>
        <w:t>Alternatively, you may cast your vote by telephone, or through the Internet. Instructions for voting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telephone or through the Internet are included with your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Benjamin Kovler</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179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Chairman and Interim Chief Executive Officer</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2220 Hicks Road, Suite 210, Rolling Meadows, IL 60008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153670</wp:posOffset>
            </wp:positionV>
            <wp:extent cx="815340" cy="690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5340"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2220 Hicks Road, Suite 210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Rolling Meadows, IL 60008</w:t>
      </w:r>
    </w:p>
    <w:p>
      <w:pPr>
        <w:spacing w:after="0" w:line="4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June 11, 2025</w:t>
      </w:r>
    </w:p>
    <w:p>
      <w:pPr>
        <w:spacing w:after="0" w:line="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Agrify Corporation Stockholders: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Agrify Corporation (“Agrify”) will hold its Virtual Annual Meeting of Stockholders on June 11, 2025 at</w:t>
      </w:r>
    </w:p>
    <w:p>
      <w:pPr>
        <w:spacing w:after="0" w:line="32" w:lineRule="exact"/>
        <w:rPr>
          <w:sz w:val="20"/>
          <w:szCs w:val="20"/>
          <w:color w:val="auto"/>
        </w:rPr>
      </w:pPr>
    </w:p>
    <w:p>
      <w:pPr>
        <w:ind w:left="580"/>
        <w:spacing w:after="0"/>
        <w:tabs>
          <w:tab w:leader="none" w:pos="1200" w:val="left"/>
          <w:tab w:leader="none" w:pos="1900" w:val="left"/>
          <w:tab w:leader="none" w:pos="2760" w:val="left"/>
          <w:tab w:leader="none" w:pos="3500" w:val="left"/>
          <w:tab w:leader="none" w:pos="4020" w:val="left"/>
          <w:tab w:leader="none" w:pos="4520" w:val="left"/>
          <w:tab w:leader="none" w:pos="5480" w:val="left"/>
          <w:tab w:leader="none" w:pos="5960" w:val="left"/>
          <w:tab w:leader="none" w:pos="6500" w:val="left"/>
          <w:tab w:leader="none" w:pos="7360" w:val="left"/>
          <w:tab w:leader="none" w:pos="8280" w:val="left"/>
        </w:tabs>
        <w:rPr>
          <w:sz w:val="20"/>
          <w:szCs w:val="20"/>
          <w:color w:val="auto"/>
        </w:rPr>
      </w:pPr>
      <w:r>
        <w:rPr>
          <w:rFonts w:ascii="Times New Roman" w:cs="Times New Roman" w:eastAsia="Times New Roman" w:hAnsi="Times New Roman"/>
          <w:sz w:val="17"/>
          <w:szCs w:val="17"/>
          <w:color w:val="auto"/>
        </w:rPr>
        <w:t>4:30</w:t>
      </w:r>
      <w:r>
        <w:rPr>
          <w:sz w:val="20"/>
          <w:szCs w:val="20"/>
          <w:color w:val="auto"/>
        </w:rPr>
        <w:tab/>
      </w:r>
      <w:r>
        <w:rPr>
          <w:rFonts w:ascii="Times New Roman" w:cs="Times New Roman" w:eastAsia="Times New Roman" w:hAnsi="Times New Roman"/>
          <w:sz w:val="17"/>
          <w:szCs w:val="17"/>
          <w:color w:val="auto"/>
        </w:rPr>
        <w:t>p.m.,</w:t>
      </w:r>
      <w:r>
        <w:rPr>
          <w:sz w:val="20"/>
          <w:szCs w:val="20"/>
          <w:color w:val="auto"/>
        </w:rPr>
        <w:tab/>
      </w:r>
      <w:r>
        <w:rPr>
          <w:rFonts w:ascii="Times New Roman" w:cs="Times New Roman" w:eastAsia="Times New Roman" w:hAnsi="Times New Roman"/>
          <w:sz w:val="17"/>
          <w:szCs w:val="17"/>
          <w:color w:val="auto"/>
        </w:rPr>
        <w:t>Eastern</w:t>
      </w:r>
      <w:r>
        <w:rPr>
          <w:sz w:val="20"/>
          <w:szCs w:val="20"/>
          <w:color w:val="auto"/>
        </w:rPr>
        <w:tab/>
      </w:r>
      <w:r>
        <w:rPr>
          <w:rFonts w:ascii="Times New Roman" w:cs="Times New Roman" w:eastAsia="Times New Roman" w:hAnsi="Times New Roman"/>
          <w:sz w:val="17"/>
          <w:szCs w:val="17"/>
          <w:color w:val="auto"/>
        </w:rPr>
        <w:t>Time.</w:t>
      </w:r>
      <w:r>
        <w:rPr>
          <w:sz w:val="20"/>
          <w:szCs w:val="20"/>
          <w:color w:val="auto"/>
        </w:rPr>
        <w:tab/>
      </w: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be</w:t>
      </w:r>
      <w:r>
        <w:rPr>
          <w:sz w:val="20"/>
          <w:szCs w:val="20"/>
          <w:color w:val="auto"/>
        </w:rPr>
        <w:tab/>
      </w:r>
      <w:r>
        <w:rPr>
          <w:rFonts w:ascii="Times New Roman" w:cs="Times New Roman" w:eastAsia="Times New Roman" w:hAnsi="Times New Roman"/>
          <w:sz w:val="17"/>
          <w:szCs w:val="17"/>
          <w:color w:val="auto"/>
        </w:rPr>
        <w:t>admitted</w:t>
      </w:r>
      <w:r>
        <w:rPr>
          <w:sz w:val="20"/>
          <w:szCs w:val="20"/>
          <w:color w:val="auto"/>
        </w:rPr>
        <w:tab/>
      </w: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the</w:t>
      </w:r>
      <w:r>
        <w:rPr>
          <w:sz w:val="20"/>
          <w:szCs w:val="20"/>
          <w:color w:val="auto"/>
        </w:rPr>
        <w:tab/>
      </w:r>
      <w:r>
        <w:rPr>
          <w:rFonts w:ascii="Times New Roman" w:cs="Times New Roman" w:eastAsia="Times New Roman" w:hAnsi="Times New Roman"/>
          <w:sz w:val="17"/>
          <w:szCs w:val="17"/>
          <w:color w:val="auto"/>
        </w:rPr>
        <w:t>Annual</w:t>
      </w:r>
      <w:r>
        <w:rPr>
          <w:sz w:val="20"/>
          <w:szCs w:val="20"/>
          <w:color w:val="auto"/>
        </w:rPr>
        <w:tab/>
      </w:r>
      <w:r>
        <w:rPr>
          <w:rFonts w:ascii="Times New Roman" w:cs="Times New Roman" w:eastAsia="Times New Roman" w:hAnsi="Times New Roman"/>
          <w:sz w:val="17"/>
          <w:szCs w:val="17"/>
          <w:color w:val="auto"/>
        </w:rPr>
        <w:t>Meeting</w:t>
      </w:r>
      <w:r>
        <w:rPr>
          <w:sz w:val="20"/>
          <w:szCs w:val="20"/>
          <w:color w:val="auto"/>
        </w:rPr>
        <w:tab/>
      </w:r>
      <w:r>
        <w:rPr>
          <w:rFonts w:ascii="Times New Roman" w:cs="Times New Roman" w:eastAsia="Times New Roman" w:hAnsi="Times New Roman"/>
          <w:sz w:val="16"/>
          <w:szCs w:val="16"/>
          <w:color w:val="auto"/>
        </w:rPr>
        <w:t>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 xml:space="preserve">www.virtualshareholdermeeting.com/AGFY2025, </w:t>
      </w:r>
      <w:r>
        <w:rPr>
          <w:rFonts w:ascii="Times New Roman" w:cs="Times New Roman" w:eastAsia="Times New Roman" w:hAnsi="Times New Roman"/>
          <w:sz w:val="17"/>
          <w:szCs w:val="17"/>
          <w:color w:val="auto"/>
        </w:rPr>
        <w:t>you must enter the control number found on your proxy card,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voting instruction form or notice you previously received. You may vote during the Annual Meeting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following the instructions available on the meeting website during the meeting.</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45"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seven directors, each for a one-year term;</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GuzmanGray as the Company’s independent registered public accounting firm for the fiscal year ending December 31, 2025;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89"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 shares.</w:t>
      </w:r>
    </w:p>
    <w:p>
      <w:pPr>
        <w:spacing w:after="0" w:line="28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April 22, 2025 as the record date for determining stockholders entitled to vote at the Annual Meeting. As of April 22, 2025, Agrify had 1,952,014 shares of Common Stock outstanding. A list of stockholders on that date will be available for inspection at Agrify’s corporate headquarters, 2220 Hicks Road, Suite 210, Rolling Meadows, IL 60008 , during normal business hours for the ten-day period prior to the Annual Meeting. Only holders of our Common Stock as of the close of business on April 22, 2025 are entitled to vote at the Annual Meeting or any adjournment thereof.</w:t>
      </w:r>
    </w:p>
    <w:p>
      <w:pPr>
        <w:spacing w:after="0" w:line="10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or about April 30, 2025, we are mailing to our stockholders our proxy statement, proxy and 2024 Annual Report on Form 10-K, as amended.</w:t>
      </w:r>
    </w:p>
    <w:p>
      <w:pPr>
        <w:spacing w:after="0" w:line="1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Benjamin Kovler</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05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Rolling Meadows, Illinois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30, 2025</w:t>
      </w:r>
    </w:p>
    <w:p>
      <w:pPr>
        <w:spacing w:after="0" w:line="125"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Annual Meeting of Stockholders to be Held on June 11, 2025: The Notice of Annual Meeting and Proxy Statement and our 2024 Annual Report on Form 10-K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2220 Hicks Road, Suite 210, Rolling Meadows, IL 60008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237490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top w:val="single" w:sz="8" w:color="CCEEFF"/>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GENERAL INFORMATION</w:t>
            </w:r>
          </w:p>
        </w:tc>
        <w:tc>
          <w:tcPr>
            <w:tcW w:w="5000" w:type="dxa"/>
            <w:vAlign w:val="bottom"/>
            <w:tcBorders>
              <w:top w:val="single" w:sz="8" w:color="CCEEFF"/>
              <w:bottom w:val="single" w:sz="8" w:color="CCEEFF"/>
            </w:tcBorders>
            <w:gridSpan w:val="13"/>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 — ELECTION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CORPORATE GOVERNANCE</w:t>
            </w:r>
          </w:p>
        </w:tc>
        <w:tc>
          <w:tcPr>
            <w:tcW w:w="4800" w:type="dxa"/>
            <w:vAlign w:val="bottom"/>
            <w:tcBorders>
              <w:bottom w:val="single" w:sz="8" w:color="CCEEFF"/>
            </w:tcBorders>
            <w:gridSpan w:val="1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STOCK OWNERSHIP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0000EE"/>
              </w:rPr>
              <w:t>EQUITY COMPENSATION PLANS</w:t>
            </w:r>
          </w:p>
        </w:tc>
        <w:tc>
          <w:tcPr>
            <w:tcW w:w="4420" w:type="dxa"/>
            <w:vAlign w:val="bottom"/>
            <w:tcBorders>
              <w:bottom w:val="single" w:sz="8" w:color="CCEEFF"/>
            </w:tcBorders>
            <w:gridSpan w:val="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6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 OF NAMED EXECUTIVE OFFICERS</w:t>
            </w:r>
          </w:p>
        </w:tc>
        <w:tc>
          <w:tcPr>
            <w:tcW w:w="2880" w:type="dxa"/>
            <w:vAlign w:val="bottom"/>
            <w:tcBorders>
              <w:bottom w:val="single" w:sz="8" w:color="CCEEFF"/>
            </w:tcBorders>
            <w:gridSpan w:val="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2 — RATIFICATION OF AUDITOR APPOINTMENT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02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7"/>
                <w:szCs w:val="17"/>
                <w:color w:val="0000EE"/>
              </w:rPr>
              <w:t>ITEM 3 — APPROVAL OF AN AMENDMENT TO THE 2022 OMNIBUS EQUITY</w:t>
            </w:r>
          </w:p>
        </w:tc>
        <w:tc>
          <w:tcPr>
            <w:tcW w:w="102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18"/>
          </w:tcPr>
          <w:p>
            <w:pPr>
              <w:spacing w:after="0" w:line="189" w:lineRule="exact"/>
              <w:rPr>
                <w:sz w:val="20"/>
                <w:szCs w:val="20"/>
                <w:color w:val="auto"/>
              </w:rPr>
            </w:pPr>
            <w:r>
              <w:rPr>
                <w:rFonts w:ascii="Times New Roman" w:cs="Times New Roman" w:eastAsia="Times New Roman" w:hAnsi="Times New Roman"/>
                <w:sz w:val="17"/>
                <w:szCs w:val="17"/>
                <w:color w:val="0000EE"/>
              </w:rPr>
              <w:t>INCENTIVE PLAN</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EXPENSES OF SOLICITATION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OTHER MATTERS</w:t>
            </w:r>
          </w:p>
        </w:tc>
        <w:tc>
          <w:tcPr>
            <w:tcW w:w="5640" w:type="dxa"/>
            <w:vAlign w:val="bottom"/>
            <w:tcBorders>
              <w:bottom w:val="single" w:sz="8" w:color="CCEEFF"/>
            </w:tcBorders>
            <w:gridSpan w:val="1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ADVANCE NOTICE PROCEDURES AND STOCKHOLDER PROPOSALS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420" w:type="dxa"/>
            <w:vAlign w:val="bottom"/>
            <w:tcBorders>
              <w:bottom w:val="single" w:sz="8" w:color="0000EE"/>
            </w:tcBorders>
            <w:gridSpan w:val="18"/>
          </w:tcPr>
          <w:p>
            <w:pPr>
              <w:spacing w:after="0" w:line="171" w:lineRule="exact"/>
              <w:rPr>
                <w:sz w:val="20"/>
                <w:szCs w:val="20"/>
                <w:color w:val="auto"/>
              </w:rPr>
            </w:pPr>
            <w:r>
              <w:rPr>
                <w:rFonts w:ascii="Times New Roman" w:cs="Times New Roman" w:eastAsia="Times New Roman" w:hAnsi="Times New Roman"/>
                <w:sz w:val="17"/>
                <w:szCs w:val="17"/>
                <w:color w:val="0000EE"/>
              </w:rPr>
              <w:t>APPENDIX A: AGRIFY CORPORATION 2022 OMNIBUS EQUITY INCENTIVE PLAN</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Borders>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rPr>
              <w:t>(AS AMENDED)</w:t>
            </w:r>
          </w:p>
        </w:tc>
        <w:tc>
          <w:tcPr>
            <w:tcW w:w="5640" w:type="dxa"/>
            <w:vAlign w:val="bottom"/>
            <w:gridSpan w:val="17"/>
          </w:tcPr>
          <w:p>
            <w:pPr>
              <w:spacing w:after="0"/>
              <w:rPr>
                <w:sz w:val="16"/>
                <w:szCs w:val="16"/>
                <w:color w:val="auto"/>
              </w:rPr>
            </w:pPr>
          </w:p>
        </w:tc>
        <w:tc>
          <w:tcPr>
            <w:tcW w:w="800" w:type="dxa"/>
            <w:vAlign w:val="bottom"/>
          </w:tcPr>
          <w:p>
            <w:pPr>
              <w:ind w:left="260"/>
              <w:spacing w:after="0" w:line="189" w:lineRule="exact"/>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Information</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Annual Meeting of Stockholders of Agrify Corporation (the “Company” or “Agrify”) to be held on June 11, 2025, beginning at 4:30 p.m., Eastern Time, and any postponements or adjournments thereof (the “Annual Meeting”). This proxy statement was prepared at the direction of our Board of Directors to solicit your proxy for use at the Annual Meeting. On or about April 30, 2025, we are mailing to our stockholders our proxy statement, Annual Report and proxy materials.</w:t>
      </w:r>
    </w:p>
    <w:p>
      <w:pPr>
        <w:spacing w:after="0" w:line="316" w:lineRule="exact"/>
        <w:rPr>
          <w:sz w:val="20"/>
          <w:szCs w:val="20"/>
          <w:color w:val="auto"/>
        </w:rPr>
      </w:pPr>
    </w:p>
    <w:p>
      <w:pPr>
        <w:jc w:val="both"/>
        <w:ind w:left="580" w:right="579" w:firstLine="419"/>
        <w:spacing w:after="0" w:line="275" w:lineRule="auto"/>
        <w:rPr>
          <w:sz w:val="20"/>
          <w:szCs w:val="20"/>
          <w:color w:val="auto"/>
        </w:rPr>
      </w:pPr>
      <w:r>
        <w:rPr>
          <w:rFonts w:ascii="Times New Roman" w:cs="Times New Roman" w:eastAsia="Times New Roman" w:hAnsi="Times New Roman"/>
          <w:sz w:val="17"/>
          <w:szCs w:val="17"/>
          <w:color w:val="auto"/>
        </w:rPr>
        <w:t xml:space="preserve">To be admitted to the Annual Meeting at </w:t>
      </w:r>
      <w:r>
        <w:rPr>
          <w:rFonts w:ascii="Times New Roman" w:cs="Times New Roman" w:eastAsia="Times New Roman" w:hAnsi="Times New Roman"/>
          <w:sz w:val="17"/>
          <w:szCs w:val="17"/>
          <w:i w:val="1"/>
          <w:iCs w:val="1"/>
          <w:color w:val="auto"/>
        </w:rPr>
        <w:t>www.virtualshareholdermeeting.com/AGFY2025</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spacing w:after="0" w:line="310" w:lineRule="exact"/>
        <w:rPr>
          <w:sz w:val="20"/>
          <w:szCs w:val="20"/>
          <w:color w:val="auto"/>
        </w:rPr>
      </w:pPr>
    </w:p>
    <w:p>
      <w:pPr>
        <w:ind w:left="1000" w:hanging="426"/>
        <w:spacing w:after="0"/>
        <w:tabs>
          <w:tab w:leader="none" w:pos="10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Annual Meeting. Certain directors, officers and employees of Agrify may (without compensation) solicit proxies on our behalf by mail, phone, fax, Internet or at the Annual Meeting.</w:t>
      </w:r>
    </w:p>
    <w:p>
      <w:pPr>
        <w:spacing w:after="0" w:line="101" w:lineRule="exact"/>
        <w:rPr>
          <w:sz w:val="20"/>
          <w:szCs w:val="20"/>
          <w:color w:val="auto"/>
        </w:rPr>
      </w:pPr>
    </w:p>
    <w:p>
      <w:pPr>
        <w:ind w:left="1000" w:hanging="426"/>
        <w:spacing w:after="0"/>
        <w:tabs>
          <w:tab w:leader="none" w:pos="10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jc w:val="both"/>
        <w:ind w:left="1000" w:right="599" w:hanging="426"/>
        <w:spacing w:after="0" w:line="276" w:lineRule="auto"/>
        <w:tabs>
          <w:tab w:leader="none" w:pos="9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any solicitation of proxies. Agrify also will reimburse banks, brokers, custodians, nominees and fiduciaries for their reasonable charges and expenses to forward our proxy materials to the beneficial owners of Agrify Common Stock.</w:t>
      </w:r>
    </w:p>
    <w:p>
      <w:pPr>
        <w:spacing w:after="0" w:line="83" w:lineRule="exact"/>
        <w:rPr>
          <w:sz w:val="20"/>
          <w:szCs w:val="20"/>
          <w:color w:val="auto"/>
        </w:rPr>
      </w:pPr>
    </w:p>
    <w:p>
      <w:pPr>
        <w:ind w:left="1000" w:hanging="426"/>
        <w:spacing w:after="0"/>
        <w:tabs>
          <w:tab w:leader="none" w:pos="10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three items scheduled to be voted on at the Annual Meeting:</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The election of Benjamin Kovler, Max Holtzman, Timothy Mahoney, Peter Shapiro, Sanjay Tolia, Armon Vakili and Krishnan Varier to the Board of Directors;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The ratification of the appointment of GuzmanGray as our independent registered public accounting firm for the fiscal year ending December 31, 2025 (the “Auditor Appointment”);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The approval of an amendment to the Agrify Corporation 2022 Omnibus Equity Incentive Plan to increase the number of shares of Common Stock available for issuance thereunder by 250,000 (the “Equity Plan Proposal”).</w:t>
      </w:r>
    </w:p>
    <w:p>
      <w:pPr>
        <w:spacing w:after="0" w:line="96" w:lineRule="exact"/>
        <w:rPr>
          <w:sz w:val="20"/>
          <w:szCs w:val="20"/>
          <w:color w:val="auto"/>
        </w:rPr>
      </w:pPr>
    </w:p>
    <w:p>
      <w:pPr>
        <w:ind w:left="1000" w:hanging="426"/>
        <w:spacing w:after="0"/>
        <w:tabs>
          <w:tab w:leader="none" w:pos="10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47" w:lineRule="exact"/>
        <w:rPr>
          <w:sz w:val="20"/>
          <w:szCs w:val="20"/>
          <w:color w:val="auto"/>
        </w:rPr>
      </w:pPr>
    </w:p>
    <w:p>
      <w:pPr>
        <w:jc w:val="both"/>
        <w:ind w:left="1000" w:right="599" w:hanging="426"/>
        <w:spacing w:after="0" w:line="276" w:lineRule="auto"/>
        <w:tabs>
          <w:tab w:leader="none" w:pos="97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April 22, 2025, the record date for the Annual Meeting (the “Record Date”), can vote. If you owned Common Stock on the Record Date, you have one vote per share for each Item up for vote at the Annual Meeting.</w:t>
      </w:r>
    </w:p>
    <w:p>
      <w:pPr>
        <w:spacing w:after="0" w:line="96" w:lineRule="exact"/>
        <w:rPr>
          <w:sz w:val="20"/>
          <w:szCs w:val="20"/>
          <w:color w:val="auto"/>
        </w:rPr>
      </w:pPr>
    </w:p>
    <w:p>
      <w:pPr>
        <w:ind w:left="1000" w:hanging="426"/>
        <w:spacing w:after="0"/>
        <w:tabs>
          <w:tab w:leader="none" w:pos="10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jc w:val="both"/>
        <w:ind w:left="1000" w:right="579" w:hanging="426"/>
        <w:spacing w:after="0" w:line="278" w:lineRule="auto"/>
        <w:tabs>
          <w:tab w:leader="none" w:pos="9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Annual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82"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www.virtualshareholdermeeting.com/AGFY2025</w:t>
      </w:r>
      <w:r>
        <w:rPr>
          <w:rFonts w:ascii="Times New Roman" w:cs="Times New Roman" w:eastAsia="Times New Roman" w:hAnsi="Times New Roman"/>
          <w:sz w:val="17"/>
          <w:szCs w:val="17"/>
          <w:color w:val="auto"/>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w:cs="Times New Roman" w:eastAsia="Times New Roman" w:hAnsi="Times New Roman"/>
          <w:sz w:val="17"/>
          <w:szCs w:val="17"/>
          <w:i w:val="1"/>
          <w:iCs w:val="1"/>
          <w:color w:val="auto"/>
        </w:rPr>
        <w:t>www.virtualshareholdermeeting.com/AGFY2025</w:t>
      </w:r>
      <w:r>
        <w:rPr>
          <w:rFonts w:ascii="Times New Roman" w:cs="Times New Roman" w:eastAsia="Times New Roman" w:hAnsi="Times New Roman"/>
          <w:sz w:val="17"/>
          <w:szCs w:val="17"/>
          <w:color w:val="auto"/>
        </w:rPr>
        <w:t>, type your question into the “Ask a Question” field,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click “Submit.” Questions pertinent to meeting matters will be read and answered during the meeting, subject to time constraints.</w:t>
      </w:r>
    </w:p>
    <w:p>
      <w:pPr>
        <w:spacing w:after="0" w:line="321"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June 10, 2025.</w:t>
      </w:r>
    </w:p>
    <w:p>
      <w:pPr>
        <w:spacing w:after="0" w:line="103" w:lineRule="exact"/>
        <w:rPr>
          <w:sz w:val="20"/>
          <w:szCs w:val="20"/>
          <w:color w:val="auto"/>
        </w:rPr>
      </w:pPr>
    </w:p>
    <w:p>
      <w:pPr>
        <w:ind w:left="1000" w:hanging="426"/>
        <w:spacing w:after="0"/>
        <w:tabs>
          <w:tab w:leader="none" w:pos="100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47" w:lineRule="exact"/>
        <w:rPr>
          <w:sz w:val="20"/>
          <w:szCs w:val="20"/>
          <w:color w:val="auto"/>
        </w:rPr>
      </w:pPr>
    </w:p>
    <w:p>
      <w:pPr>
        <w:ind w:left="980" w:hanging="406"/>
        <w:spacing w:after="0"/>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each of the three proposals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“WITHHOLD” </w:t>
      </w:r>
      <w:r>
        <w:rPr>
          <w:rFonts w:ascii="Times New Roman" w:cs="Times New Roman" w:eastAsia="Times New Roman" w:hAnsi="Times New Roman"/>
          <w:sz w:val="17"/>
          <w:szCs w:val="17"/>
          <w:color w:val="auto"/>
        </w:rPr>
        <w:t>with respect to each nominee to our Board of Directors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1 of this proxy statement;</w:t>
      </w:r>
    </w:p>
    <w:p>
      <w:pPr>
        <w:spacing w:after="0" w:line="76"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ratification and approval of the Auditor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Appointment described in Item 2 of this proxy statement; and</w:t>
      </w:r>
    </w:p>
    <w:p>
      <w:pPr>
        <w:spacing w:after="0" w:line="63"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Equity Plan Proposal described in Item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8" w:lineRule="exact"/>
        <w:rPr>
          <w:sz w:val="20"/>
          <w:szCs w:val="20"/>
          <w:color w:val="auto"/>
        </w:rPr>
      </w:pPr>
    </w:p>
    <w:p>
      <w:pPr>
        <w:ind w:left="1000" w:right="579"/>
        <w:spacing w:after="0" w:line="268"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for director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Items 2 and</w:t>
      </w:r>
    </w:p>
    <w:p>
      <w:pPr>
        <w:spacing w:after="0" w:line="1" w:lineRule="exact"/>
        <w:rPr>
          <w:sz w:val="20"/>
          <w:szCs w:val="20"/>
          <w:color w:val="auto"/>
        </w:rPr>
      </w:pPr>
    </w:p>
    <w:p>
      <w:pPr>
        <w:ind w:left="1000" w:right="579"/>
        <w:spacing w:after="0" w:line="274" w:lineRule="auto"/>
        <w:rPr>
          <w:sz w:val="20"/>
          <w:szCs w:val="20"/>
          <w:color w:val="auto"/>
        </w:rPr>
      </w:pPr>
      <w:r>
        <w:rPr>
          <w:rFonts w:ascii="Times New Roman" w:cs="Times New Roman" w:eastAsia="Times New Roman" w:hAnsi="Times New Roman"/>
          <w:sz w:val="17"/>
          <w:szCs w:val="17"/>
          <w:color w:val="auto"/>
        </w:rPr>
        <w:t>3. Giving a proxy will not affect your right to vote your shares at the Annual Meeting. If you attend the Annual Meeting, you may revoke your proxy and vote at the Annual Meeting if you wish.</w:t>
      </w:r>
    </w:p>
    <w:p>
      <w:pPr>
        <w:spacing w:after="0" w:line="96" w:lineRule="exact"/>
        <w:rPr>
          <w:sz w:val="20"/>
          <w:szCs w:val="20"/>
          <w:color w:val="auto"/>
        </w:rPr>
      </w:pPr>
    </w:p>
    <w:p>
      <w:pPr>
        <w:ind w:left="1000" w:hanging="426"/>
        <w:spacing w:after="0"/>
        <w:tabs>
          <w:tab w:leader="none" w:pos="10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withhold my vote for an individual director?</w:t>
      </w:r>
    </w:p>
    <w:p>
      <w:pPr>
        <w:spacing w:after="0" w:line="147" w:lineRule="exact"/>
        <w:rPr>
          <w:sz w:val="20"/>
          <w:szCs w:val="20"/>
          <w:color w:val="auto"/>
        </w:rPr>
      </w:pPr>
    </w:p>
    <w:p>
      <w:pPr>
        <w:ind w:left="980" w:hanging="406"/>
        <w:spacing w:after="0"/>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Withheld votes are not included in the vote tally for the election of directors. If you wish your shares to be</w:t>
      </w:r>
    </w:p>
    <w:p>
      <w:pPr>
        <w:spacing w:after="0" w:line="32" w:lineRule="exact"/>
        <w:rPr>
          <w:sz w:val="20"/>
          <w:szCs w:val="20"/>
          <w:color w:val="auto"/>
        </w:rPr>
      </w:pPr>
    </w:p>
    <w:p>
      <w:pPr>
        <w:jc w:val="both"/>
        <w:ind w:left="1000" w:right="599"/>
        <w:spacing w:after="0" w:line="263" w:lineRule="auto"/>
        <w:rPr>
          <w:sz w:val="20"/>
          <w:szCs w:val="20"/>
          <w:color w:val="auto"/>
        </w:rPr>
      </w:pPr>
      <w:r>
        <w:rPr>
          <w:rFonts w:ascii="Times New Roman" w:cs="Times New Roman" w:eastAsia="Times New Roman" w:hAnsi="Times New Roman"/>
          <w:sz w:val="17"/>
          <w:szCs w:val="17"/>
          <w:color w:val="auto"/>
        </w:rPr>
        <w:t xml:space="preserve">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 marked </w:t>
      </w:r>
      <w:r>
        <w:rPr>
          <w:rFonts w:ascii="Times New Roman" w:cs="Times New Roman" w:eastAsia="Times New Roman" w:hAnsi="Times New Roman"/>
          <w:sz w:val="17"/>
          <w:szCs w:val="17"/>
          <w:b w:val="1"/>
          <w:bCs w:val="1"/>
          <w:color w:val="auto"/>
        </w:rPr>
        <w:t>“WITHHOLD ALL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06" w:lineRule="exact"/>
        <w:rPr>
          <w:sz w:val="20"/>
          <w:szCs w:val="20"/>
          <w:color w:val="auto"/>
        </w:rPr>
      </w:pPr>
    </w:p>
    <w:p>
      <w:pPr>
        <w:ind w:left="1000" w:hanging="426"/>
        <w:spacing w:after="0"/>
        <w:tabs>
          <w:tab w:leader="none" w:pos="100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60" w:lineRule="exact"/>
        <w:rPr>
          <w:sz w:val="20"/>
          <w:szCs w:val="20"/>
          <w:color w:val="auto"/>
        </w:rPr>
      </w:pPr>
    </w:p>
    <w:p>
      <w:pPr>
        <w:jc w:val="both"/>
        <w:ind w:left="1000" w:right="579" w:hanging="426"/>
        <w:spacing w:after="0" w:line="265" w:lineRule="auto"/>
        <w:tabs>
          <w:tab w:leader="none" w:pos="9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91" w:lineRule="exact"/>
        <w:rPr>
          <w:sz w:val="20"/>
          <w:szCs w:val="20"/>
          <w:color w:val="auto"/>
        </w:rPr>
      </w:pPr>
    </w:p>
    <w:p>
      <w:pPr>
        <w:ind w:left="1000" w:hanging="426"/>
        <w:spacing w:after="0"/>
        <w:tabs>
          <w:tab w:leader="none" w:pos="10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60" w:lineRule="exact"/>
        <w:rPr>
          <w:sz w:val="20"/>
          <w:szCs w:val="20"/>
          <w:color w:val="auto"/>
        </w:rPr>
      </w:pPr>
    </w:p>
    <w:p>
      <w:pPr>
        <w:jc w:val="both"/>
        <w:ind w:left="1000" w:right="599" w:hanging="426"/>
        <w:spacing w:after="0" w:line="265" w:lineRule="auto"/>
        <w:tabs>
          <w:tab w:leader="none" w:pos="9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election of directors, or Item 3, the Equity Plan Proposal. Brokers will be able to vote on the approval of the Item 2, the Auditor Appointment, in the absence of your instructions as that matter is considered a “discretionary” item.</w:t>
      </w:r>
    </w:p>
    <w:p>
      <w:pPr>
        <w:spacing w:after="0" w:line="104" w:lineRule="exact"/>
        <w:rPr>
          <w:sz w:val="20"/>
          <w:szCs w:val="20"/>
          <w:color w:val="auto"/>
        </w:rPr>
      </w:pPr>
    </w:p>
    <w:p>
      <w:pPr>
        <w:ind w:left="1000" w:right="599" w:hanging="426"/>
        <w:spacing w:after="0" w:line="299" w:lineRule="auto"/>
        <w:tabs>
          <w:tab w:leader="none" w:pos="997"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the proposals at the Annual Meeting?</w:t>
      </w:r>
    </w:p>
    <w:p>
      <w:pPr>
        <w:spacing w:after="0" w:line="65" w:lineRule="exact"/>
        <w:rPr>
          <w:sz w:val="20"/>
          <w:szCs w:val="20"/>
          <w:color w:val="auto"/>
        </w:rPr>
      </w:pPr>
    </w:p>
    <w:p>
      <w:pPr>
        <w:jc w:val="both"/>
        <w:ind w:left="1000" w:right="579" w:hanging="426"/>
        <w:spacing w:after="0" w:line="262" w:lineRule="auto"/>
        <w:tabs>
          <w:tab w:leader="none" w:pos="97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non-votes and abstentions on any matter are included in determining the number of shares represented for the purpose of determining whether a quorum is present at a stockholders’ meeting. Because directors will be elected by a plurality of the votes cast (i.e., the seven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 3. Although abstentions are considered present and entitled to vote on a matter,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6" w:lineRule="auto"/>
        <w:rPr>
          <w:sz w:val="20"/>
          <w:szCs w:val="20"/>
          <w:color w:val="auto"/>
        </w:rPr>
      </w:pPr>
      <w:r>
        <w:rPr>
          <w:rFonts w:ascii="Times New Roman" w:cs="Times New Roman" w:eastAsia="Times New Roman" w:hAnsi="Times New Roman"/>
          <w:sz w:val="17"/>
          <w:szCs w:val="17"/>
          <w:color w:val="auto"/>
        </w:rPr>
        <w:t>abstentions are not considered to be votes cast under Nevada law, and thus will have no impact on the outcome of Item 3, which requires the favorable vote of a majority of the votes cast at the Annual Meeting by stockholders entitled to vote on the matter.</w:t>
      </w:r>
    </w:p>
    <w:p>
      <w:pPr>
        <w:spacing w:after="0" w:line="96" w:lineRule="exact"/>
        <w:rPr>
          <w:sz w:val="20"/>
          <w:szCs w:val="20"/>
          <w:color w:val="auto"/>
        </w:rPr>
      </w:pPr>
    </w:p>
    <w:p>
      <w:pPr>
        <w:ind w:left="1000" w:hanging="426"/>
        <w:spacing w:after="0"/>
        <w:tabs>
          <w:tab w:leader="none" w:pos="10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jc w:val="both"/>
        <w:ind w:left="1000" w:right="579" w:hanging="426"/>
        <w:spacing w:after="0" w:line="267" w:lineRule="auto"/>
        <w:tabs>
          <w:tab w:leader="none" w:pos="97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spacing w:after="0" w:line="89" w:lineRule="exact"/>
        <w:rPr>
          <w:sz w:val="20"/>
          <w:szCs w:val="20"/>
          <w:color w:val="auto"/>
        </w:rPr>
      </w:pPr>
    </w:p>
    <w:p>
      <w:pPr>
        <w:ind w:left="1000" w:hanging="426"/>
        <w:spacing w:after="0"/>
        <w:tabs>
          <w:tab w:leader="none" w:pos="10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60" w:lineRule="exact"/>
        <w:rPr>
          <w:sz w:val="20"/>
          <w:szCs w:val="20"/>
          <w:color w:val="auto"/>
        </w:rPr>
      </w:pPr>
    </w:p>
    <w:p>
      <w:pPr>
        <w:ind w:left="980" w:hanging="406"/>
        <w:spacing w:after="0"/>
        <w:tabs>
          <w:tab w:leader="none" w:pos="9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seven nominees to our Board of Directors as described in Item 1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63"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and approval of the Auditor Appointment as described in Item 2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and</w:t>
      </w:r>
    </w:p>
    <w:p>
      <w:pPr>
        <w:spacing w:after="0" w:line="76"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Equity Plan Proposal described in Item 3 of this proxy statement.</w:t>
      </w:r>
    </w:p>
    <w:p>
      <w:pPr>
        <w:spacing w:after="0" w:line="158" w:lineRule="exact"/>
        <w:rPr>
          <w:sz w:val="20"/>
          <w:szCs w:val="20"/>
          <w:color w:val="auto"/>
        </w:rPr>
      </w:pPr>
    </w:p>
    <w:p>
      <w:pPr>
        <w:ind w:left="1000" w:hanging="426"/>
        <w:spacing w:after="0"/>
        <w:tabs>
          <w:tab w:leader="none" w:pos="10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April 22, 2025, we had 1,952,014 shares of Common Stock outstanding and 53 holders of record. Each share of our Common Stock is entitled to one vote per share. The holders of one-third of the total outstanding shares entitled to vote, present at the Annual Meeting or represented by proxy, will constitute a quorum for the transaction of business at the Annual Meeting.</w:t>
      </w:r>
    </w:p>
    <w:p>
      <w:pPr>
        <w:spacing w:after="0" w:line="101" w:lineRule="exact"/>
        <w:rPr>
          <w:sz w:val="20"/>
          <w:szCs w:val="20"/>
          <w:color w:val="auto"/>
        </w:rPr>
      </w:pPr>
    </w:p>
    <w:p>
      <w:pPr>
        <w:ind w:left="1000" w:hanging="426"/>
        <w:spacing w:after="0"/>
        <w:tabs>
          <w:tab w:leader="none" w:pos="100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60" w:lineRule="exact"/>
        <w:rPr>
          <w:sz w:val="20"/>
          <w:szCs w:val="20"/>
          <w:color w:val="auto"/>
        </w:rPr>
      </w:pPr>
    </w:p>
    <w:p>
      <w:pPr>
        <w:jc w:val="both"/>
        <w:ind w:left="1000" w:right="579" w:hanging="426"/>
        <w:spacing w:after="0" w:line="270" w:lineRule="auto"/>
        <w:tabs>
          <w:tab w:leader="none" w:pos="97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spacing w:after="0" w:line="88" w:lineRule="exact"/>
        <w:rPr>
          <w:sz w:val="20"/>
          <w:szCs w:val="20"/>
          <w:color w:val="auto"/>
        </w:rPr>
      </w:pPr>
    </w:p>
    <w:p>
      <w:pPr>
        <w:ind w:left="1000" w:hanging="426"/>
        <w:spacing w:after="0"/>
        <w:tabs>
          <w:tab w:leader="none" w:pos="100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60" w:lineRule="exact"/>
        <w:rPr>
          <w:sz w:val="20"/>
          <w:szCs w:val="20"/>
          <w:color w:val="auto"/>
        </w:rPr>
      </w:pPr>
    </w:p>
    <w:p>
      <w:pPr>
        <w:ind w:left="980" w:hanging="406"/>
        <w:spacing w:after="0"/>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are elected by a plurality of the votes cast. This means that the seven nominees will be elected if they receive more affirmative votes than any other nominees.</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Auditor Appointment in Item 2.</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Equity Plan Proposal in Item 3.</w:t>
      </w:r>
    </w:p>
    <w:p>
      <w:pPr>
        <w:spacing w:after="0" w:line="66" w:lineRule="exact"/>
        <w:rPr>
          <w:sz w:val="20"/>
          <w:szCs w:val="20"/>
          <w:color w:val="auto"/>
        </w:rPr>
      </w:pPr>
    </w:p>
    <w:p>
      <w:pPr>
        <w:ind w:left="1000" w:hanging="426"/>
        <w:spacing w:after="0"/>
        <w:tabs>
          <w:tab w:leader="none" w:pos="100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Second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Second Amended and Restated Bylaws, no matters other than those included in the Notice of Annual Meeting may properly come before the Annual Meeting.</w:t>
      </w:r>
    </w:p>
    <w:p>
      <w:pPr>
        <w:spacing w:after="0" w:line="103" w:lineRule="exact"/>
        <w:rPr>
          <w:sz w:val="20"/>
          <w:szCs w:val="20"/>
          <w:color w:val="auto"/>
        </w:rPr>
      </w:pPr>
    </w:p>
    <w:p>
      <w:pPr>
        <w:ind w:left="1000" w:hanging="426"/>
        <w:spacing w:after="0"/>
        <w:tabs>
          <w:tab w:leader="none" w:pos="10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47" w:lineRule="exact"/>
        <w:rPr>
          <w:sz w:val="20"/>
          <w:szCs w:val="20"/>
          <w:color w:val="auto"/>
        </w:rPr>
      </w:pPr>
    </w:p>
    <w:p>
      <w:pPr>
        <w:jc w:val="center"/>
        <w:ind w:left="4460" w:right="1179" w:hanging="3886"/>
        <w:spacing w:after="0" w:line="380" w:lineRule="auto"/>
        <w:tabs>
          <w:tab w:leader="none" w:pos="97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197485</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ELECTION OF DIRECTORS</w:t>
      </w:r>
    </w:p>
    <w:p>
      <w:pPr>
        <w:spacing w:after="0" w:line="147"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(which is sometimes referred to in this proxy statement as our “Board”) currently consists of Benjamin Kovler, Max Holtzman, Armon Vakili, Peter S. Shapiro, Sanjay Tolia, Timothy Mahoney and Krishnan Varier. You and the other stockholders are requested to vote for the nominees set forth below to serve as directors until the 2026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 There are no family relationships among any of our executive officers or directors.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 quorum is present, individual nominees will be elected by a plurality of the votes of shares present at the Annual Meeting or represented by proxy at the Annual Meeting. This means that the seven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each of the following nominees.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director nominees, the year they became directors, their principal occupations or employment for at least the past five years and certain of their other directorships.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Election</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Benjamin Kovler</w:t>
            </w:r>
          </w:p>
        </w:tc>
        <w:tc>
          <w:tcPr>
            <w:tcW w:w="100" w:type="dxa"/>
            <w:vAlign w:val="bottom"/>
            <w:vMerge w:val="continue"/>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vMerge w:val="continue"/>
          </w:tcPr>
          <w:p>
            <w:pPr>
              <w:spacing w:after="0"/>
              <w:rPr>
                <w:sz w:val="17"/>
                <w:szCs w:val="17"/>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Mr. Kovler has served as a member of our Board of Directors since November 5,</w:t>
            </w:r>
          </w:p>
        </w:tc>
        <w:tc>
          <w:tcPr>
            <w:tcW w:w="0" w:type="dxa"/>
            <w:vAlign w:val="bottom"/>
          </w:tcPr>
          <w:p>
            <w:pPr>
              <w:spacing w:after="0"/>
              <w:rPr>
                <w:sz w:val="1"/>
                <w:szCs w:val="1"/>
                <w:color w:val="auto"/>
              </w:rPr>
            </w:pPr>
          </w:p>
        </w:tc>
      </w:tr>
    </w:tbl>
    <w:p>
      <w:pPr>
        <w:jc w:val="both"/>
        <w:ind w:left="2400" w:right="579"/>
        <w:spacing w:after="0" w:line="258" w:lineRule="auto"/>
        <w:rPr>
          <w:sz w:val="20"/>
          <w:szCs w:val="20"/>
          <w:color w:val="auto"/>
        </w:rPr>
      </w:pPr>
      <w:r>
        <w:rPr>
          <w:rFonts w:ascii="Times New Roman" w:cs="Times New Roman" w:eastAsia="Times New Roman" w:hAnsi="Times New Roman"/>
          <w:sz w:val="17"/>
          <w:szCs w:val="17"/>
          <w:color w:val="auto"/>
        </w:rPr>
        <w:t>2024. Mr. Kovler founded Green Thumb Industries Inc. (“Green Thumb”) in 2014. He has been Chairman of Green Thumb since 2014 and Chief Executive Officer from 2014 through year-end 2017 and again since August 2018. Mr. Kovler is frequently featured as a cannabis industry thought leader in media outlets such as Bloomberg, Barron’s, Business Insider, CNBC and Forbes. He previously served on the boards of directors of Springbig, Inc., a cannabis marketing platform from January 2018 until December 2022, and The Cann + Botl Company, a privately held cannabis-infused beverage company, from December 2020 to December 2022. He is also co-founder of Invest For Kids, a not-for-profit organization that hosts an annual investment ideas conference to benefit underserved young people in Chicago. Founded in 2009, Invest For Kids has raised nearly $23 million, 100% of which has supported over 100 organizations dedicated to improving the lives of Chicago’s youth. Mr. Kovler earned a Bachelor of Arts in philosophy, politics and economics from Pomona College and a Master of Business Administration in accounting and finance from The University of Chicago. Mr. Kovler has served as a Director of our Company since November 2024. We believe that Mr. Kovler’s qualifications to sit on the Board include his experience in the cannabis and hemp industries and his extensive experience managing complex operating companies.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Age</w:t>
            </w:r>
          </w:p>
        </w:tc>
        <w:tc>
          <w:tcPr>
            <w:tcW w:w="448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vMerge w:val="continue"/>
          </w:tcPr>
          <w:p>
            <w:pPr>
              <w:spacing w:after="0"/>
              <w:rPr>
                <w:sz w:val="16"/>
                <w:szCs w:val="16"/>
                <w:color w:val="auto"/>
              </w:rPr>
            </w:pPr>
          </w:p>
        </w:tc>
        <w:tc>
          <w:tcPr>
            <w:tcW w:w="300" w:type="dxa"/>
            <w:vAlign w:val="bottom"/>
          </w:tcPr>
          <w:p>
            <w:pPr>
              <w:ind w:left="60"/>
              <w:spacing w:after="0" w:line="185" w:lineRule="exact"/>
              <w:rPr>
                <w:sz w:val="20"/>
                <w:szCs w:val="20"/>
                <w:color w:val="auto"/>
              </w:rPr>
            </w:pPr>
            <w:r>
              <w:rPr>
                <w:rFonts w:ascii="Times New Roman" w:cs="Times New Roman" w:eastAsia="Times New Roman" w:hAnsi="Times New Roman"/>
                <w:sz w:val="17"/>
                <w:szCs w:val="17"/>
                <w:color w:val="auto"/>
              </w:rPr>
              <w:t>55</w:t>
            </w:r>
          </w:p>
        </w:tc>
        <w:tc>
          <w:tcPr>
            <w:tcW w:w="100" w:type="dxa"/>
            <w:vAlign w:val="bottom"/>
            <w:vMerge w:val="continue"/>
          </w:tcPr>
          <w:p>
            <w:pPr>
              <w:spacing w:after="0"/>
              <w:rPr>
                <w:sz w:val="16"/>
                <w:szCs w:val="16"/>
                <w:color w:val="auto"/>
              </w:rPr>
            </w:pPr>
          </w:p>
        </w:tc>
        <w:tc>
          <w:tcPr>
            <w:tcW w:w="60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Mr. Holtzman has served as a member of our Board of Directors since July 14, 2022.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Holtzman has served as Principal at Ocean 14 Capital, a private equity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fund focused on the Blue Economy, since December 2021. Mr. Holtzman has also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served as Investments Principal at Pontos Aqua, LLC, which provides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advisory services in the global seafood and aquaculture space, since June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Holtzman is a founding officer of Stronger America through Seafood,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strives to increase the production of healthy, sustainable, and affordable seafood in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United States. Mr. Holtzman previously served as the Vice Chairman of Capitol Peak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Asset Management, which focused on infrastructure projects and companies in Rural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America. Prior to Capitol Peak, Mr. Holtzman was appointed by President Obama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Senior Advisor to the United States Secretary of Agriculture. From 2009 to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Holtzman advised the Secretary on the development of new public-private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partnerships, aquaculture, trade, biotechnology, and international food security.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also served as Acting Deputy Under Secretary for Farm and Foreign Agriculture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Services and as Acting Deputy Under Secretary of Marketing and Regulatory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Programs.  In  these  roles,  Mr.  Holtzman  represented  the  United  States  in  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negotiations with the Peoples Republic of China as a four-time Delegate on the Joint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Committee on Commerce and Trade, and he was regularly involved with a multitude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international trade issues, trade missions, and trade negotiations. He also served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United States Chairman of the North American Biotechnology Initiative,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includes  the  United</w:t>
            </w:r>
          </w:p>
        </w:tc>
        <w:tc>
          <w:tcPr>
            <w:tcW w:w="4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States,  Canada,  and  Mexico.  Prior  to  this  appointment,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Holtzman, an attorney for over 25 years, provided strategic consulting to multi-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national companies related to transportation infrastructure, project finance, public-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private partnerships, health care, and government procurement. He also served as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City Attorney and Special Counsel to several municipalities. Mr. Holtzman has served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a Board Member of The Arcadia Center for Sustainable Food and Agriculture,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Founding Chairman of Adopt-A-Classroom, and he has sat on the Global Advisory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Council of Secure System. Mr. Holtzman received his undergraduate degree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Agricultural Economics from the University of Florida’s Institute of Food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Agricultural Sciences and his law degree from the University of Miami. We believe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that Mr. Holtzman’s qualifications to sit on the Board include his extensive experience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 finance, government relations and international trade.</w:t>
            </w:r>
          </w:p>
        </w:tc>
        <w:tc>
          <w:tcPr>
            <w:tcW w:w="0" w:type="dxa"/>
            <w:vAlign w:val="bottom"/>
          </w:tcPr>
          <w:p>
            <w:pPr>
              <w:spacing w:after="0"/>
              <w:rPr>
                <w:sz w:val="1"/>
                <w:szCs w:val="1"/>
                <w:color w:val="auto"/>
              </w:rPr>
            </w:pPr>
          </w:p>
        </w:tc>
      </w:tr>
      <w:tr>
        <w:trPr>
          <w:trHeight w:val="375"/>
        </w:trPr>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Armon Vakili</w:t>
            </w:r>
          </w:p>
        </w:tc>
        <w:tc>
          <w:tcPr>
            <w:tcW w:w="64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33  Mr. Vakili has served as a member of our Board of Directors since November 5,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Vakili has served as Vice President of Mergers, Acquisitions, and Partnerships 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Green Thumb since 2017 and is involved in all external investments and strategic</w:t>
            </w:r>
          </w:p>
        </w:tc>
        <w:tc>
          <w:tcPr>
            <w:tcW w:w="0" w:type="dxa"/>
            <w:vAlign w:val="bottom"/>
          </w:tcPr>
          <w:p>
            <w:pPr>
              <w:spacing w:after="0"/>
              <w:rPr>
                <w:sz w:val="1"/>
                <w:szCs w:val="1"/>
                <w:color w:val="auto"/>
              </w:rPr>
            </w:pPr>
          </w:p>
        </w:tc>
      </w:tr>
    </w:tbl>
    <w:p>
      <w:pPr>
        <w:jc w:val="both"/>
        <w:ind w:left="2400" w:right="599"/>
        <w:spacing w:after="0" w:line="261" w:lineRule="auto"/>
        <w:rPr>
          <w:sz w:val="20"/>
          <w:szCs w:val="20"/>
          <w:color w:val="auto"/>
        </w:rPr>
      </w:pPr>
      <w:r>
        <w:rPr>
          <w:rFonts w:ascii="Times New Roman" w:cs="Times New Roman" w:eastAsia="Times New Roman" w:hAnsi="Times New Roman"/>
          <w:sz w:val="17"/>
          <w:szCs w:val="17"/>
          <w:color w:val="auto"/>
        </w:rPr>
        <w:t>developments. Prior to joining Green Thumb, Mr. Vakili was part of the M&amp;A/advisory teams at Stericycle Inc. and KPMG US LLP. Mr. Vakili earned his Bachelor of Arts at Indiana University. We believe that Mr. Vakili’s qualifications to sit on the Board include his experience managing strategic transactions and partnerships in the cannabis and hemp industries.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Age</w:t>
            </w:r>
          </w:p>
        </w:tc>
        <w:tc>
          <w:tcPr>
            <w:tcW w:w="604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Peter S. Shapiro</w:t>
            </w:r>
          </w:p>
        </w:tc>
        <w:tc>
          <w:tcPr>
            <w:tcW w:w="100" w:type="dxa"/>
            <w:vAlign w:val="bottom"/>
            <w:vMerge w:val="continue"/>
          </w:tcPr>
          <w:p>
            <w:pPr>
              <w:spacing w:after="0"/>
              <w:rPr>
                <w:sz w:val="16"/>
                <w:szCs w:val="16"/>
                <w:color w:val="auto"/>
              </w:rPr>
            </w:pPr>
          </w:p>
        </w:tc>
        <w:tc>
          <w:tcPr>
            <w:tcW w:w="300" w:type="dxa"/>
            <w:vAlign w:val="bottom"/>
          </w:tcPr>
          <w:p>
            <w:pPr>
              <w:ind w:left="60"/>
              <w:spacing w:after="0" w:line="185" w:lineRule="exact"/>
              <w:rPr>
                <w:sz w:val="20"/>
                <w:szCs w:val="20"/>
                <w:color w:val="auto"/>
              </w:rPr>
            </w:pPr>
            <w:r>
              <w:rPr>
                <w:rFonts w:ascii="Times New Roman" w:cs="Times New Roman" w:eastAsia="Times New Roman" w:hAnsi="Times New Roman"/>
                <w:sz w:val="17"/>
                <w:szCs w:val="17"/>
                <w:color w:val="auto"/>
              </w:rPr>
              <w:t>52</w:t>
            </w:r>
          </w:p>
        </w:tc>
        <w:tc>
          <w:tcPr>
            <w:tcW w:w="100" w:type="dxa"/>
            <w:vAlign w:val="bottom"/>
            <w:vMerge w:val="continue"/>
          </w:tcPr>
          <w:p>
            <w:pPr>
              <w:spacing w:after="0"/>
              <w:rPr>
                <w:sz w:val="16"/>
                <w:szCs w:val="16"/>
                <w:color w:val="auto"/>
              </w:rPr>
            </w:pPr>
          </w:p>
        </w:tc>
        <w:tc>
          <w:tcPr>
            <w:tcW w:w="6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Shapiro has served as a member of our Board of Directors since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2025. Mr. Shapiro is an independent music entrepreneur who has owned and operated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celebrated venues Brooklyn Bowl, Brooklyn Bowl Las Vegas, Brooklyn Bowl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Nashville, Brooklyn Bowl Philadelphia, The Capitol Theatre, Bearsville Theater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Wetlands Preserve. Mr. Shapiro partnered exclusively with the family of Jerry Garcia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to open Garcia’s at The Capitol Theatre, to be followed by additional clubs in Chicago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and New York City. In 2015, he produced </w:t>
            </w:r>
            <w:r>
              <w:rPr>
                <w:rFonts w:ascii="Times New Roman" w:cs="Times New Roman" w:eastAsia="Times New Roman" w:hAnsi="Times New Roman"/>
                <w:sz w:val="17"/>
                <w:szCs w:val="17"/>
                <w:i w:val="1"/>
                <w:iCs w:val="1"/>
                <w:color w:val="auto"/>
              </w:rPr>
              <w:t>Fare Thee Well: Celebrating 50 Years of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Grateful Dead</w:t>
            </w:r>
            <w:r>
              <w:rPr>
                <w:rFonts w:ascii="Times New Roman" w:cs="Times New Roman" w:eastAsia="Times New Roman" w:hAnsi="Times New Roman"/>
                <w:sz w:val="17"/>
                <w:szCs w:val="17"/>
                <w:color w:val="auto"/>
              </w:rPr>
              <w:t>, at Levi’s Stadium in Santa Clara, CA and Chicago’s Soldier Field.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Shapiro founded Lockn’, a four-day music and camping festival held in Nelson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County, Virginia as well as Jazz &amp; Colors, an experiential music event held in Central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Park and the Metropolitan Museum of Art. He originated the Rock and Roll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Playhouse, developing the family concert series into a weekly national concert series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that takes place in over 25 markets across America. In 2024, Peter coproduced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sold out Soulshine Benefit at Madison Square Garden raising money for hurricane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relief in North Carolina and Florida. His other endeavors include the IMAX concert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films </w:t>
            </w:r>
            <w:r>
              <w:rPr>
                <w:rFonts w:ascii="Times New Roman" w:cs="Times New Roman" w:eastAsia="Times New Roman" w:hAnsi="Times New Roman"/>
                <w:sz w:val="17"/>
                <w:szCs w:val="17"/>
                <w:i w:val="1"/>
                <w:iCs w:val="1"/>
                <w:color w:val="auto"/>
              </w:rPr>
              <w:t>U2 3D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All Access</w:t>
            </w:r>
            <w:r>
              <w:rPr>
                <w:rFonts w:ascii="Times New Roman" w:cs="Times New Roman" w:eastAsia="Times New Roman" w:hAnsi="Times New Roman"/>
                <w:sz w:val="17"/>
                <w:szCs w:val="17"/>
                <w:color w:val="auto"/>
              </w:rPr>
              <w:t>, the Jammys awards show, the Green Apple Earth Day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Festival, and Easy Rider Live</w:t>
            </w:r>
            <w:r>
              <w:rPr>
                <w:rFonts w:ascii="Times New Roman" w:cs="Times New Roman" w:eastAsia="Times New Roman" w:hAnsi="Times New Roman"/>
                <w:sz w:val="17"/>
                <w:szCs w:val="17"/>
                <w:i w:val="1"/>
                <w:iCs w:val="1"/>
                <w:color w:val="auto"/>
              </w:rPr>
              <w:t>. Billboard</w:t>
            </w:r>
            <w:r>
              <w:rPr>
                <w:rFonts w:ascii="Times New Roman" w:cs="Times New Roman" w:eastAsia="Times New Roman" w:hAnsi="Times New Roman"/>
                <w:sz w:val="17"/>
                <w:szCs w:val="17"/>
                <w:color w:val="auto"/>
              </w:rPr>
              <w:t xml:space="preserve"> has selected him multiple times for its Power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100 List of “Most Influential People in the Music Business.” Mr. Shapiro serves as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publisher of </w:t>
            </w:r>
            <w:r>
              <w:rPr>
                <w:rFonts w:ascii="Times New Roman" w:cs="Times New Roman" w:eastAsia="Times New Roman" w:hAnsi="Times New Roman"/>
                <w:sz w:val="17"/>
                <w:szCs w:val="17"/>
                <w:i w:val="1"/>
                <w:iCs w:val="1"/>
                <w:color w:val="auto"/>
              </w:rPr>
              <w:t>Relix</w:t>
            </w:r>
            <w:r>
              <w:rPr>
                <w:rFonts w:ascii="Times New Roman" w:cs="Times New Roman" w:eastAsia="Times New Roman" w:hAnsi="Times New Roman"/>
                <w:sz w:val="17"/>
                <w:szCs w:val="17"/>
                <w:color w:val="auto"/>
              </w:rPr>
              <w:t xml:space="preserve"> magazine and sits on the board of a number of civic and charitable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organizations, including: New York Public Radio, City Parks Foundation and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Rock and Roll Hall of Fame Museum. Peter also is a member of the Rock and Roll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Hall’s nominating committee. From 2019 to 2024, he served as Chairman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HeadCount,  one  of  the  leading  youth  voter  engagement  and  participation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organizations in America, and currently sits on its Board of Directors. He earned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bachelor of arts degree from Northwestern University. We believe that Mr. Shapiro’s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qualifications to sit on the Board include his extensive background in starting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managing businesses and his experience with branding and entertainment.</w:t>
            </w:r>
          </w:p>
        </w:tc>
        <w:tc>
          <w:tcPr>
            <w:tcW w:w="0" w:type="dxa"/>
            <w:vAlign w:val="bottom"/>
          </w:tcPr>
          <w:p>
            <w:pPr>
              <w:spacing w:after="0"/>
              <w:rPr>
                <w:sz w:val="1"/>
                <w:szCs w:val="1"/>
                <w:color w:val="auto"/>
              </w:rPr>
            </w:pPr>
          </w:p>
        </w:tc>
      </w:tr>
      <w:tr>
        <w:trPr>
          <w:trHeight w:val="375"/>
        </w:trPr>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Sanjay Tolia</w:t>
            </w:r>
          </w:p>
        </w:tc>
        <w:tc>
          <w:tcPr>
            <w:tcW w:w="6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46  Mr. Tolia has served as a member of our Board of Directors since January 31,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Mr. Tolia is an entrepreneur with an institutional finance background. He began his</w:t>
            </w:r>
          </w:p>
        </w:tc>
        <w:tc>
          <w:tcPr>
            <w:tcW w:w="0" w:type="dxa"/>
            <w:vAlign w:val="bottom"/>
          </w:tcPr>
          <w:p>
            <w:pPr>
              <w:spacing w:after="0"/>
              <w:rPr>
                <w:sz w:val="1"/>
                <w:szCs w:val="1"/>
                <w:color w:val="auto"/>
              </w:rPr>
            </w:pPr>
          </w:p>
        </w:tc>
      </w:tr>
    </w:tbl>
    <w:p>
      <w:pPr>
        <w:jc w:val="both"/>
        <w:ind w:left="2400" w:right="579"/>
        <w:spacing w:after="0" w:line="258" w:lineRule="auto"/>
        <w:rPr>
          <w:sz w:val="20"/>
          <w:szCs w:val="20"/>
          <w:color w:val="auto"/>
        </w:rPr>
      </w:pPr>
      <w:r>
        <w:rPr>
          <w:rFonts w:ascii="Times New Roman" w:cs="Times New Roman" w:eastAsia="Times New Roman" w:hAnsi="Times New Roman"/>
          <w:sz w:val="17"/>
          <w:szCs w:val="17"/>
          <w:color w:val="auto"/>
        </w:rPr>
        <w:t>career at several prominent Chicago-based funds before founding Bengal Capital, a large equity derivatives hedge fund that focuses on health and wellness markets. Mr. Tolia has served as founder of Marine Layer Capital LLC since March 2023, which creates and trades structured notes and derivative products for wealth management clients. He also served as Senior Advisor to Leaf VIP from April 2020 through March 2023, as founder of Bengal Catalyst Fund LP from January 2018 through March 2023, and as founder and managing director of Bengal Capital LLC from March 2007 through December 2018. Mr. Tolia helped to create and manage several industry-leading brands and products in the nascent wellness space and has a deep track record of taking companies public, mergers and acquisitions, restructuring, and corporate strategy. He has served on the boards of directors of Sunday Goods &amp; The Pharm since November 2020 and Jetty Extracts, a leading consumer packaged goods company in the health and wellness sector that was acquired by Canopy Growth, from January 2018 through June 2024. He earned a bachelor’s degree in economics from The University of Michigan. We believe that Mr. Tolia’s qualifications to sit on the Board include his background in capital markets and mergers and acquisitions transactions and his experience in the cannabis industry.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20" w:type="dxa"/>
            <w:vAlign w:val="bottom"/>
            <w:gridSpan w:val="3"/>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700" w:type="dxa"/>
            <w:vAlign w:val="bottom"/>
          </w:tcPr>
          <w:p>
            <w:pPr>
              <w:spacing w:after="0"/>
              <w:rPr>
                <w:sz w:val="18"/>
                <w:szCs w:val="18"/>
                <w:color w:val="auto"/>
              </w:rPr>
            </w:pPr>
          </w:p>
        </w:tc>
        <w:tc>
          <w:tcPr>
            <w:tcW w:w="38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gridSpan w:val="3"/>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Timothy Mahoney</w:t>
            </w:r>
          </w:p>
        </w:tc>
        <w:tc>
          <w:tcPr>
            <w:tcW w:w="100" w:type="dxa"/>
            <w:vAlign w:val="bottom"/>
            <w:vMerge w:val="continue"/>
          </w:tcPr>
          <w:p>
            <w:pPr>
              <w:spacing w:after="0"/>
              <w:rPr>
                <w:sz w:val="16"/>
                <w:szCs w:val="16"/>
                <w:color w:val="auto"/>
              </w:rPr>
            </w:pPr>
          </w:p>
        </w:tc>
        <w:tc>
          <w:tcPr>
            <w:tcW w:w="3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68</w:t>
            </w:r>
          </w:p>
        </w:tc>
        <w:tc>
          <w:tcPr>
            <w:tcW w:w="100" w:type="dxa"/>
            <w:vAlign w:val="bottom"/>
            <w:vMerge w:val="continue"/>
          </w:tcPr>
          <w:p>
            <w:pPr>
              <w:spacing w:after="0"/>
              <w:rPr>
                <w:sz w:val="16"/>
                <w:szCs w:val="16"/>
                <w:color w:val="auto"/>
              </w:rPr>
            </w:pPr>
          </w:p>
        </w:tc>
        <w:tc>
          <w:tcPr>
            <w:tcW w:w="604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Mr. Mahoney is the owner of Caribou LLC, a strategic advisory firm he founded in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2009 that consults with CEOs and their boards on managing systemic risk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maximizing shareholder value through the identification and capture of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opportunities. In March 2013, Mr. Mahoney also founded Cannae Policy Group,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Washington D.C. based public policy company, where he serves as a Chief Political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Strategist advising companies, associations, and governments on complex public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policy</w:t>
            </w:r>
          </w:p>
        </w:tc>
        <w:tc>
          <w:tcPr>
            <w:tcW w:w="1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issues.  Mr.  Mahoney</w:t>
            </w:r>
          </w:p>
        </w:tc>
        <w:tc>
          <w:tcPr>
            <w:tcW w:w="3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served  as  a  U.S.  Representative  for  Florida’s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line="209" w:lineRule="exact"/>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congressional district from January 2007 to January 2009. From 1998 to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Mr. Mahoney was a Co-Founder of vFinance, Inc., which subsequently acquired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National Holdings Corporation. National Holdings Corporation has grown to become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one of America’s leading middle-market investment brokerage firms, managing more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than $5 billion of client assets with over 50 offices worldwide. Mr. Mahoney has also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been involved with companies in the cannabis industry in varying capacities as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private investor, advisor and consultant, including Atlas Biotechnologies, Inc.,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licensed medical cannabis grower operating in Canada and the EU, and Volcanic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Green Holdings, Inc., a holding company for a Colombian based outdoor cultivation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cannabis grower and CBD extracts producer. Mr. Mahoney holds a BA degree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Computer Science and Business from West Virginia University and an MBA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George Washington University. Mr. Mahoney has served as a Director of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Company since December 2020. We believe that Mr. Mahoney’s qualifications to sit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on the Board include his background in the strategic advisory and consulting fields,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his knowledge and experience with the legislative process of Congress and his diverse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experience and knowledge in corporate governance.</w:t>
            </w:r>
          </w:p>
        </w:tc>
        <w:tc>
          <w:tcPr>
            <w:tcW w:w="0" w:type="dxa"/>
            <w:vAlign w:val="bottom"/>
          </w:tcPr>
          <w:p>
            <w:pPr>
              <w:spacing w:after="0"/>
              <w:rPr>
                <w:sz w:val="1"/>
                <w:szCs w:val="1"/>
                <w:color w:val="auto"/>
              </w:rPr>
            </w:pPr>
          </w:p>
        </w:tc>
      </w:tr>
      <w:tr>
        <w:trPr>
          <w:trHeight w:val="375"/>
        </w:trPr>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6460" w:type="dxa"/>
            <w:vAlign w:val="bottom"/>
            <w:gridSpan w:val="6"/>
          </w:tcPr>
          <w:p>
            <w:pPr>
              <w:jc w:val="right"/>
              <w:ind w:right="40"/>
              <w:spacing w:after="0"/>
              <w:rPr>
                <w:sz w:val="20"/>
                <w:szCs w:val="20"/>
                <w:color w:val="auto"/>
              </w:rPr>
            </w:pPr>
            <w:r>
              <w:rPr>
                <w:rFonts w:ascii="Times New Roman" w:cs="Times New Roman" w:eastAsia="Times New Roman" w:hAnsi="Times New Roman"/>
                <w:sz w:val="17"/>
                <w:szCs w:val="17"/>
                <w:color w:val="auto"/>
              </w:rPr>
              <w:t>45  Mr. Varier has served as a member of our Board of Directors since June 2020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currently chairs the Audit Committee. Mr. Varier is a Managing Partner and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Manager at Arcadian Capital Management, LLC, a Los Angeles-based venture 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firm, where he also serves as its Chief Investment Officer. Since joining Arcadian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2018, he has played a key role in raising capital for its two venture funds and has led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investments in more than 40 companies. He also oversees the firm’s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management activities. The firm has been a leading early-stage investor to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cannabis and hemp industries, primarily focused on ancillary businesses. Mr. Varier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has over 20 years of experience in financial services across investment banking,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venture capital, and strategic advisory, and he has been involved in over $6 billion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completed capital markets and M&amp;A transactions. From 2016 to 2018, he founded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Varier Venture Consulting LLC, advising early-stage startups on growth and 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raising strategies. Previously, he was an investment banker at Cowen &amp;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(2014 – 2016), where he advised clients in the biotechnology sector. From 2013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2014, he served as a Senior Investment Analyst at Health Care REIT (now Welltower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REIT),</w:t>
            </w:r>
          </w:p>
        </w:tc>
        <w:tc>
          <w:tcPr>
            <w:tcW w:w="1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leading healthcare</w:t>
            </w:r>
          </w:p>
        </w:tc>
        <w:tc>
          <w:tcPr>
            <w:tcW w:w="3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real estate investment trust. Earlier in his career,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Mr. Varier worked in the investment banking groups at BofA Merrill Lynch (2011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2013), where he focused on healthcare, and at Morgan Keegan (2010), where he</w:t>
            </w:r>
          </w:p>
        </w:tc>
        <w:tc>
          <w:tcPr>
            <w:tcW w:w="0" w:type="dxa"/>
            <w:vAlign w:val="bottom"/>
          </w:tcPr>
          <w:p>
            <w:pPr>
              <w:spacing w:after="0"/>
              <w:rPr>
                <w:sz w:val="1"/>
                <w:szCs w:val="1"/>
                <w:color w:val="auto"/>
              </w:rPr>
            </w:pPr>
          </w:p>
        </w:tc>
      </w:tr>
    </w:tbl>
    <w:p>
      <w:pPr>
        <w:jc w:val="both"/>
        <w:ind w:left="2400" w:right="579"/>
        <w:spacing w:after="0" w:line="260" w:lineRule="auto"/>
        <w:rPr>
          <w:sz w:val="20"/>
          <w:szCs w:val="20"/>
          <w:color w:val="auto"/>
        </w:rPr>
      </w:pPr>
      <w:r>
        <w:rPr>
          <w:rFonts w:ascii="Times New Roman" w:cs="Times New Roman" w:eastAsia="Times New Roman" w:hAnsi="Times New Roman"/>
          <w:sz w:val="17"/>
          <w:szCs w:val="17"/>
          <w:color w:val="auto"/>
        </w:rPr>
        <w:t>supported transactions across multiple sectors. He earned a B.A. in Economics with a focus in Business Administration from the University of Texas at Austin and an MBA in Finance and Investment Management from the University of North Carolina at Chapel Hill’s Kenan-Flagler Business School. We believe that Mr. Varier’s qualifications to sit on the Board include his extensive capital markets experience, knowledge of the cannabis industry, as well as his experience working with cannabis companies as an investor, mentor, advisor and consultant.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currently consists of seven directors. The Board has determined that Max Holtzman, Timothy Mahoney, Peter S. Shapiro, Sanjay Tolia and Krishnan Varier are all “Independent” directors under the Nasdaq listing standards. Richard Drexler resigned as a member of the Board on January 31, 2025, and Raymond Chang and I-Tseng Jenny Chan resigned as members of the Board on November 5, 2024. Leonard Sokolow resigned from the Board effective May 17, 2024. Guichao Hua served on our Board until our Annual Meeting of Stockholders held January 8, 2024, at which time I-Tseng Jenny Cheng was elected to the Board.</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Board currently has three standing committees consisting of: the Nominating and Corporate Governance Committee, the Compensation Committee, and the Audit Committee. No member of the Audit, Compensation or Nominating and Corporate Governance Committee is an employee of the Company or its subsidiaries, and all are currently independent as defined by the Nasdaq listing standards.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xml:space="preserve"> Please note that the information contained on the Company website is not incorporated by reference in, or considered to be a part of, this proxy statement.</w:t>
      </w:r>
    </w:p>
    <w:p>
      <w:pPr>
        <w:spacing w:after="0" w:line="9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current members of the Committees are identified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Nominating</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and Corporate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Audit</w:t>
            </w: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Shapiro</w:t>
            </w: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Sanjay Tolia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 (Chair)</w:t>
            </w:r>
          </w:p>
        </w:tc>
      </w:tr>
      <w:tr>
        <w:trPr>
          <w:trHeight w:val="40"/>
        </w:trPr>
        <w:tc>
          <w:tcPr>
            <w:tcW w:w="4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current members of the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Governance Committee are Mr. Holtzman, who chairs the committee, Mr. Mahoney, Mr. Shapiro and Mr. Varier. Mr. Shapiro joined the Compensation Committee on March 19, 2025. Each of these directors is independent as defined under applicable Nasdaq listing requirements. This Committee’s responsibilities include the selection of potential candidates for the Board.</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current members of the Compensation Committee are Mr. Mahoney,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chairs the committee, and Mr. Holtzman. Both of these directors are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9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current members of the Audit Committee are Mr. Varier, who chairs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Mr. Holtzman, Mr. Tolia and Mr. Mahoney. Mr. Sokolow resigned from the Audit Committee on May 17, 2024, and Mr. Holtzman and Mr. Tolia joined the Audit Committee on July 9, 2024 and March 19, 2025, respectively. The Board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has determined that all members of the Audit Committee satisfy the financial literacy requirements of the Nasdaq listing standards and are independent as defined under the Nasdaq listing requirements and applicable Securities and Exchange Commission (“SEC”) rules. In addition, the Board has determined that Mr. Varier qualifies as an “Audit Committee Financial Expert” as defined under SEC rules. The Audit Committee’s primary responsibility is to ensure the accuracy and effectiveness of the audits of our Company’s financial statements by our independent registered public accountants. Its duties include, among other things:</w:t>
      </w:r>
    </w:p>
    <w:p>
      <w:pPr>
        <w:spacing w:after="0" w:line="106" w:lineRule="exact"/>
        <w:rPr>
          <w:sz w:val="20"/>
          <w:szCs w:val="20"/>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the independence of its members from our management;</w:t>
      </w:r>
    </w:p>
    <w:p>
      <w:pPr>
        <w:spacing w:after="0" w:line="67"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the scope and results of their audit;</w:t>
      </w:r>
    </w:p>
    <w:p>
      <w:pPr>
        <w:spacing w:after="0" w:line="34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audit and permissible non-audit services to be performed by our independent registered public accounting firm;</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our accounting principles, accounting policies, financial and accounting controls, and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by our board of directors of our code of business conduct and our disclosure controls and procedures;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and/or anonymous submission of concerns regarding accounting, internal controls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related party transactions.</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Committee’s procedures for the pre-approval of audit and permitted non-audit services are described in “Item 2: Ratification of the Auditor Appointment.” For more information on the Audit Committee, refer to the “Report of the Audit Committee” included elsewhere herein.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Number of Meetings of the Board of Directors and Attendance in 2024</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During 2024, our Board held twenty meetings and acted by written consent ten times, our Compensation Committee held two meetings and acted by written consent three times, our Audit Committee held five meetings and acted by written consent four times, and our Nominating and Corporate Governance Committee did not hold any meetings but acted by written consent one time. No director attended fewer than 75% of the aggregate Board meetings and Board Committee meetings on which that director served except for Ms. Chan, who attended 23% of the Board meetings during her tenure on the Board during 2024, and Mr. Drexler, who attended 71% of the Board meetings during his tenure on the Board during 2024.</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2024, Messrs. Mahoney and Holtzman each served as members of the Compensation Committee. During 2024, no member of the Compensation Committee, was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the availability of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2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2220 Hicks Road, Suite 210, Rolling Meadows, Illinois 60008, Attn: Corporate Secretary.</w:t>
      </w:r>
    </w:p>
    <w:p>
      <w:pPr>
        <w:spacing w:after="0" w:line="32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 Messrs. Kovler and Vakili were recommended to the Nominating and Corporate Governance Committee by a securityholder. Messrs. Shapiro and Tolia were recommended to the Nominating and Corporate Governance Committee by our Interim Chief Executive Officer.</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Combining Chairman and Chief Executive Officer Roles. </w:t>
      </w:r>
      <w:r>
        <w:rPr>
          <w:rFonts w:ascii="Times New Roman" w:cs="Times New Roman" w:eastAsia="Times New Roman" w:hAnsi="Times New Roman"/>
          <w:sz w:val="17"/>
          <w:szCs w:val="17"/>
          <w:color w:val="auto"/>
        </w:rPr>
        <w:t>Our Board of Directors is committed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 of independence from management and to the highest standards of corporate governance. All of our directors other than Messrs. Kovler and Vakili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has no bearing on the ethical integrity of the directors.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Oversight of Risk</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12"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The Audit Committee maintains initial oversight over risks related to the integrity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3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 Board. </w:t>
      </w:r>
      <w:r>
        <w:rPr>
          <w:rFonts w:ascii="Times New Roman" w:cs="Times New Roman" w:eastAsia="Times New Roman" w:hAnsi="Times New Roman"/>
          <w:sz w:val="17"/>
          <w:szCs w:val="17"/>
          <w:color w:val="auto"/>
        </w:rPr>
        <w:t>At its regularly scheduled meetings, the Board generally receives several reports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Outside Directors</w:t>
      </w:r>
    </w:p>
    <w:p>
      <w:pPr>
        <w:spacing w:after="0" w:line="15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Annual Cash Compensation. </w:t>
      </w:r>
      <w:r>
        <w:rPr>
          <w:rFonts w:ascii="Times New Roman" w:cs="Times New Roman" w:eastAsia="Times New Roman" w:hAnsi="Times New Roman"/>
          <w:sz w:val="17"/>
          <w:szCs w:val="17"/>
          <w:color w:val="auto"/>
        </w:rPr>
        <w:t>Each of the Company’s non-employee directors receives an annual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retainer of $24,000, payable in four quarterly installments. In addition, the following Committee retainer amounts are payable to Committee members.</w:t>
      </w:r>
    </w:p>
    <w:p>
      <w:pPr>
        <w:spacing w:after="0" w:line="9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Chair receives an annual retainer of $5,000 per year, while Audit Committee members are entitled to receive an annual retainer of $1,000. The annual retainers are paid in four quarterly installments and are in addition to the annual cash retainer for non-employee directors described above.</w:t>
      </w:r>
    </w:p>
    <w:p>
      <w:pPr>
        <w:spacing w:after="0" w:line="85"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Compensation Committee Chair receives an annual retainer of $5,000 per year, while Compensation Committee members are entitled to receive an annual retainer of $1,000. The annual retainers are paid in four quarterly installments and are in addition to the annual cash retainer for non-employee directors described above.</w:t>
      </w:r>
    </w:p>
    <w:p>
      <w:pPr>
        <w:spacing w:after="0" w:line="31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Chair receives an annual retainer of $5,000 per year, while Nominating and Corporate Governance Committee members are entitled to receive an annual retainer of $1,000. The annual retainers are paid in four quarterly installments and are in addition to the annual cash retainer for non-employee directors described above.</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Stock Options and Share-Based Awards. </w:t>
      </w:r>
      <w:r>
        <w:rPr>
          <w:rFonts w:ascii="Times New Roman" w:cs="Times New Roman" w:eastAsia="Times New Roman" w:hAnsi="Times New Roman"/>
          <w:sz w:val="17"/>
          <w:szCs w:val="17"/>
          <w:color w:val="auto"/>
        </w:rPr>
        <w:t>Following initial election to the Company’s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directors are eligible to receive restricted stock units as determined by the Board.</w:t>
      </w:r>
    </w:p>
    <w:p>
      <w:pPr>
        <w:spacing w:after="0" w:line="7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89"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Non-Equity Incentive Plan Compensation. </w:t>
      </w:r>
      <w:r>
        <w:rPr>
          <w:rFonts w:ascii="Times New Roman" w:cs="Times New Roman" w:eastAsia="Times New Roman" w:hAnsi="Times New Roman"/>
          <w:sz w:val="17"/>
          <w:szCs w:val="17"/>
          <w:color w:val="auto"/>
        </w:rPr>
        <w:t>We do not provide Non-Equity Incentive Compensation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directors.</w:t>
      </w:r>
    </w:p>
    <w:p>
      <w:pPr>
        <w:spacing w:after="0" w:line="7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Pension Benefits. </w:t>
      </w:r>
      <w:r>
        <w:rPr>
          <w:rFonts w:ascii="Times New Roman" w:cs="Times New Roman" w:eastAsia="Times New Roman" w:hAnsi="Times New Roman"/>
          <w:sz w:val="17"/>
          <w:szCs w:val="17"/>
          <w:color w:val="auto"/>
        </w:rPr>
        <w:t>We do not have a pension plan and therefore, do not offer any such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to our directors.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Outside Directors Compensation Table for 2024</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table below provides compensation information for the year ended December 31, 2024 for each non-employee member of our Board of Directors. Guichao Hua served on the Board of Directors until our Annual Meeting of Stockholders held on January 8, 2024, at which point I-Tseng Jenny Chan was elected to the Board of Directors. Leonard Sokolow resigned from the Board on May 17, 2024. Raymond Chang and I-Tseng Jenny Chan resigned from the Board on November 5, 2024, immediately following which Benjamin Kovler, Armon Vakili and Richard Drexler were appointed to the Board. Mr. Drexler resigned from the Board on January 31, 2025. Peter Shapiro and Sanjay Tolia joined the Board on January 31, 2025 and thus did not receive compensation for 2024.</w:t>
      </w:r>
    </w:p>
    <w:p>
      <w:pPr>
        <w:spacing w:after="0" w:line="35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Change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Value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2"/>
              </w:rPr>
              <w:t>Fees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60" w:type="dxa"/>
            <w:vAlign w:val="bottom"/>
          </w:tcPr>
          <w:p>
            <w:pPr>
              <w:spacing w:after="0"/>
              <w:rPr>
                <w:sz w:val="18"/>
                <w:szCs w:val="18"/>
                <w:color w:val="auto"/>
              </w:rPr>
            </w:pPr>
          </w:p>
        </w:tc>
        <w:tc>
          <w:tcPr>
            <w:tcW w:w="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5"/>
              </w:rPr>
              <w:t>Paid In</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89"/>
              </w:rPr>
              <w:t>Awards</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(2)(3)</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000" w:type="dxa"/>
            <w:vAlign w:val="bottom"/>
            <w:gridSpan w:val="3"/>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5"/>
              </w:rPr>
              <w:t>Incentive Plan</w:t>
            </w:r>
          </w:p>
        </w:tc>
        <w:tc>
          <w:tcPr>
            <w:tcW w:w="106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0"/>
              </w:rPr>
              <w:t>Cash</w:t>
            </w:r>
            <w:r>
              <w:rPr>
                <w:rFonts w:ascii="Times New Roman" w:cs="Times New Roman" w:eastAsia="Times New Roman" w:hAnsi="Times New Roman"/>
                <w:sz w:val="18"/>
                <w:szCs w:val="18"/>
                <w:b w:val="1"/>
                <w:bCs w:val="1"/>
                <w:color w:val="auto"/>
                <w:w w:val="90"/>
                <w:vertAlign w:val="superscript"/>
              </w:rPr>
              <w:t>(1)</w:t>
            </w:r>
          </w:p>
        </w:tc>
        <w:tc>
          <w:tcPr>
            <w:tcW w:w="5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5"/>
              </w:rPr>
              <w:t>Compensation</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2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4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3"/>
        </w:trPr>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82"/>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53,917</w:t>
            </w:r>
          </w:p>
        </w:tc>
        <w:tc>
          <w:tcPr>
            <w:tcW w:w="1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127,561</w:t>
            </w:r>
          </w:p>
        </w:tc>
        <w:tc>
          <w:tcPr>
            <w:tcW w:w="260" w:type="dxa"/>
            <w:vAlign w:val="bottom"/>
          </w:tcPr>
          <w:p>
            <w:pPr>
              <w:spacing w:after="0"/>
              <w:rPr>
                <w:sz w:val="20"/>
                <w:szCs w:val="20"/>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181,519</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56,958</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130,603</w:t>
            </w: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187,561</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I-Tseng Jenny Chan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Armon Vakili</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4,000</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111,500</w:t>
            </w: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115,500</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Richard Drexler</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4,000</w:t>
            </w:r>
          </w:p>
        </w:tc>
        <w:tc>
          <w:tcPr>
            <w:tcW w:w="1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111,500</w:t>
            </w:r>
          </w:p>
        </w:tc>
        <w:tc>
          <w:tcPr>
            <w:tcW w:w="260" w:type="dxa"/>
            <w:vAlign w:val="bottom"/>
          </w:tcPr>
          <w:p>
            <w:pPr>
              <w:spacing w:after="0"/>
              <w:rPr>
                <w:sz w:val="20"/>
                <w:szCs w:val="20"/>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115,500</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57,167</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129,757</w:t>
            </w: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186,924</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19,720</w:t>
            </w:r>
          </w:p>
        </w:tc>
        <w:tc>
          <w:tcPr>
            <w:tcW w:w="1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16,232</w:t>
            </w:r>
          </w:p>
        </w:tc>
        <w:tc>
          <w:tcPr>
            <w:tcW w:w="260" w:type="dxa"/>
            <w:vAlign w:val="bottom"/>
          </w:tcPr>
          <w:p>
            <w:pPr>
              <w:spacing w:after="0"/>
              <w:rPr>
                <w:sz w:val="20"/>
                <w:szCs w:val="20"/>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35,952</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99" w:hanging="426"/>
        <w:spacing w:after="0" w:line="258"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 During the year ended December 31, 2024, directors elected to receive additional restricted stock units in lieu of a portion of their cash compensation. Additionally, the actual compensation paid or earned in cash also varies from the total annual cash retainer amount approved for each director for reasons including timing of service.</w:t>
      </w:r>
    </w:p>
    <w:p>
      <w:pPr>
        <w:spacing w:after="0" w:line="3" w:lineRule="exact"/>
        <w:rPr>
          <w:rFonts w:ascii="Times New Roman" w:cs="Times New Roman" w:eastAsia="Times New Roman" w:hAnsi="Times New Roman"/>
          <w:sz w:val="16"/>
          <w:szCs w:val="16"/>
          <w:color w:val="auto"/>
        </w:rPr>
      </w:pPr>
    </w:p>
    <w:p>
      <w:pPr>
        <w:jc w:val="both"/>
        <w:ind w:left="1000" w:right="599" w:hanging="426"/>
        <w:spacing w:after="0" w:line="273" w:lineRule="auto"/>
        <w:tabs>
          <w:tab w:leader="none" w:pos="10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reported amounts are calculated in accordance with the provisions of Financial Accounting Standards Board (“FASB”) Accounting Standard Codification Topic 718, “Compensation — Stock Compensation (“ASC Topic 718”).</w:t>
      </w:r>
    </w:p>
    <w:p>
      <w:pPr>
        <w:jc w:val="both"/>
        <w:ind w:left="1000" w:right="599" w:hanging="426"/>
        <w:spacing w:after="0" w:line="256"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aggregate number of unvested restricted stock units outstanding for each non-employee director serving as of that date were as follows: 9,245 for Mr. Mahoney, 9,057 for Mr. Varier 8,569 for Mr. Holtzman, 5,000 for Mr. Vakili, and 5,000 for Mr. Drexler.</w:t>
      </w:r>
    </w:p>
    <w:p>
      <w:pPr>
        <w:jc w:val="both"/>
        <w:ind w:left="1000" w:right="579" w:hanging="426"/>
        <w:spacing w:after="0" w:line="264"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aggregate number of unexercised stock option awards outstanding for each non-employee director serving as of that date were as follows: 31 for Mr. Mahoney, 44 for Mr. Varier, and none for Messrs. Holtzman, Vakili or Drexler.</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2220 Hicks Road, Suite 210, Rolling Meadows, Illinois 60008, Attn: Corporate Secretary”. Communications by e-mail should be addressed to board@agrify.com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w:t>
      </w:r>
    </w:p>
    <w:p>
      <w:pPr>
        <w:spacing w:after="0" w:line="6" w:lineRule="exact"/>
        <w:rPr>
          <w:sz w:val="20"/>
          <w:szCs w:val="20"/>
          <w:color w:val="auto"/>
        </w:rPr>
      </w:pPr>
    </w:p>
    <w:p>
      <w:pPr>
        <w:ind w:left="840" w:hanging="266"/>
        <w:spacing w:after="0"/>
        <w:tabs>
          <w:tab w:leader="none" w:pos="8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who shall, subject to advice and assistance from the Company’s legal advisors,</w:t>
      </w:r>
    </w:p>
    <w:p>
      <w:pPr>
        <w:spacing w:after="0" w:line="14" w:lineRule="exact"/>
        <w:rPr>
          <w:rFonts w:ascii="Times New Roman" w:cs="Times New Roman" w:eastAsia="Times New Roman" w:hAnsi="Times New Roman"/>
          <w:sz w:val="17"/>
          <w:szCs w:val="17"/>
          <w:color w:val="auto"/>
        </w:rPr>
      </w:pPr>
    </w:p>
    <w:p>
      <w:pPr>
        <w:ind w:left="800" w:hanging="226"/>
        <w:spacing w:after="0"/>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primarily responsible for monitoring communications from shareholders and other interested parties and</w:t>
      </w:r>
    </w:p>
    <w:p>
      <w:pPr>
        <w:spacing w:after="0" w:line="14" w:lineRule="exact"/>
        <w:rPr>
          <w:rFonts w:ascii="Times New Roman" w:cs="Times New Roman" w:eastAsia="Times New Roman" w:hAnsi="Times New Roman"/>
          <w:sz w:val="17"/>
          <w:szCs w:val="17"/>
          <w:color w:val="auto"/>
        </w:rPr>
      </w:pPr>
    </w:p>
    <w:p>
      <w:pPr>
        <w:ind w:left="580" w:right="599" w:hanging="6"/>
        <w:spacing w:after="0" w:line="257" w:lineRule="auto"/>
        <w:tabs>
          <w:tab w:leader="none" w:pos="88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copies or summaries of such communications to the other directors as he or she considers appropriate.</w:t>
      </w: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Directors are required, absent compelling circumstances, to attend our Annual Meeting of Stockholders. All of the then-current members of the Company’s Board attended the Company’s 2024 Annual Meeting of Stockholders.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 and Business Conduct</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have an Insider Trading Policy, which governs the purchase, sale and other dispositions of our securities by directors, officers, employees, consultants and affiliates of the Company, as well as their immediate family members and other persons living in their households. The Insider Trading Policy is reasonably designed to promote compliance with insider trading laws, rules and regulations and all applicable listing standards. The Insider Trading Policy generally prohibits covered persons from directly or indirectly purchasing or selling our securities while in possession of material non-public information concerning us. The Insider Trading Policy also applies to the securities of any other companies to the extent any covered person obtains material nonpublic information regarding such other company in the course of performing services for us. The Insider Trading Policy requires pre-approval of any transaction related to our securities by covered persons.</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Anti-Hedging Policies</w:t>
      </w:r>
    </w:p>
    <w:p>
      <w:pPr>
        <w:spacing w:after="0" w:line="16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Under our insider trading policy, our directors, officers and employees who possess material nonpublic information regarding the Company may not buy or sell options, puts or calls on company securities, security futures, or other derivative securities that reference company securities and may not enter into margining or similar transactions that are designed to offset any decrease in the market value of company securities. In addition, our directors, executive officers and employees are prohibited from engaging in short sales of our stock.</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Grant Timing Practices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Although we have not adopted a formal policy pertaining to the timing of stock option grants, it is our practice not to time the grant of equity awards, including stock options, in relation to the release of material non-public information. Similarly, we do not time the disclosure of material nonpublic information for the purpose of affecting the value of executive compensation. Although we have not recently granted stock options to our named executive officers, the Compensation Committee generally approves the grant of annual equity awards for the Company’s executive officers, including each of the named executive officers, in December of each year. In special circumstances,</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including the hiring or promotion of an individual or where the Compensation Committee determines it is in the best interest of the Company, the Compensation Committee may approve grants of equity awards at other times. During the year ended December 31, 2024, we did not grant stock options or SARs to any named executive officer during any period beginning four business days before and ending one business day after the filing of any Quarterly Report on Form 10-Q, Annual Report on Form 10-K, or Current Report on Form 8-K, in each case that disclosed any material non-public information.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have adopted a clawback policy (the “Clawback Policy”) in accordance with the listing standards and rules of the Nasdaq Stock Market, that requires the Board to recoup excess compensation paid to our executive officers as a result of a financial statement restatement, regardless of any misconduct, fault or illegal activity on the part of the executive officer. The Clawback Policy applies in the case of an accounting restatement due to the material noncompliance of the Company with any financial reporting requirement under the securities laws. The Clawback Policy applies to all incentive-based compensation, which is any compensation that is granted, earned, or vested based wholly or in part upon the attainment of a financial reporting measure, received by our executive officers.</w:t>
      </w:r>
    </w:p>
    <w:p>
      <w:pPr>
        <w:spacing w:after="0" w:line="11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August 12, 2024, the Audit Committee, in consultation with management, concluded that our previously issued unaudited condensed consolidated interim financial statements as of and for the fiscal quarter ended March 31, 2024 included in our Quarterly Report on Form 10-Q for such period (the “Q1 2024 10-Q”) should no longer be relied upon. Similarly, earnings releases and investor communications describing the financial statements for the period described above should no longer be relied upon. We identified errors in the accounting for a settlement we entered into with Mack Molding Company which became effective in the first quarter of 2024. Specifically, the Q1 2024 10-Q misstated notes payable, current, notes payable, net of current, accumulated deficit and total stockholders’ equity (deficit), on the face of the unaudited condensed consolidated balance sheet as of March 31, 2024, and cost of goods sold, general and administrative expenses, gain on settlement of contingent liabilities, and interest income (expense), net, on the unaudited condensed consolidated statement of operations, for the three months ended March 31, 2024. On August 14, 2024, we filed an amendment to the Q1 2024 10-Q that restated our financial statements for the three months ended March 31, 2024 to correct the errors described above. Our Board concluded that no recoupment of erroneously awarded compensation was required pursuant to the Clawback Policy because there were no outstanding incentive-based compensation arrangements that were granted, earned, or vested, either in whole or in part, based on any financial reporting measure that was included in the Q1 2024 10-Q.</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 Reports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executive officers, directors and beneficial owners of more than 10% of our Common Stock are required under Section 16(a) of the Securities Exchange Act of 1934 to file reports of ownership and changes in ownership with the Securities and Exchange Commission. Copies of those reports must also be furnished to us. Based solely on a review of the copies of the reports furnished to us and written representations from certain reporting persons that no other reports were required, we believe that during the year ended December 31, 2024, the reporting persons complied on a timely basis with all Section 16(a) filing requirements applicable to them, other than: (i) a Form 3 filed by I-Tseng Jenny Chan filed on January 29, 2024 due to a delay in obtaining EDGAR codes, (ii) a Form 3 for Chinwei Wang filed on March 29, 2024 due to an administrative oversight by the reporting person, and (iii) Forms 4 for Raymond Chang and I-Tseng Jenny Chan filed on October 24, 2024 due to an administrative oversight by the reporting persons.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April 14, 2025,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April 14, 2025, there were 53 record holders and 1,952,014 outstanding shares of our Common Stock.</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April 14, 2025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April 14, 2025,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21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42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5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Greater than 5% Holders</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5"/>
        </w:trPr>
        <w:tc>
          <w:tcPr>
            <w:tcW w:w="5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Green Thumb Industries Inc.</w:t>
            </w:r>
            <w:r>
              <w:rPr>
                <w:rFonts w:ascii="Times New Roman" w:cs="Times New Roman" w:eastAsia="Times New Roman" w:hAnsi="Times New Roman"/>
                <w:sz w:val="20"/>
                <w:szCs w:val="20"/>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7,021,863</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color w:val="auto"/>
                <w:vertAlign w:val="superscript"/>
              </w:rPr>
              <w:t>(3)</w:t>
            </w: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75"/>
        </w:trPr>
        <w:tc>
          <w:tcPr>
            <w:tcW w:w="5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Benjamin Kovler</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15,840</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Brad Asher</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Max Holtzman</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12,089</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Timothy Mahoney</w:t>
            </w:r>
            <w:r>
              <w:rPr>
                <w:rFonts w:ascii="Times New Roman" w:cs="Times New Roman" w:eastAsia="Times New Roman" w:hAnsi="Times New Roman"/>
                <w:sz w:val="20"/>
                <w:szCs w:val="20"/>
                <w:color w:val="auto"/>
                <w:vertAlign w:val="superscript"/>
              </w:rPr>
              <w:t>(6)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12,256</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Peter S. Shapiro</w:t>
            </w:r>
            <w:r>
              <w:rPr>
                <w:rFonts w:ascii="Times New Roman" w:cs="Times New Roman" w:eastAsia="Times New Roman" w:hAnsi="Times New Roman"/>
                <w:sz w:val="20"/>
                <w:szCs w:val="20"/>
                <w:color w:val="auto"/>
                <w:vertAlign w:val="superscript"/>
              </w:rPr>
              <w:t>(7)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1,300</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Sanjay Tolia</w:t>
            </w:r>
            <w:r>
              <w:rPr>
                <w:rFonts w:ascii="Times New Roman" w:cs="Times New Roman" w:eastAsia="Times New Roman" w:hAnsi="Times New Roman"/>
                <w:sz w:val="20"/>
                <w:szCs w:val="20"/>
                <w:color w:val="auto"/>
                <w:vertAlign w:val="superscript"/>
              </w:rPr>
              <w:t>(8)</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Armon Vakili</w:t>
            </w:r>
            <w:r>
              <w:rPr>
                <w:rFonts w:ascii="Times New Roman" w:cs="Times New Roman" w:eastAsia="Times New Roman" w:hAnsi="Times New Roman"/>
                <w:sz w:val="20"/>
                <w:szCs w:val="20"/>
                <w:color w:val="auto"/>
                <w:vertAlign w:val="superscript"/>
              </w:rPr>
              <w:t>(9)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5,000</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Krishnan Varier</w:t>
            </w:r>
            <w:r>
              <w:rPr>
                <w:rFonts w:ascii="Times New Roman" w:cs="Times New Roman" w:eastAsia="Times New Roman" w:hAnsi="Times New Roman"/>
                <w:sz w:val="20"/>
                <w:szCs w:val="20"/>
                <w:color w:val="auto"/>
                <w:vertAlign w:val="superscript"/>
              </w:rPr>
              <w:t>(10)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12,960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 Directors and Executive Officers as a Group (8 persons)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42,851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jc w:val="both"/>
        <w:ind w:left="1000" w:right="579" w:hanging="6"/>
        <w:spacing w:after="0" w:line="256" w:lineRule="auto"/>
        <w:tabs>
          <w:tab w:leader="none" w:pos="1231"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actually owned as of April 14, 2025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1,952,014 shares of Common Stock outstanding as of April 14, 2025, plus the amount referenced in clause (i)(b) for such individual or group.</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in part upon an amended Schedule 13D filed jointly by RSLGH, LLC (“RSLGH”), Core Growth, LLC (“Core”), Wellness MGMT, LLC (“Wellness”), For Success Holdings Company (“For Success”), VCP23, LLC (“VCP”), GTI23, Inc. (“GTI23”), and Green Thumb. Consists of (i) 666,661 shares of common stock,</w:t>
      </w:r>
    </w:p>
    <w:p>
      <w:pPr>
        <w:jc w:val="both"/>
        <w:ind w:left="1000" w:right="579" w:hanging="6"/>
        <w:spacing w:after="0" w:line="259" w:lineRule="auto"/>
        <w:tabs>
          <w:tab w:leader="none" w:pos="127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6,169,702 shares of common stock underlying warrants that are subject to a 49.99% beneficial ownership limitation and that are exercisable within 60 days of April 14, 2025, and (iii) 185,500 shares of common stock underlying warrants that are subject to a 4.99% beneficial ownership limitation and that are exercisable within 60 days of April 14, 2025. Core is the sole member of RSLGH, Wellness is the sole member of Core, For Success is the sole member of Wellness, VCP is the sole shareholder of For Success, GTI23 is the sole member of VCP23, and Green Thumb is the sole shareholder of GTI23. The address of Green Thumb is 325 West Huron Street, Suite 700, Chicago, IL 60654.</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99" w:hanging="426"/>
        <w:spacing w:after="0" w:line="253"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2220 Hicks Road, Suite 210, Rolling Meadows, Illinois 60008.</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15,000 shares held by Mr. Kovler and (ii) 840 shares held by Mr. Kovler’s daughters.</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8,568 Restricted Stock Units that may vest within 60 days of April 14, 2025 and (ii) 3,527 Restricted Stock Units that have vested but not settled.</w:t>
      </w:r>
    </w:p>
    <w:p>
      <w:pPr>
        <w:jc w:val="both"/>
        <w:ind w:left="1000" w:right="599" w:hanging="426"/>
        <w:spacing w:after="0" w:line="256"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31 stock options that may be exercised within 60 days of April 14, 2025, (ii) 9,245 Restricted Stock Units that may vest within 60 days of April 14, 2025 and (iii) 2,987 Restricted Stock Units that have vested but not settled.</w:t>
      </w:r>
    </w:p>
    <w:p>
      <w:pPr>
        <w:ind w:left="1000" w:right="599" w:hanging="426"/>
        <w:spacing w:after="0" w:line="256"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50 shares held by Mr. Shapiro and (ii) 1,250 Restricted Stock Units that may vest within 60 days of April 14, 2025.</w:t>
      </w: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1,250 Restricted Stock Units that may vest within 60 days of April 14,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 Restricted Stock Units that may vest within 60 days of April 14, 2025.</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64"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1,097 shares held by Mr. Varier, (ii) 31 stock options that may be exercised within 60 days of April 14, 2025, (iii) 9,057 Restricted Stock Units that may vest within 60 days of April 14, 2025, and (iv) 2,782 Restricted Stock Units that have vested but not settled.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During April 2022, our Board of Directors, and on June 8, 2022, our stockholders, adopted and approved the 2022 Omnibus Plan. In January 2024 and in August 2024 our stockholders approved amendments to the 2022 Omnibus Plan. The 2022 Omnibus Plan provides for the grant of stock options, stock appreciation rights (“SARs”), restricted stock, restricted stock units, performance share awards, and other stock-based and cash-based awards to our non-employee directors, officers, employees and non-employee consultants. The aggregate number of shares of Common Stock that may be reserved and available for grant and issuance under the 2022 Omnibus Plan is 184,000 shares. Shares will be deemed to have been issued under the 2022 Omnibus Plan solely to the extent actually issued and delivered pursuant to an award. If any award expires, is cancelled, or terminates unexercised or is forfeited, the number of shares subject thereto is again available for grant under the 2022 Omnibus Plan. The 2022 Omnibus Plan will continue in effect, unless sooner terminated, until the tenth (10) anniversary of the date on which it is adopted by the Board of Directors.</w:t>
      </w:r>
    </w:p>
    <w:p>
      <w:pPr>
        <w:spacing w:after="0" w:line="11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December 18, 2020, the Company’s Board of Directors, and on January 11, 2021, the Company’s stockholders, adopted and approved the 2020 Omnibus Plan. The 2020 Omnibus Plan provided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No shares of Common Stock are reserved or available for grant and issuance under the 2020 Omnibus Plan.</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additional information regarding the above plans, see Note 12 to our audited consolidated financial statements in the Company’s Annual Report on Form 10-K for the year ended December 31, 2024, as amended.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Table</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2024 concerning the number of shares of common stock issuable under our existing equity compensation plans.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Issued Upon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Warrants,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8"/>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and Rights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Column (a))</w:t>
            </w:r>
          </w:p>
        </w:tc>
      </w:tr>
      <w:tr>
        <w:trPr>
          <w:trHeight w:val="44"/>
        </w:trPr>
        <w:tc>
          <w:tcPr>
            <w:tcW w:w="4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4"/>
        </w:trPr>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(c)</w:t>
            </w:r>
          </w:p>
        </w:tc>
      </w:tr>
      <w:tr>
        <w:trPr>
          <w:trHeight w:val="44"/>
        </w:trPr>
        <w:tc>
          <w:tcPr>
            <w:tcW w:w="4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5"/>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56.38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191"/>
        </w:trPr>
        <w:tc>
          <w:tcPr>
            <w:tcW w:w="43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 by security</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5"/>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103,083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56.38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1000" w:hanging="426"/>
        <w:spacing w:after="0" w:line="229" w:lineRule="auto"/>
        <w:tabs>
          <w:tab w:leader="none" w:pos="1000" w:val="left"/>
        </w:tabs>
        <w:numPr>
          <w:ilvl w:val="0"/>
          <w:numId w:val="51"/>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Consists of our 2022 Omnibus Plan and our 2020 Omnibus Plan.</w:t>
      </w:r>
    </w:p>
    <w:p>
      <w:pPr>
        <w:spacing w:after="0" w:line="169" w:lineRule="exact"/>
        <w:rPr>
          <w:rFonts w:ascii="Times New Roman" w:cs="Times New Roman" w:eastAsia="Times New Roman" w:hAnsi="Times New Roman"/>
          <w:sz w:val="31"/>
          <w:szCs w:val="31"/>
          <w:color w:val="auto"/>
          <w:vertAlign w:val="superscript"/>
        </w:rPr>
      </w:pPr>
    </w:p>
    <w:p>
      <w:pPr>
        <w:ind w:left="4420"/>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Agrify’s current executive officers, the year they became a named executive officer, and their principal occupations or employment for at least the past five years.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18"/>
                <w:szCs w:val="18"/>
                <w:color w:val="auto"/>
              </w:rPr>
            </w:pPr>
          </w:p>
        </w:tc>
        <w:tc>
          <w:tcPr>
            <w:tcW w:w="5460" w:type="dxa"/>
            <w:vAlign w:val="bottom"/>
          </w:tcPr>
          <w:p>
            <w:pPr>
              <w:ind w:left="23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Benjamin Kovler</w:t>
            </w:r>
          </w:p>
        </w:tc>
        <w:tc>
          <w:tcPr>
            <w:tcW w:w="100" w:type="dxa"/>
            <w:vAlign w:val="bottom"/>
            <w:vMerge w:val="continue"/>
          </w:tcPr>
          <w:p>
            <w:pPr>
              <w:spacing w:after="0"/>
              <w:rPr>
                <w:sz w:val="16"/>
                <w:szCs w:val="16"/>
                <w:color w:val="auto"/>
              </w:rPr>
            </w:pPr>
          </w:p>
        </w:tc>
        <w:tc>
          <w:tcPr>
            <w:tcW w:w="6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3"/>
              </w:rPr>
              <w:t>46</w:t>
            </w:r>
          </w:p>
        </w:tc>
        <w:tc>
          <w:tcPr>
            <w:tcW w:w="100" w:type="dxa"/>
            <w:vAlign w:val="bottom"/>
            <w:vMerge w:val="continue"/>
          </w:tcPr>
          <w:p>
            <w:pPr>
              <w:spacing w:after="0"/>
              <w:rPr>
                <w:sz w:val="16"/>
                <w:szCs w:val="16"/>
                <w:color w:val="auto"/>
              </w:rPr>
            </w:pPr>
          </w:p>
        </w:tc>
        <w:tc>
          <w:tcPr>
            <w:tcW w:w="54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of this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Proxy.</w:t>
            </w:r>
          </w:p>
        </w:tc>
        <w:tc>
          <w:tcPr>
            <w:tcW w:w="0" w:type="dxa"/>
            <w:vAlign w:val="bottom"/>
          </w:tcPr>
          <w:p>
            <w:pPr>
              <w:spacing w:after="0"/>
              <w:rPr>
                <w:sz w:val="1"/>
                <w:szCs w:val="1"/>
                <w:color w:val="auto"/>
              </w:rPr>
            </w:pPr>
          </w:p>
        </w:tc>
      </w:tr>
      <w:tr>
        <w:trPr>
          <w:trHeight w:val="362"/>
        </w:trPr>
        <w:tc>
          <w:tcPr>
            <w:tcW w:w="1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Brad Asher</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Mr. Asher joined Agrify as Chief Financial Officer on March 24, 2025, when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he also became a member of Green Thumb’s financial and accounting team.</w:t>
            </w:r>
          </w:p>
        </w:tc>
        <w:tc>
          <w:tcPr>
            <w:tcW w:w="0" w:type="dxa"/>
            <w:vAlign w:val="bottom"/>
          </w:tcPr>
          <w:p>
            <w:pPr>
              <w:spacing w:after="0"/>
              <w:rPr>
                <w:sz w:val="1"/>
                <w:szCs w:val="1"/>
                <w:color w:val="auto"/>
              </w:rPr>
            </w:pPr>
          </w:p>
        </w:tc>
      </w:tr>
    </w:tbl>
    <w:p>
      <w:pPr>
        <w:jc w:val="both"/>
        <w:ind w:left="2980" w:right="579"/>
        <w:spacing w:after="0" w:line="259" w:lineRule="auto"/>
        <w:rPr>
          <w:sz w:val="20"/>
          <w:szCs w:val="20"/>
          <w:color w:val="auto"/>
        </w:rPr>
      </w:pPr>
      <w:r>
        <w:rPr>
          <w:rFonts w:ascii="Times New Roman" w:cs="Times New Roman" w:eastAsia="Times New Roman" w:hAnsi="Times New Roman"/>
          <w:sz w:val="17"/>
          <w:szCs w:val="17"/>
          <w:color w:val="auto"/>
        </w:rPr>
        <w:t>He provides services to Agrify pursuant to a Shared Services Agreement between Agrify and Green Thumb. Prior to joining Green Thumb and the Company, Mr. Asher served as the Chief Financial Officer of Ayr Wellness Inc. from November 2019 to March 2025, after having served as its controller from June 2019 to November 2019. Prior to that, Mr. Asher served in various positions at IgnitionOne, a global ad-tech company, from July 2013 to May 2019, most recently as its Vice President, Controller and a manager at the global accounting firm KPMG from September 2007 to July 2013. Mr. Asher received a bachelor’s degree in accounting from the University of Massachusetts Amherst.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This section describes the compensation paid, or payable, for the last two fiscal years to our named executive officers. Our named executive officers during the fiscal year ended December 31, 2024 were Benjamin Kovler, our Chairman and Interim Chief Executive Officer, Raymond Chang, our former Chairman and Chief Executive Officer, David Kessler, our former Chief Science Officer, and Brian Towns, our former Executive Vice President and General Manager of Extraction. Mr. Chang resigned as Chairman and Chief Executive Officer on November 5, 2025, Mr. Towns resigned as our Executive Vice President and General Manager of Extraction on December 3, 2024, and Mr. Kessler ceased serving as our Chief Science Officer on December 31, 2024.</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table below summarizes the total compensation paid or earned by each of the named executive officers noted below for services rendered in all capacities, during the fiscal years ended December 31, 2024 and 2023. As a smaller reporting company, we are only required to provide two years of compensation information for our named executive officers. Mr. Asher, the Company’s current Chief Financial Officer, joined the Company in March 2025 and thus was not compensated in 2024.</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4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60" w:type="dxa"/>
            <w:vAlign w:val="bottom"/>
            <w:gridSpan w:val="2"/>
            <w:vMerge w:val="continue"/>
          </w:tcPr>
          <w:p>
            <w:pPr>
              <w:spacing w:after="0"/>
              <w:rPr>
                <w:sz w:val="12"/>
                <w:szCs w:val="12"/>
                <w:color w:val="auto"/>
              </w:rPr>
            </w:pPr>
          </w:p>
        </w:tc>
        <w:tc>
          <w:tcPr>
            <w:tcW w:w="68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0" w:type="dxa"/>
            <w:vAlign w:val="bottom"/>
            <w:gridSpan w:val="2"/>
            <w:vMerge w:val="continue"/>
          </w:tcPr>
          <w:p>
            <w:pPr>
              <w:spacing w:after="0"/>
              <w:rPr>
                <w:sz w:val="12"/>
                <w:szCs w:val="12"/>
                <w:color w:val="auto"/>
              </w:rPr>
            </w:pPr>
          </w:p>
        </w:tc>
        <w:tc>
          <w:tcPr>
            <w:tcW w:w="7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20" w:type="dxa"/>
            <w:vAlign w:val="bottom"/>
          </w:tcPr>
          <w:p>
            <w:pPr>
              <w:jc w:val="center"/>
              <w:ind w:right="66"/>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8"/>
                <w:szCs w:val="18"/>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880" w:type="dxa"/>
            <w:vAlign w:val="bottom"/>
          </w:tcPr>
          <w:p>
            <w:pPr>
              <w:jc w:val="center"/>
              <w:spacing w:after="0" w:line="210"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10"/>
                <w:szCs w:val="10"/>
                <w:b w:val="1"/>
                <w:bCs w:val="1"/>
                <w:color w:val="auto"/>
                <w:w w:val="92"/>
              </w:rPr>
              <w:t>(2)</w:t>
            </w:r>
          </w:p>
        </w:tc>
        <w:tc>
          <w:tcPr>
            <w:tcW w:w="80" w:type="dxa"/>
            <w:vAlign w:val="bottom"/>
          </w:tcPr>
          <w:p>
            <w:pPr>
              <w:spacing w:after="0"/>
              <w:rPr>
                <w:sz w:val="18"/>
                <w:szCs w:val="18"/>
                <w:color w:val="auto"/>
              </w:rPr>
            </w:pP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Benjamin Kovler</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1,115,000</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1,115,001</w:t>
            </w: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Chairman and Interim</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r>
              <w:rPr>
                <w:rFonts w:ascii="Times New Roman" w:cs="Times New Roman" w:eastAsia="Times New Roman" w:hAnsi="Times New Roman"/>
                <w:sz w:val="20"/>
                <w:szCs w:val="20"/>
                <w:color w:val="auto"/>
                <w:vertAlign w:val="superscript"/>
              </w:rPr>
              <w:t>(3)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267,077</w:t>
            </w: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35,888</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355,597</w:t>
            </w:r>
          </w:p>
        </w:tc>
        <w:tc>
          <w:tcPr>
            <w:tcW w:w="0" w:type="dxa"/>
            <w:vAlign w:val="bottom"/>
          </w:tcPr>
          <w:p>
            <w:pPr>
              <w:spacing w:after="0"/>
              <w:rPr>
                <w:sz w:val="1"/>
                <w:szCs w:val="1"/>
                <w:color w:val="auto"/>
              </w:rPr>
            </w:pPr>
          </w:p>
        </w:tc>
      </w:tr>
      <w:tr>
        <w:trPr>
          <w:trHeight w:val="252"/>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Chairman and</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300,070</w:t>
            </w: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330,000</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29,268</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659,338</w:t>
            </w:r>
          </w:p>
        </w:tc>
        <w:tc>
          <w:tcPr>
            <w:tcW w:w="0" w:type="dxa"/>
            <w:vAlign w:val="bottom"/>
          </w:tcPr>
          <w:p>
            <w:pPr>
              <w:spacing w:after="0"/>
              <w:rPr>
                <w:sz w:val="1"/>
                <w:szCs w:val="1"/>
                <w:color w:val="auto"/>
              </w:rPr>
            </w:pPr>
          </w:p>
        </w:tc>
      </w:tr>
      <w:tr>
        <w:trPr>
          <w:trHeight w:val="263"/>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185,966</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16,385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293,434</w:t>
            </w:r>
          </w:p>
        </w:tc>
        <w:tc>
          <w:tcPr>
            <w:tcW w:w="0" w:type="dxa"/>
            <w:vAlign w:val="bottom"/>
          </w:tcPr>
          <w:p>
            <w:pPr>
              <w:spacing w:after="0"/>
              <w:rPr>
                <w:sz w:val="1"/>
                <w:szCs w:val="1"/>
                <w:color w:val="auto"/>
              </w:rPr>
            </w:pPr>
          </w:p>
        </w:tc>
      </w:tr>
      <w:tr>
        <w:trPr>
          <w:trHeight w:val="252"/>
        </w:trPr>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Science</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220,521</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310,000</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559,109</w:t>
            </w:r>
          </w:p>
        </w:tc>
        <w:tc>
          <w:tcPr>
            <w:tcW w:w="0" w:type="dxa"/>
            <w:vAlign w:val="bottom"/>
          </w:tcPr>
          <w:p>
            <w:pPr>
              <w:spacing w:after="0"/>
              <w:rPr>
                <w:sz w:val="1"/>
                <w:szCs w:val="1"/>
                <w:color w:val="auto"/>
              </w:rPr>
            </w:pPr>
          </w:p>
        </w:tc>
      </w:tr>
      <w:tr>
        <w:trPr>
          <w:trHeight w:val="263"/>
        </w:trPr>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Brian Towns</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216,927</w:t>
            </w: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16,385</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233,312</w:t>
            </w:r>
          </w:p>
        </w:tc>
        <w:tc>
          <w:tcPr>
            <w:tcW w:w="0" w:type="dxa"/>
            <w:vAlign w:val="bottom"/>
          </w:tcPr>
          <w:p>
            <w:pPr>
              <w:spacing w:after="0"/>
              <w:rPr>
                <w:sz w:val="1"/>
                <w:szCs w:val="1"/>
                <w:color w:val="auto"/>
              </w:rPr>
            </w:pPr>
          </w:p>
        </w:tc>
      </w:tr>
      <w:tr>
        <w:trPr>
          <w:trHeight w:val="250"/>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Executive Vice</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211,726</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310,000</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29,268</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550,994</w:t>
            </w:r>
          </w:p>
        </w:tc>
        <w:tc>
          <w:tcPr>
            <w:tcW w:w="0" w:type="dxa"/>
            <w:vAlign w:val="bottom"/>
          </w:tcPr>
          <w:p>
            <w:pPr>
              <w:spacing w:after="0"/>
              <w:rPr>
                <w:sz w:val="1"/>
                <w:szCs w:val="1"/>
                <w:color w:val="auto"/>
              </w:rPr>
            </w:pPr>
          </w:p>
        </w:tc>
      </w:tr>
      <w:tr>
        <w:trPr>
          <w:trHeight w:val="199"/>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General</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Manager of Extraction</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8"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March 21, 2025, as amended by Amendment No. 1 thereto filed on March 28, 2025, regarding assumptions underlying the valuation of our equity awards.</w:t>
      </w:r>
    </w:p>
    <w:p>
      <w:pPr>
        <w:spacing w:after="0" w:line="3"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2024 represent severance compensation.</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Kovler became the Company’s Interim Chief Executive Officer on November 5, 2024 and was entitled to a salary of $1. He received equity compensation as part of his fees for his service as Chairman of our Board.</w:t>
      </w: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Chang resigned as Chairman and Chief Executive Officer effective November 5,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Kessler ceased serving as Chief Science Officer effective December 31,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Towns resigned as Executive Vice President and General Manager of Extraction effective December 3,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outstanding equity awards for Named Executive Officers as of December 31, 2024.</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5"/>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64"/>
        </w:trPr>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Grant</w:t>
            </w:r>
          </w:p>
        </w:tc>
        <w:tc>
          <w:tcPr>
            <w:tcW w:w="640" w:type="dxa"/>
            <w:vAlign w:val="bottom"/>
            <w:gridSpan w:val="2"/>
            <w:vMerge w:val="restart"/>
          </w:tcPr>
          <w:p>
            <w:pPr>
              <w:jc w:val="right"/>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Vesting</w:t>
            </w: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4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6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60"/>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700" w:type="dxa"/>
            <w:vAlign w:val="bottom"/>
            <w:gridSpan w:val="2"/>
            <w:vMerge w:val="continue"/>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3"/>
        </w:trPr>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Benjamin Kovler</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11/19/24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$ 1,449,500</w:t>
            </w:r>
          </w:p>
        </w:tc>
        <w:tc>
          <w:tcPr>
            <w:tcW w:w="0" w:type="dxa"/>
            <w:vAlign w:val="bottom"/>
          </w:tcPr>
          <w:p>
            <w:pPr>
              <w:spacing w:after="0"/>
              <w:rPr>
                <w:sz w:val="1"/>
                <w:szCs w:val="1"/>
                <w:color w:val="auto"/>
              </w:rPr>
            </w:pPr>
          </w:p>
        </w:tc>
      </w:tr>
      <w:tr>
        <w:trPr>
          <w:trHeight w:val="231"/>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5/6/20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6,840.00</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5/6/30</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10/19/20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17</w:t>
            </w: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14,850.00</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10/19/30</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15</w:t>
            </w:r>
          </w:p>
        </w:tc>
        <w:tc>
          <w:tcPr>
            <w:tcW w:w="102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41,520.00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79" w:hanging="426"/>
        <w:spacing w:after="0" w:line="260"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restricted stock units will vest on November 19, 2025, subject to shareholder approval of an increase to the 2022 Omnibus Plan, and subject to Mr. Kovler’s continued service through such date as our Interim Chief Executive Officer, any other officer, or Executive Chairman.</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the options vested on February 1, 2021, and the remaining underlying shares vested in 24 equal monthly installments thereafter.</w:t>
      </w:r>
    </w:p>
    <w:p>
      <w:pPr>
        <w:ind w:left="1000" w:hanging="426"/>
        <w:spacing w:after="0"/>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underlying shares vested in 36 equal monthly installments following the grant date.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Pension Plan Benefits and Defined Contribution Plans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Company does not have a pension plan or defined benefit plan that provides for payments or benefits to the Named Executive Officers at, following, or in connection with retirement.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Separation Agreements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95"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Chang</w:t>
      </w:r>
      <w:r>
        <w:rPr>
          <w:rFonts w:ascii="Times New Roman" w:cs="Times New Roman" w:eastAsia="Times New Roman" w:hAnsi="Times New Roman"/>
          <w:sz w:val="17"/>
          <w:szCs w:val="17"/>
          <w:color w:val="auto"/>
        </w:rPr>
        <w:t>: On January 4, 2021, we entered into a three-year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Chang as the Company’s Chief Executive Officer, effective February 1, 2021 (the “Employment Agreement”). The agreement, at the end of the initial three-year term, automatically renewed for a successive three-year period.</w:t>
      </w:r>
    </w:p>
    <w:p>
      <w:pPr>
        <w:spacing w:after="0" w:line="10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signing, the Employment Agreement established a minimum annual base salary level of $300,000 and provided for a discretionary bonus of $300,000, with payment subject to Mr. Chang being employed by us at this time of payment.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Employment Agreement, if Mr. Chang’s employment had been terminated by us without cause, or in connection with a change of control, or by Mr. Chang for good reason, Mr. Chang would have been entitled to receive certain severance benefits, including severance pay equal to the greater of (a) 300% of his annual base salary and (b) $1,000,000. Mr. Chang would have also been eligible to receive insurance benefits for a period of up to twelve months following his termination of employment. We could have terminated Mr. Chang’s employment for cause only if we received the unanimous agreement of our board of directors. In addition, if we terminated his employment without cause, or if Mr. Chang resigned for good reason, or upon the occurrence of a change of control, all of his issued but unvested options would immediately vest.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the Employment Agreement contained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November 5, 2024, in connection with Mr. Chang’s resignation as Chairman and Chief Executive Officer, we entered into a Severance Agreement with Mr. Chang. Pursuant to the Severance Agreement, Mr. Chang is entitled to severance payments with an aggregate amount of $1.0 million payable through February 1, 2027. Mr. Chang will also be entitled to COBRA reimbursement payments through February 1, 2027 or through the last date in which he is eligible for COBRA. The Severance Agreement includes a customary release of claims by Mr. Chang in favor of us.</w:t>
      </w:r>
    </w:p>
    <w:p>
      <w:pPr>
        <w:spacing w:after="0" w:line="9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Offer Letter for Mr. Kessler</w:t>
      </w:r>
      <w:r>
        <w:rPr>
          <w:rFonts w:ascii="Times New Roman" w:cs="Times New Roman" w:eastAsia="Times New Roman" w:hAnsi="Times New Roman"/>
          <w:sz w:val="17"/>
          <w:szCs w:val="17"/>
          <w:color w:val="auto"/>
        </w:rPr>
        <w:t>: On January 20, 2020, we provided a letter of employment offer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Kessler, as amended by the updated offer letter effective as of August 9, 2022. Mr. Kessler’s offer letter established a minimum annual base salary level of $250,000 and provided for a discretionary performance-based bonus of $150,000. Mr. Kessler was an at will employee. He received a severance payment of $91,083 in connection with his termination.</w:t>
      </w:r>
    </w:p>
    <w:p>
      <w:pPr>
        <w:spacing w:after="0" w:line="10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Offer Letter for Mr. Towns</w:t>
      </w:r>
      <w:r>
        <w:rPr>
          <w:rFonts w:ascii="Times New Roman" w:cs="Times New Roman" w:eastAsia="Times New Roman" w:hAnsi="Times New Roman"/>
          <w:sz w:val="17"/>
          <w:szCs w:val="17"/>
          <w:color w:val="auto"/>
        </w:rPr>
        <w:t>: On October 22, 2021, we provided a letter of employment offer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Towns, as amended on March 1, 2023, and May 25, 2023. Mr. Towns’ offer letter, as amended, established a minimum annual base salary level of $250,000. Mr. Towns was an at will employee, and no severance benefits were paid to Mr. Kessler in connection with his resignation.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Termination Payments and Equity Awards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Employment Agreement for Mr. Chang, as described above, provided for cash payment in the event that his employment with the Company is terminated in certain circumstances by the Company without cause or by Mr. Chang for Good Reason (1) outside of a change of control and (2) in connection with a change of control. The potential payouts Mr. Chang would have been eligible to receive in either instance under his employment agreements is calculated based upon the measurement criteria described above. As described above, on November 5, 2024, Mr. Chang resigned as Chairman and Chief Executive Officer and we entered into a Severance Agreement with Mr. Chang, pursuant to which he will be entitled to severance payments with an aggregate amount of $1.0 million payable through February 1, 2027 and to COBRA reimbursement payments through February 1, 2027 or through the last date in which he is eligible for COBRA.</w:t>
      </w:r>
    </w:p>
    <w:p>
      <w:pPr>
        <w:spacing w:after="0" w:line="9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None of our Named Executive Officers serving as of December 31, 2024 had any agreements pursuant to which such Named Executive Officer would be eligible to receive payments in connection with a termination, resignation, retirement or change of control.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Agreements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spacing w:after="0" w:line="32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met five times during 2024.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the audited consolidated financial statements of the Company for the fiscal year ended December 31, 2024 and has discussed them with both management and the independent auditors. The Audit Committee also discussed with management and the independent auditors the process used to support certifications by the Company’s Chief Executive Officer that are required by the Securities and Exchange Commission and the Sarbanes-Oxley Act of 2002 to accompany the Company’s periodic filings with the Securities and Exchange Commission.</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spacing w:after="0" w:line="11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2024, as amended.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Audit Committee: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Krishnan Varier, Chairman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Max Holtzman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Sanjay Tolia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Timothy Mahoney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 RATIFICATION OF THE AUDITOR APPOINTMENT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GuzmanGray, a professional corporation (“GuzmanGray”) as our independent registered public accounting firm for the fiscal year ending December 31, 2025 and has further directed that management submit the selection of our accountants for ratification by our stockholders at the Annual Meeting. GuzmanGray has served as our independent registered public accounting firm since July 19, 2024 and its predecessor firm, MATSUURA (“Matsuura”), served as our independent registered public accounting firm since June 25, 2024.</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Before selecting GuzmanGray, the Audit Committee carefully considered the qualifications of GuzmanGray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expect representatives of GuzmanGray to be present at the Annual Meeting with the opportunity to make a statement if they desire to do so and to be available to respond to appropriate questions.</w:t>
      </w:r>
    </w:p>
    <w:p>
      <w:pPr>
        <w:spacing w:after="0" w:line="6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Selection of our independent registered public accounting firm is not required by our Bylaws or otherwise to be submitted to a vote of our stockholders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GuzmanGray,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us and our stockholders.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affirmative vote of a majority of the votes cast on the ratification of the appointment of GuzmanGray as our independent registered public accounting firm at the Annual Meeting is required to ratify the appointment of GuzmanGray.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GuzmanGray. If the stockholders do not ratify the selection of GuzmanGray, the Audit Committee will review our relationship with GuzmanGray and take such action as it deems appropriate, which may include continuing to retain GuzmanGray as the Company’s independent registered public accounting firm.</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the appointment of GuzmanGray.</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Changes in Independent Registered Public Accounting Firm</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Appointment of Matsuura</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June 20, 2024, our Audit Committee dismissed our previous independent registered public accounting firm, Marcum LLP (“Marcum”), effective as of the effective date of our engagement of Matsuura.</w:t>
      </w:r>
    </w:p>
    <w:p>
      <w:pPr>
        <w:spacing w:after="0" w:line="6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Marcum’s audit report dated April 15, 2024 on our consolidated financial statements as of and for the years ended December 31, 2023 and 2022, did not contain an adverse opinion or a disclaimer of opinion, nor was it qualified or modified as to uncertainty, audit scope or accounting principles, other than the explanatory paragraph regarding our ability to continue as a going concern.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During the fiscal years ended December 31, 2023 and 2022 and subsequent interim periods through the date of dismissal, there have been no: (i) “disagreements” (as that term is defined in Item 304(a)(1)(iv) of Regulation S-K and the related instructions) with Marcum on any matter of accounting principles or practices, financial statement disclosure, or auditing scope or procedure, which disagreement, if not resolved to the satisfaction of Marcum, would have caused them to make reference thereto in their report on the financial statements or (ii) “reportable events” (as that term is defined in Item 304(a)(1)(v) of Regulation S-K), except that Marcum concurred with the Company’s assessment of a material weakness related to the Company’s internal controls over financial reporting.</w:t>
      </w:r>
    </w:p>
    <w:p>
      <w:pPr>
        <w:spacing w:after="0" w:line="11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provided Marcum with a copy of the disclosures required by Item 304(a) contained in our Current Report on Form 8-K prior to its filing with the Securities and Exchange Commission and requested that Marcum furnish us with a letter addressed to the Securities and Exchange Commission stating whether it agrees with the statements made by us in response to Item 304(a) of Regulation S-K. A copy of that letter, dated June 24, 2024, furnished by Marcum in response to that request, stating their agreement with such statements was filed as Exhibit 16.1 to our Current Report on Form 8-K filed with the Securities and Exchange Commission on June 26, 2024.</w:t>
      </w:r>
    </w:p>
    <w:p>
      <w:pPr>
        <w:spacing w:after="0" w:line="3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Effective June 25, 2024, the Audit Committee appointed Matsuura as our new independent registered public accounting firm. Matsuura’s engagement was for our fiscal year ending December 31, 2024 and related interim periods.</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2022, and through June 25, 2024, we did not consult Matsuura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Appointment of GuzmanGray</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June 30, 2024, the audit practice of Matsuura was combined in a transaction pursuant to which Matsuura merged its operations with GuzmanGray. On July 19, 2024, Matsuura resigned as our auditors and the Audit Committee appointed GuzmanGray as our independent registered public accounting firm effective as of July 19, 2024. The Audit Committee also approved the assumption by GuzmanGray of the engagement agreement originally entered into between us and Matsuura on June 24, 2024.</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During the interim period from June 25, 2024 through July 19, 2024, there were no: (i) “disagreements” (as that term is defined in Item 304(a)(1)(iv) of Regulation S-K and the related instructions) with Matsuura on any matter of accounting principles or practices, financial statement disclosure, or auditing scope or procedure, which disagreement, if not resolved to the satisfaction of Matsuura, would have caused them to make reference thereto in their report on the financial statements or (ii) “reportable events” (as that term is defined in Item 304(a)(1)(v) of Regulation S-K).</w:t>
      </w:r>
    </w:p>
    <w:p>
      <w:pPr>
        <w:spacing w:after="0" w:line="9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provided Matsuura with a copy of the disclosures required by Item 304(a) contained in our Current Report on Form 8-K prior to its filing with the Securities and Exchange Commission and requested that Matsuura furnish us with a letter addressed to the Securities and Exchange Commission stating whether it agrees with above statements and, if it does not agree, the respects in which it does not agree. A copy of Matsuura’s letter stating their agreement with such statements, dated July 19, 2024, was filed as Exhibit 16.1 to the Current Report on Form 8-K filed with the Securities and Exchange Commission on July 22, 2024.</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2022, and through the Effective Date, we did not consult GuzmanGray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Fees and Non-Audit Services</w:t>
      </w:r>
    </w:p>
    <w:p>
      <w:pPr>
        <w:spacing w:after="0" w:line="147"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our current and prior independent registered public accounting firms for professional services rendered during the fiscal years ended December 31, 2024 and 2023:</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645,289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610,000</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133,875</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34,265</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779,164</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644,265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the table above, “Audit Fees” are fees we paid to our current and prior independent registered public accounting firms for professional services rendered connection with the audit of our consolidated financial statements,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our current and prior independent registered public accounting firms for assurance and related services that are reasonably related to the performance of the audit or review of our financial statements (accounting consultations on transaction related matters including work related to our registration statements); and “Tax Fees” are fees billed by our current and prior independent registered public accounting firms either for corporate income tax return preparation and filing services and/or individual expatriate income tax services and advice.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non-audit services unless the service is specifically approved in advance by the Audit Committee or the engagement is entered into pursuant to pre-approval procedures. 100% of the audit services, or audit-related services, were pre-approved by the Audit Committee.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10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2024 and 2023 were compatible.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3 — APPROVAL OF AMENDMENT TO THE 2022 OMNIBUS EQUITY INCENTIVE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are proposing that our stockholders approve the amendment of the Agrify Corporation 2022 Omnibus Equity Incentive Plan (as amended, the “2022 Omnibus Plan” and such amendment, the “Plan Amendment”) to increase by 250,000 shares the number of authorized shares of Common Stock available for issuance under the 2022 Omnibus Plan. Our Board of Directors believes that our continued growth and success depends, in large part, on our ability to maintain a competitive position by attracting, retaining and motivating key employees with experience and ability, which is vital to our future success, and to align our employees’, consultants’ and directors’ compensation with building shareholder value. Our 2022 Omnibus Plan is an integral part of this strategy. We currently have 11,798 shares available under our 2022 Omnibus Plan and 77,500 Restricted Stock Units that cannot be settled until the Plan Amendment is approved, thus potentially impairing our ability to attract and retain key employees through the grant of stock-based awards. The 2022 Omnibus Plan is designed to attract, motivate and retain employees, directors and consultants and to further our growth and financial success by aligning the interests of those persons through ownership with the interests of our stockholders.</w:t>
      </w:r>
    </w:p>
    <w:p>
      <w:pPr>
        <w:spacing w:after="0" w:line="1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2022 Omnibus Plan currently authorizes the grant of stock options and other stock-based awards to our officers, employees, non-employee directors and consultants. On April 29, 2025, the Board of Directors approved the Plan Amendment, subject to stockholder approval.</w:t>
      </w:r>
    </w:p>
    <w:p>
      <w:pPr>
        <w:spacing w:after="0" w:line="98"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believes that the proposed amendment of the 2022 Omnibus Plan is in the best interests of, and will provide long-term advantages to, us and our stockholders and recommends the approval by our stockholders of the Plan Amendment. Stock options and other stock-based incentive awards are given to our employees, officers, directors and consultants upon whose judgment, initiative and efforts we largely depend for the successful conduct of our business. These incentives provide our employees, consultants and directors with a pecuniary interest in our Company, thereby stimulating their commitment on our behalf and strengthening their desire to remain with us. Our Board of Directors anticipates that this direct stake in our future success also assures a closer alignment of the interests of employees with those of our stockholders.</w:t>
      </w:r>
    </w:p>
    <w:p>
      <w:pPr>
        <w:spacing w:after="0" w:line="10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we cannot increase the amount of shares of Common Stock available for issuance pursuant to the Plan Amendment, it could have a negative impact on our ability to retain and attract employees, consultants and Board members.</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Accordingly, we are seeking stockholder approval of the Plan Amendment. In the event that the Plan Amendment is not approved by stockholders, the 2022 Omnibus Plan will continue in effect without the amendment described above. On November 19, 2024 and January 31, 2025, the Compensation Committee and the Board of Directors approved grants of an aggregate of 77,500 Restricted Stock Units under the Omnibus 2022 Plan to employees and directors, which are contingent on approval of the Plan Amendment by our stockholders. See “— New Plan Benefits” below for additional information regarding the contingent grants.</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of April 22, 2025: (i) 11,798 shares of our Common Stock remained available for future awards under the 2022 Omnibus Plan, (ii) 90 shares of our Common Stock were subject to outstanding options under the 2022 Omnibus Plan (with the outstanding options having a weighted average exercise price of $24,177 per share and a weighted average term to scheduled expiration of 5.67 years), and (iii) 91,495 shares of our Common Stock were subject to unvested restricted stock units. During the fiscal year ended December 31, 2024, our board of directors did not approve any option grants and approved the grant of 238,874 restricted stock units under the 2022 Omnibus Plan.</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Based solely on the closing price of our Common Stock as reported on The Nasdaq Capital Market on April 22, 2025, the maximum aggregate market value of the 261,797 additional shares that could potentially be issued under the 2022 Omnibus Plan, assuming the Plan Amendment is approved, is approximately $4,162,500. The shares available for issuance by us under the 2022 Omnibus Plan will be authorized but unissued shares.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Highlights</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Some of the key features of the 2022 Omnibus Plan, as proposed to be amended by the Plan Amendment, that reflect Agrify’s commitment to effective management of incentive compensation are as follows:</w:t>
      </w:r>
    </w:p>
    <w:p>
      <w:pPr>
        <w:spacing w:after="0" w:line="79" w:lineRule="exact"/>
        <w:rPr>
          <w:sz w:val="20"/>
          <w:szCs w:val="20"/>
          <w:color w:val="auto"/>
        </w:rPr>
      </w:pPr>
    </w:p>
    <w:p>
      <w:pPr>
        <w:jc w:val="both"/>
        <w:ind w:left="1420" w:right="599" w:hanging="426"/>
        <w:spacing w:after="0" w:line="267"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Plan Limits. </w:t>
      </w:r>
      <w:r>
        <w:rPr>
          <w:rFonts w:ascii="Times New Roman" w:cs="Times New Roman" w:eastAsia="Times New Roman" w:hAnsi="Times New Roman"/>
          <w:sz w:val="17"/>
          <w:szCs w:val="17"/>
          <w:color w:val="auto"/>
        </w:rPr>
        <w:t>Total awards under the 2022 Omnibus Plan in general are limited to a maximum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434,000 authorized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of Common Stock underlying any award granted under the Agrify Corporation 2020 Omnibus Equity Incentive Plan (the “2020 Omnibus Plan”) that expires, terminates or is canceled or forfeited under the terms of the 2020 Omnibus Plan.</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Liberal Share Recycling on Stock Options or SARs. </w:t>
      </w:r>
      <w:r>
        <w:rPr>
          <w:rFonts w:ascii="Times New Roman" w:cs="Times New Roman" w:eastAsia="Times New Roman" w:hAnsi="Times New Roman"/>
          <w:sz w:val="17"/>
          <w:szCs w:val="17"/>
          <w:color w:val="auto"/>
        </w:rPr>
        <w:t>The 2022 Omnibus Plan provides that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spacing w:after="0" w:line="308"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or Cash Buyouts. </w:t>
      </w:r>
      <w:r>
        <w:rPr>
          <w:rFonts w:ascii="Times New Roman" w:cs="Times New Roman" w:eastAsia="Times New Roman" w:hAnsi="Times New Roman"/>
          <w:sz w:val="17"/>
          <w:szCs w:val="17"/>
          <w:color w:val="auto"/>
        </w:rPr>
        <w:t>Stock option and SAR repricing (including reducing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stock options or replacing an award with cash or another award type) is prohibited without stockholder approval under the 2022 Omnibus Plan.</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Dividends on Unvested Restricted Shares or RSUs. </w:t>
      </w:r>
      <w:r>
        <w:rPr>
          <w:rFonts w:ascii="Times New Roman" w:cs="Times New Roman" w:eastAsia="Times New Roman" w:hAnsi="Times New Roman"/>
          <w:sz w:val="17"/>
          <w:szCs w:val="17"/>
          <w:color w:val="auto"/>
        </w:rPr>
        <w:t>Under the 2022 Omnibus Plan,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Restricted Stock or Restricted Stock Units will not have any rights to receive dividends with respect to such Awards.</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1"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Vesting Period. </w:t>
      </w:r>
      <w:r>
        <w:rPr>
          <w:rFonts w:ascii="Times New Roman" w:cs="Times New Roman" w:eastAsia="Times New Roman" w:hAnsi="Times New Roman"/>
          <w:sz w:val="17"/>
          <w:szCs w:val="17"/>
          <w:color w:val="auto"/>
        </w:rPr>
        <w:t>Generally, all awards will have a minimum vesting period of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subject to an exception of 5% of the aggregate shares authorized for grant under the 2022 Omnibus Plan, awards to directors, and certain other limited exceptions as described below and in the 2022 Omnibus Plan.</w:t>
      </w:r>
    </w:p>
    <w:p>
      <w:pPr>
        <w:spacing w:after="0" w:line="86"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Subject to Forfeiture or Clawback. </w:t>
      </w:r>
      <w:r>
        <w:rPr>
          <w:rFonts w:ascii="Times New Roman" w:cs="Times New Roman" w:eastAsia="Times New Roman" w:hAnsi="Times New Roman"/>
          <w:sz w:val="17"/>
          <w:szCs w:val="17"/>
          <w:color w:val="auto"/>
        </w:rPr>
        <w:t>Awards under the 2022 Omnibus Plan will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clawback in certain circumstances as well as any other forfeiture and penalty conditions determined by the Compensation Committee in the Company’s clawback policy.</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Automatic “Single Trigger” Vesting. </w:t>
      </w:r>
      <w:r>
        <w:rPr>
          <w:rFonts w:ascii="Times New Roman" w:cs="Times New Roman" w:eastAsia="Times New Roman" w:hAnsi="Times New Roman"/>
          <w:sz w:val="17"/>
          <w:szCs w:val="17"/>
          <w:color w:val="auto"/>
        </w:rPr>
        <w:t>The 2022 Omnibus Plan does not contain an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single-trigger vesting provision that would accelerate awards solely upon a change-in-control (as defined in the 2022 Omnibus Plan).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2022 Omnibus Plan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description of the provisions of the 2022 Omnibus Plan, as proposed to be amended by the Plan Amendment, is set forth below. This summary is qualified in its entirety by the detailed provisions of the amended 2022 Omnibus Plan. A copy of the 2022 Omnibus Plan, with the proposed amendments marked,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2022 Omnibus Plan will be administered by a committee (the “Plan Committee”), which shall consist of two (2) or more members of our Board appointed by our Board or such other committee of our Board to which it has properly delegated power, or if no such Plan Committee or subcommittee exists, our Board. To the extent required by applicable law, rule, or regulation, it is intended that each member of the Plan Committee shall qualify as (a) a “non-employee director” under Rule 16b-3, and (b) an “independent director” under the rules of any national securities exchange or national securities association, as applicable.</w:t>
      </w:r>
    </w:p>
    <w:p>
      <w:pPr>
        <w:spacing w:after="0" w:line="10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Plan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 (b) promulgate, amend, and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rescind any rules and regulations relating to the 2022 Omnibus Plan; (c) adopt sub-plans; and (d) to make any other determination and take any other action that the Plan Committee deems necessary or desirable for the administration of the 2022 Omnibus Plan. Except to the extent prohibited by applicable law regulations, the Plan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Plan Committee, may be made at any time and are final, conclusive, and binding upon all persons or entities, including, without limitation, Agrify, any Participant, any holder or beneficiary of any Award, and any of our stockholders. The Plan Committee may make grants of the following Awards to Eligible Persons (defined below) pursuant to terms and conditions set forth in the applicable Award Agreement, including, subjecting such Awards to performance goals listed in the 2022 Omnibus Plan.</w:t>
      </w:r>
    </w:p>
    <w:p>
      <w:pPr>
        <w:spacing w:after="0" w:line="113" w:lineRule="exact"/>
        <w:rPr>
          <w:sz w:val="20"/>
          <w:szCs w:val="20"/>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and Cash-Based Awards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Shares</w:t>
      </w:r>
    </w:p>
    <w:p>
      <w:pPr>
        <w:spacing w:after="0" w:line="160" w:lineRule="exact"/>
        <w:rPr>
          <w:sz w:val="20"/>
          <w:szCs w:val="20"/>
          <w:color w:val="auto"/>
        </w:rPr>
      </w:pPr>
    </w:p>
    <w:p>
      <w:pPr>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maximum aggregate number of shares of Common Stock that may be issued or used for reference purposes or with respect to which Awards may be granted under the 2022 Omnibus Plan will be equal to</w:t>
      </w:r>
    </w:p>
    <w:p>
      <w:pPr>
        <w:spacing w:after="0" w:line="1" w:lineRule="exact"/>
        <w:rPr>
          <w:sz w:val="20"/>
          <w:szCs w:val="20"/>
          <w:color w:val="auto"/>
        </w:rPr>
      </w:pPr>
    </w:p>
    <w:p>
      <w:pPr>
        <w:jc w:val="both"/>
        <w:ind w:left="580" w:right="579" w:hanging="6"/>
        <w:spacing w:after="0" w:line="258" w:lineRule="auto"/>
        <w:tabs>
          <w:tab w:leader="none" w:pos="83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434,000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number of shares of Common Stock underlying any award granted under the 2020 Omnibus Equity Incentive Plan that expires, terminates or is canceled or forfeited under the terms of the 2020 Omnibus Plan. The maximum number of shares of Common Stock with respect to which incentive stock options may be granted under the Plan shall be equal to the maximum number of shares issuable under the 2022 Omnibus Plan. If any Option, Stock Appreciation Right, or Other Stock-Based Awards granted under the Plan expires, terminates, or is canceled for any reason without having been exercised in full, the number of shares of Common Stock underlying any unexercised Award shall again be available for the purpose of Awards under the Plan. If any shares of Restricted Stock, Performance Share Awards, or Other Stock-Based Awards denominated in shares of Common Stock awarded under the Plan to a Participant are forfeited for any reason, the number of forfeited shares of Restricted Stock, Performance Share Awards, or Other Stock-Based Awards denominated in shares of Common Stock shall again be available for purposes of Awards under the Plan. Shares of Common Stock subject to an Award shall not again be made available for issuance or delivery under the Plan if such shares are (a) shares tendered in payment of an Option, (b) shares delivered or withheld by Agrify to satisfy any tax withholding obligation (other than with respect to Restricted Stock, Restricted Stock Units and Performance Share Awards, in which case such shares will again be available for issuance), or (c) shares covered by a stock-settled Stock Appreciation Right or other Awards that were not issued upon the settlement of the Award. Any Award under the Plan settled in cash shall not be counted against the foregoing maximum share limitations. No shares have yet been issued nor Awards granted under the 2022 Omnibus Plan.</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Participants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Any employee of Agrify or any of its affiliates, any director, or person who is a consultant to Agrify, or any individuals designated by the Plan Committee who are reasonably expected to become employees, consultants, or directors after the receipt of Awards (each, an “Eligible Person”) shall be permitted to participate (a “Participant”) under the 2022 Omnibus Plan. Only Eligible Persons who are also employees of Agrify or its affiliates are eligible to receive incentive stock options under the 2022 Omnibus Plan. Eligibility for the grant of an incentive stock option and actual participation in the 2022 Omnibus Plan shall be determined by the Plan Committee in its sole discretion.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holder of an option will be entitled to purchase a number of our shares of Common Stock at a specified exercise price during a specified time period, all as determined by the Compensation Committee. The Plan Committee may grant non-qualified stock options and incentive stock options (“Options”) to Eligible Persons. All Options granted under the 2022 Omnibus Plan are required to have a per share exercise price that is not less than one hundred percent (100%) of the fair market value of Agrify’s Common Stock underlying such stock options on the date such Options are granted (other than in the case of Options that are substitute Awards). The maximum term for Options granted under the 2022 Omnibus Plan will be ten (10) years from the initial date of grant. The purchase price for the shares as to which an Option is exercised may be paid, to the extent permitted by law, either (a) in cash or by certified or bank check at the time the Option is exercised or (b) in the discretion of the Plan Committee, upon such terms as the Plan Committee shall approve, including: (i) by delivery to Agrify of other Common Stock, duly endorsed for transfer to Agrify,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Plan Committee.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Plan Committee may grant Stock Appreciation Rights under the 2022 Omnibus Plan, with terms and conditions determined by the Committee that are not inconsistent with the 2022 Omnibus Plan. The Plan Committee may award Stock Appreciation Rights in tandem with Options or independent of any Option. Generally, each Stock Appreciation Right will entitle the participant upon exercise to an amount (in cash, shares, or a combination of cash and shares, as determined by the Plan Committee) equal to the product of</w:t>
      </w:r>
    </w:p>
    <w:p>
      <w:pPr>
        <w:spacing w:after="0" w:line="3" w:lineRule="exact"/>
        <w:rPr>
          <w:sz w:val="20"/>
          <w:szCs w:val="20"/>
          <w:color w:val="auto"/>
        </w:rPr>
      </w:pPr>
    </w:p>
    <w:p>
      <w:pPr>
        <w:jc w:val="both"/>
        <w:ind w:left="580" w:right="579" w:hanging="6"/>
        <w:spacing w:after="0" w:line="261" w:lineRule="auto"/>
        <w:tabs>
          <w:tab w:leader="none" w:pos="80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(A) 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Plan Committee at the time of grant, but in no event may such amount be less than one hundred percent (100%) of the fair market value of a share of Common Stock on the date the Stock Appreciation Right is granted.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Plan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 sole discretion of the Plan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Plan Committee may grant Performance Share Awards to a Participant payable upon the attainment of specific performance goals. Each Performance Share Award shall be evidenced by an Award Agreement in such form that is not inconsistent with the 2022 Omnibus Plan and that the Plan Committee may from time to time approve.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Equity-Based and Cash-Based Awards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Plan Committee may grant other equity-based or cash-based Awards under the 2022 Omnibus Plan, with terms and conditions determined by the Plan Committee that are not inconsistent with the 2022 Omnibus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Certain Corporate Transactions and Events</w:t>
      </w:r>
    </w:p>
    <w:p>
      <w:pPr>
        <w:spacing w:after="0" w:line="147"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spacing w:after="0" w:line="11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connection with any Change in Control of Agrify (as such term is defined in the 2022 Omnibus Plan, a “Change in Control”), the Plan Committee may, in its sole discretion,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w:t>
      </w:r>
    </w:p>
    <w:p>
      <w:pPr>
        <w:spacing w:after="0" w:line="3" w:lineRule="exact"/>
        <w:rPr>
          <w:sz w:val="20"/>
          <w:szCs w:val="20"/>
          <w:color w:val="auto"/>
        </w:rPr>
      </w:pPr>
    </w:p>
    <w:p>
      <w:pPr>
        <w:jc w:val="both"/>
        <w:ind w:left="580" w:right="579" w:hanging="6"/>
        <w:spacing w:after="0" w:line="257" w:lineRule="auto"/>
        <w:tabs>
          <w:tab w:leader="none" w:pos="84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Plan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w:t>
      </w:r>
    </w:p>
    <w:p>
      <w:pPr>
        <w:spacing w:after="0" w:line="1" w:lineRule="exact"/>
        <w:rPr>
          <w:rFonts w:ascii="Times New Roman" w:cs="Times New Roman" w:eastAsia="Times New Roman" w:hAnsi="Times New Roman"/>
          <w:sz w:val="17"/>
          <w:szCs w:val="17"/>
          <w:color w:val="auto"/>
        </w:rPr>
      </w:pPr>
    </w:p>
    <w:p>
      <w:pPr>
        <w:ind w:left="580" w:right="599" w:hanging="6"/>
        <w:spacing w:after="0" w:line="274" w:lineRule="auto"/>
        <w:tabs>
          <w:tab w:leader="none" w:pos="83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any then outstanding Award or make any other adjustment to the Awards then outstanding as the Plan Committee deems necessary or appropriate to reflect such transaction or change.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Nontransferability of Awards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Plan Committee may determine, in its sole discretion, that a non-qualified stock option may be transferred to a family member, or to certain trusts or foundations or other transferees as permitted by the Plan Committee (“Permitted Transferee”). A non-qualified stock option that is transferred to a Permitted Transferee will remain subject to the terms of the 2022 Omnibus Plan and the applicable Award Agreement.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Minimum Vesting Requirements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 award will be granted with a lapse of any vesting obligations earlier than at least one year following the date of grant. Notwithstanding the foregoing, the Plan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and (iv) the Plan Committee’s discretion to provide for accelerated exercisability or vesting of any award, including in cases of retirement, death, disability or a change-in-control, in the terms of the award or otherwise.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Clawback and Recoupment</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Awards under the 2022 Omnibus Plan will be subject to recovery or “clawback” by us if and to the extent that the vesting of such awards was determined or calculated based on materially inaccurate financial statements or any other material inaccurate performance metric criteria, and if the Company or any of its subsidiaries terminate a participant’s service relationship due to the grantee’s gross negligence or willful misconduct, which conduct, directly or indirectly, results in the Company preparing an accounting restatement. Awards will also be subject to our clawback policy as adopted by the Board of Directors.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Board approval of the 2022 Omnibus Plan.</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162(m) of the Internal Revenue Code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a general rule, we will be entitled to a deduction in the same amount and at the same time as the compensation income is received by the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Federal Income Tax Consequences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federal income tax (and to some extent, estate tax) consequences that would accrue to Agrify and the grantee under current tax laws. Such laws and their interpretation by the Internal Revenue Service are subject to change. The general consequences described in this summary may not apply in unusual situations.</w:t>
      </w:r>
    </w:p>
    <w:p>
      <w:pPr>
        <w:spacing w:after="0" w:line="88"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Non-Qualified Options. </w:t>
      </w:r>
      <w:r>
        <w:rPr>
          <w:rFonts w:ascii="Times New Roman" w:cs="Times New Roman" w:eastAsia="Times New Roman" w:hAnsi="Times New Roman"/>
          <w:sz w:val="17"/>
          <w:szCs w:val="17"/>
          <w:color w:val="auto"/>
        </w:rPr>
        <w:t>The grant of an Option will not be a taxable event for the grantee 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spacing w:after="0" w:line="10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we comply with applicable reporting requirements and with the restrictions of Section 162(m), we will be entitled to a business expense deduction in the same amount and generally at the same time as the grantee recognizes ordinary income.</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spacing w:after="0" w:line="9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The grant of an Option will not be a taxable event for the grantee or for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0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spacing w:after="0" w:line="10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grantee who is awarded Restricted Stock will not recognize any taxable income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purposes in the year of the Award, provided that the shares of Common Stock are subject to restrictions (that is, the Restricted Stock is nontransferable and subject to a substantial risk of forfeiture). 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spacing w:after="0" w:line="1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There are no immediate tax consequences of receiving an award of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spacing w:after="0" w:line="9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There are no immediate tax consequences of receiving an award of SARs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Performance Share Awards, Other Stock-Based Awards, and Cash-Based Awards. </w:t>
      </w:r>
      <w:r>
        <w:rPr>
          <w:rFonts w:ascii="Times New Roman" w:cs="Times New Roman" w:eastAsia="Times New Roman" w:hAnsi="Times New Roman"/>
          <w:sz w:val="17"/>
          <w:szCs w:val="17"/>
          <w:color w:val="auto"/>
        </w:rPr>
        <w:t>The tax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Performance Share Awards, other stock-based awards and cash-based awards will depend on the structure of such awards.</w:t>
      </w:r>
    </w:p>
    <w:p>
      <w:pPr>
        <w:spacing w:after="0" w:line="94"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We intend for awards granted under the plan to comply with Section 409A of the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4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November 19, 2024 and January 31, 2025, the Compensation Committee and the Board of Directors approved grants of an aggregate of 77,500 Restricted Stock Units under the Omnibus 2022 Plan to employees and directors, which are contingent on approval of the Plan Amendment by our stockholders (the “Contingent Grants”). The Contingent Grants will vest on the one-year anniversary of grant, subject to shareholder approval, except with respect to the Contingent Grants granted to directors on November 19, 2024 and January 31, 2025, which will vest on the earlier of the one-year anniversary of grant or the next annual meeting of stockholders following the grant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date, subject to shareholder approval. The table below provides additional information with respect to the Contingent Grants. Other than the Contingent Grants, it is not possible to determine the benefits that will be received in the future by participants in the 2022 Omnibus Plan because awards to be granted under the 2022 Omnibus Plan are at the discretion of the Compensation Committee and the Board of Directors.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5"/>
              </w:rPr>
              <w:t>Dollar Value</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Units</w:t>
            </w: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Benjamin Kovler </w:t>
            </w:r>
            <w:r>
              <w:rPr>
                <w:rFonts w:ascii="Times New Roman" w:cs="Times New Roman" w:eastAsia="Times New Roman" w:hAnsi="Times New Roman"/>
                <w:sz w:val="17"/>
                <w:szCs w:val="17"/>
                <w:i w:val="1"/>
                <w:iCs w:val="1"/>
                <w:color w:val="auto"/>
              </w:rPr>
              <w:t>– Chairman and Interim Chief Executive Officer</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1,115,000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Brad Asher </w:t>
            </w:r>
            <w:r>
              <w:rPr>
                <w:rFonts w:ascii="Times New Roman" w:cs="Times New Roman" w:eastAsia="Times New Roman" w:hAnsi="Times New Roman"/>
                <w:sz w:val="17"/>
                <w:szCs w:val="17"/>
                <w:i w:val="1"/>
                <w:iCs w:val="1"/>
                <w:color w:val="auto"/>
              </w:rPr>
              <w:t>– Chief Financial Officer</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executive officers as a group</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1,115,000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50,000</w:t>
            </w: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who are not executive officers, as a group</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616,775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as a group (excluding executive officers)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1,731,775</w:t>
            </w: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77,500</w:t>
            </w: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Reference is hereby made to the “Equity Compensation Plan Table” of this Proxy Statement which is incorporated by reference into this Item 3 and provides certain details on our current plans.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amendment to the 2022 Omnibus Plan to increase the number of shares available for issuance thereunder by 250,000. Broker non-votes and abstentions will have no effect on the outcome of the vote.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45"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amendment to the 2022 Omnibus Plan to increase the number of shares available for issuance thereunder by two hundred fifty thousand (250,000).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Annual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executive officer or other agent, and otherwise to the full extent permitted under Nevada law and our amended and restated bylaws.</w:t>
      </w:r>
    </w:p>
    <w:p>
      <w:pPr>
        <w:spacing w:after="0" w:line="10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order to identify and address concerns regarding related party transactions and their disclosures, we use Director and Officer Questionnaires and our conduct and ethics policies. We also consider the independence of our directors. The discussion of the independence of the directors is included under “</w:t>
      </w:r>
      <w:r>
        <w:rPr>
          <w:rFonts w:ascii="Times New Roman" w:cs="Times New Roman" w:eastAsia="Times New Roman" w:hAnsi="Times New Roman"/>
          <w:sz w:val="17"/>
          <w:szCs w:val="17"/>
          <w:i w:val="1"/>
          <w:iCs w:val="1"/>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Governance — Board and Board Committee Matters</w:t>
      </w:r>
      <w:r>
        <w:rPr>
          <w:rFonts w:ascii="Times New Roman" w:cs="Times New Roman" w:eastAsia="Times New Roman" w:hAnsi="Times New Roman"/>
          <w:sz w:val="17"/>
          <w:szCs w:val="17"/>
          <w:color w:val="auto"/>
        </w:rPr>
        <w:t>” elsewhere in this proxy statement.</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Director and Officer Questionnaires are distributed to executive officers and directors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we were or are to be a participant and the amount involved exceeds $120,000, and in which any of the following had or will have a direct or indirect interest: (i) the individual; (ii) any director or executive officer; (iii) a nominee for director;</w:t>
      </w:r>
    </w:p>
    <w:p>
      <w:pPr>
        <w:spacing w:after="0" w:line="5" w:lineRule="exact"/>
        <w:rPr>
          <w:sz w:val="20"/>
          <w:szCs w:val="20"/>
          <w:color w:val="auto"/>
        </w:rPr>
      </w:pPr>
    </w:p>
    <w:p>
      <w:pPr>
        <w:jc w:val="both"/>
        <w:ind w:left="580" w:right="599" w:hanging="6"/>
        <w:spacing w:after="0" w:line="263" w:lineRule="auto"/>
        <w:tabs>
          <w:tab w:leader="none" w:pos="90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immediate family member of a director or executive officer; (v) an immediate family member of a nominee for director; (vi) a security holder of more than 5% of the Common Stock; or (vii) an immediate family member of the security holder. Responses provided within the questionnaire are reviewed by our management to determine any necessary course of action.</w:t>
      </w:r>
    </w:p>
    <w:p>
      <w:pPr>
        <w:spacing w:after="0" w:line="9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It is our policy that all employees, directors and agents maintain the highest ethical standards and comply with all applicable legal requirements when conducting Company business. Guidelines regarding conflicts of interest are detailed in our Code of Conduct and Business Ethics, which was adopted by the Board of Directors and is available on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All employees must deal with vendors, customers and others doing business with us in a manner that avoids even the appearance of conflict between personal interests and those of our Company. Potential conflicts of interest may arise from any of the following:</w:t>
      </w:r>
    </w:p>
    <w:p>
      <w:pPr>
        <w:spacing w:after="0" w:line="106" w:lineRule="exact"/>
        <w:rPr>
          <w:sz w:val="20"/>
          <w:szCs w:val="20"/>
          <w:color w:val="auto"/>
        </w:rPr>
      </w:pPr>
    </w:p>
    <w:p>
      <w:pPr>
        <w:jc w:val="both"/>
        <w:ind w:left="1420" w:right="599" w:hanging="426"/>
        <w:spacing w:after="0" w:line="276"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or indirect financial interest in any business or organization that is a vendor or competitor of ours, if the employee or director can influence decisions with respect to our business with respect to such business or organization;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board of directors of, or being employed in any capacity by, a vendor, competitor or customer of ours.</w:t>
      </w:r>
    </w:p>
    <w:p>
      <w:pPr>
        <w:spacing w:after="0" w:line="6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authorized to review all potential conflicts of interest involving directors and executive officers.</w:t>
      </w:r>
    </w:p>
    <w:p>
      <w:pPr>
        <w:spacing w:after="0" w:line="81"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Relationships, including business, financial, personal, and family, may give rise to conflicts of interest or the appearance of a conflict. Employees should carefully evaluate their relationships as they relate to our business to avoid conflict or the appearance of a conflict. To avoid conflicts of interest or the appearance of a conflict:</w:t>
      </w:r>
    </w:p>
    <w:p>
      <w:pPr>
        <w:spacing w:after="0" w:line="313" w:lineRule="exact"/>
        <w:rPr>
          <w:sz w:val="20"/>
          <w:szCs w:val="20"/>
          <w:color w:val="auto"/>
        </w:rPr>
      </w:pPr>
    </w:p>
    <w:p>
      <w:pPr>
        <w:jc w:val="both"/>
        <w:ind w:left="1420" w:right="579" w:hanging="426"/>
        <w:spacing w:after="0" w:line="270"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and directors should not have an undisclosed relationship with, or financial interest in, any business that competes or deals with us; provided that the ownership of less than 1% of the outstanding shares, units or other interests of any class of publicly traded securities is acceptable.</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are prohibited from directly or indirectly competing or performing services for any person or entity in competition with us.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comply with the policies set forth in this Code of Conduct and Business Ethics regarding the receipt or giving of gifts, favors or entertainment.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70"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our business.</w:t>
      </w:r>
    </w:p>
    <w:p>
      <w:pPr>
        <w:spacing w:after="0" w:line="102"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not sell or lease equipment, materials or property to us without appropriate corporate authority.</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purchase our equipment, materials or property only on terms available to the general public.</w:t>
      </w:r>
    </w:p>
    <w:p>
      <w:pPr>
        <w:spacing w:after="0" w:line="6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Any employee or director who becomes aware of a conflict is required to bring it to the attention of a supervisor, management or other appropriate personnel. Directors are expected and required to uphold the same dedication to corporate ethics as our employees.</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a conflict of interest arises involving an executive officer or director, the Board of Directors must approve a waiver to the Code of Conduct and Business Ethics and if a director has the conflict, that director must abstain from the approval. Waivers are made on a case-by-case basis. The Board of Directors has not adopted a formal written policy with respect to waiving conflict of interests or approving related party transactions. In making this determination, the Board of Directors considered the infrequency in occurrence of these transactions. Any waivers to the Code of Conduct and Business Ethics granted to an executive officer or director shall be disclosed by us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CP Acquisitions, LLC Convertible Note</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October 27, 2023, CP Acquisitions, LLC (“CP”), an entity affiliated with and controlled by Raymond Chang and I-Tseng Jenny Chan, purchased from an institutional investor (the “Former Lender”) the Senior Secured Note issued by us to the Former Lender on August 19, 2022 (the “Exchange Note”) and the Senior Secured Convertible Note issued by us to the Former Lender on March 10, 2023 (the “Convertible Note”). On January 25, 2024, following stockholder approval at an annual meeting of stockholders on January 8, 2024, we and CP consolidated the outstanding principal and interest due under a junior secured note held by CP and the Exchange Note (as amended, restated and consolidated, the “CP Note”), with an outstanding principal amount of approximately $18.9 million at the time of consolidation. The CP Note amended the terms of the Convertible Note by, among other things, (i) reducing the conversion price to $21.90 per share of Common Stock,</w:t>
      </w:r>
    </w:p>
    <w:p>
      <w:pPr>
        <w:spacing w:after="0" w:line="6" w:lineRule="exact"/>
        <w:rPr>
          <w:sz w:val="20"/>
          <w:szCs w:val="20"/>
          <w:color w:val="auto"/>
        </w:rPr>
      </w:pPr>
    </w:p>
    <w:p>
      <w:pPr>
        <w:jc w:val="both"/>
        <w:ind w:left="580" w:right="579" w:hanging="6"/>
        <w:spacing w:after="0" w:line="257" w:lineRule="auto"/>
        <w:tabs>
          <w:tab w:leader="none" w:pos="84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beneficial ownership limitation to 49.99% with respect to any individual or group, provided that CP could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w:t>
      </w:r>
    </w:p>
    <w:p>
      <w:pPr>
        <w:jc w:val="both"/>
        <w:ind w:left="580" w:right="579" w:hanging="6"/>
        <w:spacing w:after="0" w:line="260" w:lineRule="auto"/>
        <w:tabs>
          <w:tab w:leader="none" w:pos="8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default interest from 15% to 18% per annum, and (vi) providing for the payment of interest every six months, or in lieu of cash interest payments, we may issue shares as payments-in-kind at a conversion price equal to the higher of (i) $21.90 or (ii) a 20% discount to our trailing seven-day volume weighted average price as of the date of interest payment. Immediately following the execution of the CP Note, CP immediately elected to convert approximately $3.9 million of outstanding principal into an aggregate of 2,671,633 shares of common stock, and assigned its rights to receive such shares to entities affiliated with Mr. Chang and Ms. Chan.</w:t>
      </w:r>
    </w:p>
    <w:p>
      <w:pPr>
        <w:spacing w:after="0" w:line="10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May 21, 2024, we and CP entered into a further amendment to the CP Note, pursuant to which CP could elect, in lieu of shares of common stock issuable upon conversion of the CP Note, to instead receive pre-funded warrants. Immediately following the amendment of the CP Note, CP Acquisitions elected to convert $11.5 million of outstanding principal into pre-funded warrants. In connection with the sale of our cultivation business on December 31, 2024, CP assumed all of our obligations under the 2024 CP Note.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CP Acquisitions, LLC Promissory Note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August 14, 2024, we issued a junior secured promissory note (the “2024 CP Note”) to CP. Pursuant to the 2024 CP Note, CP would lend us up to $1.5 million. The 2024 CP Note bore interest at a rate of 10% per annum, would mature in full on July 1, 2025, and could be prepaid without any fee or penalty. The 2024 CP Note was secured by our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assets and ranked junior to our existing secured indebtedness. The 2024 CP Note could be converted into Common Stock or, at CP’s election, pre-funded warrants, in each case at a conversion price of $3.9495. In connection with the sale of our cultivation business on December 31, 2024, CP assumed all of our obligations under the 2024 CP Note.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GIC Promissory Note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July 12, 2023, we issued an unsecured promissory note (the “GIC Note”) in favor of GIC Acquisitions, LLC (“GIC”), an entity that is owned and managed by Raymond Chang. The GIC Note bore interest at a rate of 10% per annum, would mature in full on August 6, 2023, and could be prepaid without any fee or penalty. The GIC Note ranked junior to all of our existing secured indebtedness. On October 27, 2023, we and GIC amended and restated the GIC Note to extend the maturity date until December 31, 2023 and we granted a junior security interest in our assets. On January 25, 2024, we and GIC further amended and restated the GIC Note to increase the principal amount thereunder to $1.0 million and to extend the maturity date until June 30, 2024. On May 21, 2024, we and GIC restated the GIC Note to increase the aggregate principal amount to approximately $2.29 million, extended the maturity date to December 31, 2025, and provided that the GIC Note may be converted into Common Stock or, at GIC’s election, pre-funded warrants. Immediately following the execution of the restated GIC Note, GIC elected to convert all of the outstanding principal under the GIC Note into pre-funded warrants.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RSLGH Convertible Note</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November 5, 2024, we issued a secured convertible note (the “RSLGH Note”) to RSLGH, LLC (“RSLGH”), a subsidiary of Green Thumb. Benjamin Kovler, our Chairman and Interim Chief Executive Officer, is the Chairman and Chief Executive Officer of Green Thumb, and Armon Vakili, a member of our Board, is the Vice President — Strategic Initiatives and Partnership at Green Thumb. The RSLGH Note is a secured obligation and ranks senior to all of our indebtedness. The RSLGH Note will mature on November 5, 2025 and has a 10.0% annualized interest rate, with interest to be paid on the first calendar day of each September and March while the RLSGH Note is outstanding, in cash. The principal amount of the RLSGH Note will be payable on its maturity date. The RLSGH Note provides for advances of up to $20.0 million in the aggregate, of which $10.0 million was advanced upon issuance. If RLSGH elects to convert the RLSGH Note, the conversion price per share will be $3.158, subject to customary adjustments for certain corporate events. The conversion of the RLSGH Note will be subject to certain customary conditions and the receipt of stockholder approval to the extent necessary under Nasdaq listing rules.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Sale of Cultivation Business</w:t>
      </w:r>
    </w:p>
    <w:p>
      <w:pPr>
        <w:spacing w:after="0" w:line="14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On December 31, 2024, we entered into and closed an asset purchase agreement (the “Cultivation Purchase Agreement”) with CP. Under the Cultivation Purchase Agreement, CP acquired assets from us relating to our Vertical Farming Unit (“VFU”) business, including the related Agrify total turnkey (“TTK”) solution assets and Agrify Insights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7"/>
          <w:szCs w:val="17"/>
          <w:color w:val="auto"/>
        </w:rPr>
        <w:t xml:space="preserve"> software solutions. The aggregate consideration received by us for the sale of the cultivation business consisted of the assumption by CP of (i) all of our obligations pursuant secured indebtedness then held by CP with an aggregate amount of principal and accrued interest of approximately $7 million, and (ii) certain other liabilities relating to the Cultivation Business.</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Shared Services Agreement</w:t>
      </w:r>
    </w:p>
    <w:p>
      <w:pPr>
        <w:spacing w:after="0" w:line="16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In connection with the Green Thumb’s investment in Agrify, Vision Management Services, LLC (“VMS”), a wholly-owned subsidiary of the Green Thumb, entered into a Shared Services Agreement with Agrify whereby VMS agreed to provide corporate and operational support to Agrify in exchange for fees based on the services provided. For 2024, the Company incurred fees of $225,655 in exchange for the services provided by VMS.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Sale of Shares to Chairman and Interim Chief Executive Officer</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November 21, 2024, Agrify completed the private placement to institutional investors and other accredited investors of (i) 203,988 shares of the Common Stock, and (ii) pre-funded warrants to purchase up to an aggregate of 949,515 shares of Common Stock, in a private placement offering. The purchase price for one share of Common Stock was $22.30. Benjamin Kovler, Agrify’s Chairman and Interim Chief Executive Officer, participated in the private placement to purchase 10,000 shares of Common Stock on the same terms as other investors except for a purchase price of $38.76 per share, pursuant to applicable Nasdaq listing rules.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is not aware of any other matter to be presented for action at the Annual Meeting. If any other matter requiring a vote of stockholders should arise, then the proxies (or their substitutes) will vote in accordance with their best judgment.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For business other than director nominations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120 days prior to the first anniversary of the date that the Company’s proxy statement released to shareholders in connection with the previous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 (x) a brief description of the business desired to be brought before the meeting, the reasons for conducting such business at the meeting and any material interest in such business of such stockholder on whose behalf the proposal is made; (y) as to the stockholder giving the notice</w:t>
      </w:r>
    </w:p>
    <w:p>
      <w:pPr>
        <w:spacing w:after="0" w:line="1" w:lineRule="exact"/>
        <w:rPr>
          <w:sz w:val="20"/>
          <w:szCs w:val="20"/>
          <w:color w:val="auto"/>
        </w:rPr>
      </w:pPr>
    </w:p>
    <w:p>
      <w:pPr>
        <w:jc w:val="both"/>
        <w:ind w:left="580" w:right="579" w:hanging="6"/>
        <w:spacing w:after="0" w:line="260" w:lineRule="auto"/>
        <w:tabs>
          <w:tab w:leader="none" w:pos="86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stockholder and (B)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00" w:lineRule="exact"/>
        <w:rPr>
          <w:sz w:val="20"/>
          <w:szCs w:val="20"/>
          <w:color w:val="auto"/>
        </w:rPr>
      </w:pPr>
    </w:p>
    <w:p>
      <w:pPr>
        <w:jc w:val="both"/>
        <w:ind w:left="580" w:right="579" w:firstLine="419"/>
        <w:spacing w:after="0" w:line="254" w:lineRule="auto"/>
        <w:rPr>
          <w:sz w:val="20"/>
          <w:szCs w:val="20"/>
          <w:color w:val="auto"/>
        </w:rPr>
      </w:pPr>
      <w:r>
        <w:rPr>
          <w:rFonts w:ascii="Times New Roman" w:cs="Times New Roman" w:eastAsia="Times New Roman" w:hAnsi="Times New Roman"/>
          <w:sz w:val="17"/>
          <w:szCs w:val="17"/>
          <w:color w:val="auto"/>
        </w:rPr>
        <w:t>In order for stockholders to give timely notice of nominations for directors for inclusion on a universal proxy card in connection with the 2026 Annual Meeting, notice must be submitted by no later than 60 calendar days prior to the anniversary of the previous year’s annual meeting date, except that, if the date of the meeting has changed by more than 30 calendar days from the previous year, then notice must be provided by the later of 60 calendar days prior to the date of the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public announcement of the date of the annual meeting is first made by the Company, and the notice must include the information in the notice required by our Amended and Restated Bylaws and by Rule 14a-19(b)</w:t>
      </w:r>
    </w:p>
    <w:p>
      <w:pPr>
        <w:ind w:left="580"/>
        <w:spacing w:after="0"/>
        <w:rPr>
          <w:sz w:val="20"/>
          <w:szCs w:val="20"/>
          <w:color w:val="auto"/>
        </w:rPr>
      </w:pPr>
      <w:r>
        <w:rPr>
          <w:rFonts w:ascii="Times New Roman" w:cs="Times New Roman" w:eastAsia="Times New Roman" w:hAnsi="Times New Roman"/>
          <w:sz w:val="17"/>
          <w:szCs w:val="17"/>
          <w:color w:val="auto"/>
        </w:rPr>
        <w:t>(2) under the Securities Exchange Act of 1934, as amended.</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2026 Annual Meeting of Stockholders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 be considered for presentation at our 2026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2026 Annual Meeting of Stockholders, but not included in the proxy statement or on the proxy card that are submitted outside the proposal process identified in the preceding sentence, if we do not receive notice of any such matter that a stockholder wishes to raise at the 2026 Annual Meeting of Stockholders during the period described under “Advance Notice Procedures” above, then no business matters, other than those included in the notice of Annual Meeting for the 2026 Annual Meeting of Stockholders, may properly come before the 2026 Annual Meeting of Stockholders. All proposals and notifications for the 2026 Annual Meeting of Stockholders should be addressed in writing to the attention of the Corporate Secretary, Agrify Corporation, 2220 Hicks Road, Suite 210, Rolling Meadows, Illinois 60008 and should satisfy the particular requirements of our Amended and Restated Bylaws.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2024 Annual Report on Form 10-K, as amended, accompanies this proxy statement (the “Form 10-K”). The Form 10-K for the year ended December 31, 2024 was filed with the SEC on March 21, 2025 and amended by Amendment No. 1 thereto filed with the SEC on March 28, 2025. </w:t>
      </w:r>
      <w:r>
        <w:rPr>
          <w:rFonts w:ascii="Times New Roman" w:cs="Times New Roman" w:eastAsia="Times New Roman" w:hAnsi="Times New Roman"/>
          <w:sz w:val="17"/>
          <w:szCs w:val="17"/>
          <w:b w:val="1"/>
          <w:bCs w:val="1"/>
          <w:color w:val="auto"/>
        </w:rPr>
        <w:t>We will furnish, upon written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request of any stockholder and the payment of an appropriate processing fee, copies of the exhibits to our Annual Report on Form 10-K. Please address all such requests to Agrify Corporation, 2220 Hicks Road, Suite 210, Rolling Meadows, Illinois 60008, Attention: Corporate Secretary.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Agrify Corporation, 2220 Hicks Road, Suite 210, Rolling Meadows, IL 60008, (855) 420-0020, or you can request a copy of any such document by visiting the 2025 Annual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73"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OMNIBUS EQUITY INCENTIVE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(marked to show proposed changes)</w:t>
      </w:r>
    </w:p>
    <w:p>
      <w:pPr>
        <w:spacing w:after="0" w:line="147" w:lineRule="exact"/>
        <w:rPr>
          <w:sz w:val="20"/>
          <w:szCs w:val="20"/>
          <w:color w:val="auto"/>
        </w:rPr>
      </w:pPr>
    </w:p>
    <w:p>
      <w:pPr>
        <w:ind w:left="1380" w:hanging="386"/>
        <w:spacing w:after="0"/>
        <w:tabs>
          <w:tab w:leader="none" w:pos="13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865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1.1 General Purpose. The name of this plan is the Agrify Corporation 2022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purposes of the Plan are to (a) enable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7524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86" w:lineRule="exact"/>
        <w:rPr>
          <w:sz w:val="20"/>
          <w:szCs w:val="20"/>
          <w:color w:val="auto"/>
        </w:rPr>
      </w:pPr>
    </w:p>
    <w:p>
      <w:pPr>
        <w:jc w:val="both"/>
        <w:ind w:left="1000" w:right="579" w:firstLine="419"/>
        <w:spacing w:after="0" w:line="274" w:lineRule="auto"/>
        <w:rPr>
          <w:sz w:val="20"/>
          <w:szCs w:val="20"/>
          <w:color w:val="auto"/>
        </w:rPr>
      </w:pPr>
      <w:r>
        <w:rPr>
          <w:rFonts w:ascii="Times New Roman" w:cs="Times New Roman" w:eastAsia="Times New Roman" w:hAnsi="Times New Roman"/>
          <w:sz w:val="17"/>
          <w:szCs w:val="17"/>
          <w:color w:val="auto"/>
        </w:rPr>
        <w:t>1.2 Eligible Award Recipients.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-304800</wp:posOffset>
            </wp:positionV>
            <wp:extent cx="12325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80"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1.3 Available Awards. Awards that may be granted under the Plan include: (a) Incentive Stock Options, (b) Non-qualified Stock Options, (c) Stock Appreciation Rights, (d) Restricted Awards, (e) Performance Share Awards, (f) Cash Awards, and (g) Other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793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78" w:lineRule="exact"/>
        <w:rPr>
          <w:sz w:val="20"/>
          <w:szCs w:val="20"/>
          <w:color w:val="auto"/>
        </w:rPr>
      </w:pPr>
    </w:p>
    <w:p>
      <w:pPr>
        <w:ind w:left="1380" w:hanging="38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 corporation or other entity that, directly or through one or more intermediaries, controls, is controlled by or is under common control with, the Company.</w:t>
      </w:r>
    </w:p>
    <w:p>
      <w:pPr>
        <w:spacing w:after="0" w:line="63" w:lineRule="exact"/>
        <w:rPr>
          <w:sz w:val="20"/>
          <w:szCs w:val="20"/>
          <w:color w:val="auto"/>
        </w:rPr>
      </w:pPr>
    </w:p>
    <w:p>
      <w:pPr>
        <w:jc w:val="both"/>
        <w:ind w:left="1000" w:right="599" w:firstLine="1257"/>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316"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94" w:lineRule="exact"/>
        <w:rPr>
          <w:sz w:val="20"/>
          <w:szCs w:val="20"/>
          <w:color w:val="auto"/>
        </w:rPr>
      </w:pPr>
    </w:p>
    <w:p>
      <w:pPr>
        <w:jc w:val="both"/>
        <w:ind w:left="1000" w:right="579" w:firstLine="1257"/>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86" w:lineRule="exact"/>
        <w:rPr>
          <w:sz w:val="20"/>
          <w:szCs w:val="20"/>
          <w:color w:val="auto"/>
        </w:rPr>
      </w:pPr>
    </w:p>
    <w:p>
      <w:pPr>
        <w:jc w:val="both"/>
        <w:ind w:left="1000" w:right="599" w:firstLine="1257"/>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 as constituted at any time.</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Award</w:t>
      </w:r>
      <w:r>
        <w:rPr>
          <w:rFonts w:ascii="Times New Roman" w:cs="Times New Roman" w:eastAsia="Times New Roman" w:hAnsi="Times New Roman"/>
          <w:sz w:val="17"/>
          <w:szCs w:val="17"/>
          <w:color w:val="auto"/>
        </w:rPr>
        <w:t>” means an Award denominated in cash that is granted under Section 10</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of the Plan.</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w:t>
      </w:r>
    </w:p>
    <w:p>
      <w:pPr>
        <w:spacing w:after="0" w:line="160" w:lineRule="exact"/>
        <w:rPr>
          <w:sz w:val="20"/>
          <w:szCs w:val="20"/>
          <w:color w:val="auto"/>
        </w:rPr>
      </w:pPr>
    </w:p>
    <w:p>
      <w:pPr>
        <w:ind w:left="2260" w:right="579"/>
        <w:spacing w:after="0" w:line="296" w:lineRule="auto"/>
        <w:rPr>
          <w:sz w:val="20"/>
          <w:szCs w:val="20"/>
          <w:color w:val="auto"/>
        </w:rPr>
      </w:pPr>
      <w:r>
        <w:rPr>
          <w:rFonts w:ascii="Times New Roman" w:cs="Times New Roman" w:eastAsia="Times New Roman" w:hAnsi="Times New Roman"/>
          <w:sz w:val="17"/>
          <w:szCs w:val="17"/>
          <w:color w:val="auto"/>
        </w:rPr>
        <w:t>With respect to any Employee or Consultant, unless the applicable Award Agreement states otherwise:</w:t>
      </w:r>
    </w:p>
    <w:p>
      <w:pPr>
        <w:spacing w:after="0" w:line="81" w:lineRule="exact"/>
        <w:rPr>
          <w:sz w:val="20"/>
          <w:szCs w:val="20"/>
          <w:color w:val="auto"/>
        </w:rPr>
      </w:pPr>
    </w:p>
    <w:p>
      <w:pPr>
        <w:jc w:val="both"/>
        <w:ind w:left="2260" w:right="599" w:hanging="9"/>
        <w:spacing w:after="0" w:line="276" w:lineRule="auto"/>
        <w:tabs>
          <w:tab w:leader="none" w:pos="252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or Consultant is a party to an employment or service agreement with the Company or its Affiliates and such agreement provides for a definition of Cause, the definition contained therein;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2260" w:right="579" w:hanging="9"/>
        <w:spacing w:after="0" w:line="261" w:lineRule="auto"/>
        <w:tabs>
          <w:tab w:leader="none" w:pos="253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14" w:lineRule="exact"/>
        <w:rPr>
          <w:sz w:val="20"/>
          <w:szCs w:val="20"/>
          <w:color w:val="auto"/>
        </w:rPr>
      </w:pPr>
    </w:p>
    <w:p>
      <w:pPr>
        <w:jc w:val="both"/>
        <w:ind w:left="2260" w:right="579"/>
        <w:spacing w:after="0" w:line="276" w:lineRule="auto"/>
        <w:rPr>
          <w:sz w:val="20"/>
          <w:szCs w:val="20"/>
          <w:color w:val="auto"/>
        </w:rPr>
      </w:pPr>
      <w:r>
        <w:rPr>
          <w:rFonts w:ascii="Times New Roman" w:cs="Times New Roman" w:eastAsia="Times New Roman" w:hAnsi="Times New Roman"/>
          <w:sz w:val="17"/>
          <w:szCs w:val="17"/>
          <w:color w:val="auto"/>
        </w:rPr>
        <w:t>With respect to any Director, unless the applicable Award Agreement states otherwise, a determination by a majority of the disinterested Board members that the Director has engaged in any of the following:</w:t>
      </w:r>
    </w:p>
    <w:p>
      <w:pPr>
        <w:spacing w:after="0" w:line="98" w:lineRule="exact"/>
        <w:rPr>
          <w:sz w:val="20"/>
          <w:szCs w:val="20"/>
          <w:color w:val="auto"/>
        </w:rPr>
      </w:pPr>
    </w:p>
    <w:p>
      <w:pPr>
        <w:ind w:left="2480" w:hanging="229"/>
        <w:spacing w:after="0"/>
        <w:tabs>
          <w:tab w:leader="none" w:pos="2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malfeasance in office;</w:t>
      </w:r>
    </w:p>
    <w:p>
      <w:pPr>
        <w:spacing w:after="0" w:line="145" w:lineRule="exact"/>
        <w:rPr>
          <w:rFonts w:ascii="Times New Roman" w:cs="Times New Roman" w:eastAsia="Times New Roman" w:hAnsi="Times New Roman"/>
          <w:sz w:val="17"/>
          <w:szCs w:val="17"/>
          <w:color w:val="auto"/>
        </w:rPr>
      </w:pPr>
    </w:p>
    <w:p>
      <w:pPr>
        <w:ind w:left="2500" w:hanging="249"/>
        <w:spacing w:after="0"/>
        <w:tabs>
          <w:tab w:leader="none" w:pos="25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misconduct or neglect;</w:t>
      </w:r>
    </w:p>
    <w:p>
      <w:pPr>
        <w:spacing w:after="0" w:line="158" w:lineRule="exact"/>
        <w:rPr>
          <w:rFonts w:ascii="Times New Roman" w:cs="Times New Roman" w:eastAsia="Times New Roman" w:hAnsi="Times New Roman"/>
          <w:sz w:val="17"/>
          <w:szCs w:val="17"/>
          <w:color w:val="auto"/>
        </w:rPr>
      </w:pPr>
    </w:p>
    <w:p>
      <w:pPr>
        <w:ind w:left="2480" w:hanging="229"/>
        <w:spacing w:after="0"/>
        <w:tabs>
          <w:tab w:leader="none" w:pos="2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or fraudulent misrepresentation inducing the director’s appointment;</w:t>
      </w:r>
    </w:p>
    <w:p>
      <w:pPr>
        <w:spacing w:after="0" w:line="158" w:lineRule="exact"/>
        <w:rPr>
          <w:rFonts w:ascii="Times New Roman" w:cs="Times New Roman" w:eastAsia="Times New Roman" w:hAnsi="Times New Roman"/>
          <w:sz w:val="17"/>
          <w:szCs w:val="17"/>
          <w:color w:val="auto"/>
        </w:rPr>
      </w:pPr>
    </w:p>
    <w:p>
      <w:pPr>
        <w:ind w:left="2500" w:hanging="249"/>
        <w:spacing w:after="0"/>
        <w:tabs>
          <w:tab w:leader="none" w:pos="25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conversion of corporate funds; or</w:t>
      </w:r>
    </w:p>
    <w:p>
      <w:pPr>
        <w:spacing w:after="0" w:line="145"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1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failure to participate in Board meetings on a regular basis despite having received proper notice of the meetings in advance.</w:t>
      </w:r>
    </w:p>
    <w:p>
      <w:pPr>
        <w:spacing w:after="0" w:line="81" w:lineRule="exact"/>
        <w:rPr>
          <w:sz w:val="20"/>
          <w:szCs w:val="20"/>
          <w:color w:val="auto"/>
        </w:rPr>
      </w:pPr>
    </w:p>
    <w:p>
      <w:pPr>
        <w:ind w:left="1000" w:right="599" w:firstLine="1257"/>
        <w:spacing w:after="0" w:line="296"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 has been discharged for Cause.</w:t>
      </w:r>
    </w:p>
    <w:p>
      <w:pPr>
        <w:spacing w:after="0" w:line="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jc w:val="both"/>
        <w:ind w:left="2260" w:right="599" w:hanging="9"/>
        <w:spacing w:after="0" w:line="270" w:lineRule="auto"/>
        <w:tabs>
          <w:tab w:leader="none" w:pos="250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02"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0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for any reason to constitute at least a majority of the Board;</w:t>
      </w:r>
    </w:p>
    <w:p>
      <w:pPr>
        <w:spacing w:after="0" w:line="81"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3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which is 10 business days prior to the consummation of a complete liquidation or dissolution of the Company;</w:t>
      </w:r>
    </w:p>
    <w:p>
      <w:pPr>
        <w:spacing w:after="0" w:line="67" w:lineRule="exact"/>
        <w:rPr>
          <w:rFonts w:ascii="Times New Roman" w:cs="Times New Roman" w:eastAsia="Times New Roman" w:hAnsi="Times New Roman"/>
          <w:sz w:val="17"/>
          <w:szCs w:val="17"/>
          <w:color w:val="auto"/>
        </w:rPr>
      </w:pPr>
    </w:p>
    <w:p>
      <w:pPr>
        <w:jc w:val="both"/>
        <w:ind w:left="2260" w:right="579" w:hanging="9"/>
        <w:spacing w:after="0" w:line="260" w:lineRule="auto"/>
        <w:tabs>
          <w:tab w:leader="none" w:pos="251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7"/>
          <w:szCs w:val="17"/>
          <w:b w:val="1"/>
          <w:bCs w:val="1"/>
          <w:color w:val="auto"/>
        </w:rPr>
        <w:t>Outstanding Company Common Stock</w:t>
      </w:r>
      <w:r>
        <w:rPr>
          <w:rFonts w:ascii="Times New Roman" w:cs="Times New Roman" w:eastAsia="Times New Roman" w:hAnsi="Times New Roman"/>
          <w:sz w:val="17"/>
          <w:szCs w:val="17"/>
          <w:color w:val="auto"/>
        </w:rPr>
        <w:t>”) or (ii) the combined voting power of the then outstanding voting securities of the Company entitled to vote generally in the 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this Plan, the following acquisitions shall not constitute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320" w:lineRule="exact"/>
        <w:rPr>
          <w:rFonts w:ascii="Times New Roman" w:cs="Times New Roman" w:eastAsia="Times New Roman" w:hAnsi="Times New Roman"/>
          <w:sz w:val="17"/>
          <w:szCs w:val="17"/>
          <w:color w:val="auto"/>
        </w:rPr>
      </w:pPr>
    </w:p>
    <w:p>
      <w:pPr>
        <w:jc w:val="both"/>
        <w:ind w:left="2260" w:right="579" w:hanging="9"/>
        <w:spacing w:after="0" w:line="267" w:lineRule="auto"/>
        <w:tabs>
          <w:tab w:leader="none" w:pos="2553"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immediately following such Business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2260" w:right="579"/>
        <w:spacing w:after="0" w:line="259" w:lineRule="auto"/>
        <w:rPr>
          <w:sz w:val="20"/>
          <w:szCs w:val="20"/>
          <w:color w:val="auto"/>
        </w:rPr>
      </w:pPr>
      <w:r>
        <w:rPr>
          <w:rFonts w:ascii="Times New Roman" w:cs="Times New Roman" w:eastAsia="Times New Roman" w:hAnsi="Times New Roman"/>
          <w:sz w:val="17"/>
          <w:szCs w:val="17"/>
          <w:color w:val="auto"/>
        </w:rPr>
        <w:t>Combination: (i) more than 50% of the total voting power of (A) the entity resulting from such Business Combination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13"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jc w:val="both"/>
        <w:ind w:left="1000" w:right="57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one or more members of the Board appointed by the Board to administer the Plan in accordance with Section 3.3 and Section 3.4.</w:t>
      </w:r>
    </w:p>
    <w:p>
      <w:pPr>
        <w:spacing w:after="0" w:line="63"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$0.001 par value per share, of the Company, or such other securities of the Company as may be designated by the Committee from time to time in substitution thereof.</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and any successor</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thereto.</w:t>
      </w:r>
    </w:p>
    <w:p>
      <w:pPr>
        <w:spacing w:after="0" w:line="138"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80" w:lineRule="exact"/>
        <w:rPr>
          <w:sz w:val="20"/>
          <w:szCs w:val="20"/>
          <w:color w:val="auto"/>
        </w:rPr>
      </w:pPr>
    </w:p>
    <w:p>
      <w:pPr>
        <w:jc w:val="both"/>
        <w:ind w:left="1000" w:right="579" w:firstLine="12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there is no interruption or termination of the Participant’s Continuous Service;</w:t>
      </w:r>
      <w:r>
        <w:rPr>
          <w:rFonts w:ascii="Times New Roman" w:cs="Times New Roman" w:eastAsia="Times New Roman" w:hAnsi="Times New Roman"/>
          <w:sz w:val="17"/>
          <w:szCs w:val="17"/>
          <w:i w:val="1"/>
          <w:iCs w:val="1"/>
          <w:color w:val="auto"/>
        </w:rPr>
        <w:t xml:space="preserve"> provided further that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Deferred Stock Units (DSUs)</w:t>
      </w:r>
      <w:r>
        <w:rPr>
          <w:rFonts w:ascii="Times New Roman" w:cs="Times New Roman" w:eastAsia="Times New Roman" w:hAnsi="Times New Roman"/>
          <w:sz w:val="17"/>
          <w:szCs w:val="17"/>
          <w:color w:val="auto"/>
        </w:rPr>
        <w:t>” has the meaning set forth in Section 8.1(b) hereof.</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has the meaning set forth in Section 17.12.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firstLine="1257"/>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the date that the Company’s shareholders approve this Plan if such shareholder approval occurs before the first anniversary of the date the Plan is adopted by the Board.</w:t>
      </w:r>
    </w:p>
    <w:p>
      <w:pPr>
        <w:spacing w:after="0" w:line="300" w:lineRule="exact"/>
        <w:rPr>
          <w:sz w:val="20"/>
          <w:szCs w:val="20"/>
          <w:color w:val="auto"/>
        </w:rPr>
      </w:pPr>
    </w:p>
    <w:p>
      <w:pPr>
        <w:jc w:val="both"/>
        <w:ind w:left="1000" w:right="579" w:firstLine="1257"/>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means any person, including an Officer or Director, employed by the Company or an Affiliate;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45" w:lineRule="exact"/>
        <w:rPr>
          <w:sz w:val="20"/>
          <w:szCs w:val="20"/>
          <w:color w:val="auto"/>
        </w:rPr>
      </w:pPr>
    </w:p>
    <w:p>
      <w:pPr>
        <w:jc w:val="both"/>
        <w:ind w:left="1000" w:right="579" w:firstLine="1257"/>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In the absence of an established market for the Common Stock, the Fair Market Value shall be determined in good faith by the Committee and such determination shall be conclusive and binding on all persons.</w:t>
      </w:r>
    </w:p>
    <w:p>
      <w:pPr>
        <w:spacing w:after="0" w:line="1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Company’s fiscal year.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unless the applicable Award Agreement states otherwise:</w:t>
      </w:r>
    </w:p>
    <w:p>
      <w:pPr>
        <w:spacing w:after="0" w:line="160" w:lineRule="exact"/>
        <w:rPr>
          <w:sz w:val="20"/>
          <w:szCs w:val="20"/>
          <w:color w:val="auto"/>
        </w:rPr>
      </w:pPr>
    </w:p>
    <w:p>
      <w:pPr>
        <w:jc w:val="both"/>
        <w:ind w:left="2260" w:right="579" w:hanging="9"/>
        <w:spacing w:after="0" w:line="276" w:lineRule="auto"/>
        <w:tabs>
          <w:tab w:leader="none" w:pos="2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98" w:lineRule="exact"/>
        <w:rPr>
          <w:rFonts w:ascii="Times New Roman" w:cs="Times New Roman" w:eastAsia="Times New Roman" w:hAnsi="Times New Roman"/>
          <w:sz w:val="17"/>
          <w:szCs w:val="17"/>
          <w:color w:val="auto"/>
        </w:rPr>
      </w:pPr>
    </w:p>
    <w:p>
      <w:pPr>
        <w:jc w:val="both"/>
        <w:ind w:left="2260" w:right="579" w:hanging="9"/>
        <w:spacing w:after="0" w:line="261" w:lineRule="auto"/>
        <w:tabs>
          <w:tab w:leader="none" w:pos="251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 (ii) a material reduction in the Participant’s base salary or bonus opportunity other than as part of an across-the-board salary reduction that applies in substantially the same proportions to all similarly situated Employees.</w:t>
      </w:r>
    </w:p>
    <w:p>
      <w:pPr>
        <w:spacing w:after="0" w:line="99" w:lineRule="exact"/>
        <w:rPr>
          <w:sz w:val="20"/>
          <w:szCs w:val="20"/>
          <w:color w:val="auto"/>
        </w:rPr>
      </w:pPr>
    </w:p>
    <w:p>
      <w:pPr>
        <w:jc w:val="both"/>
        <w:ind w:left="1000" w:right="579" w:firstLine="1257"/>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310"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within the meaning of Section 422 of the Code and that meets the requirements set out in the Plan.</w:t>
      </w:r>
    </w:p>
    <w:p>
      <w:pPr>
        <w:spacing w:after="0" w:line="94" w:lineRule="exact"/>
        <w:rPr>
          <w:sz w:val="20"/>
          <w:szCs w:val="20"/>
          <w:color w:val="auto"/>
        </w:rPr>
      </w:pPr>
    </w:p>
    <w:p>
      <w:pPr>
        <w:jc w:val="both"/>
        <w:ind w:left="1000" w:right="579" w:firstLine="1257"/>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means individuals who, on the Effective Date, constitute the Board,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97"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means a Director who is a “non-employee director” within the meaning of Rule 16b-3.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by its terms does not qualify or is not intended to qualify as an Incentive Stock Option.</w:t>
      </w:r>
    </w:p>
    <w:p>
      <w:pPr>
        <w:spacing w:after="0" w:line="76" w:lineRule="exact"/>
        <w:rPr>
          <w:sz w:val="20"/>
          <w:szCs w:val="20"/>
          <w:color w:val="auto"/>
        </w:rPr>
      </w:pPr>
    </w:p>
    <w:p>
      <w:pPr>
        <w:jc w:val="both"/>
        <w:ind w:left="1000" w:right="57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7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 Option granted pursuant to the Plan.</w:t>
      </w:r>
    </w:p>
    <w:p>
      <w:pPr>
        <w:spacing w:after="0" w:line="63"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Price</w:t>
      </w:r>
      <w:r>
        <w:rPr>
          <w:rFonts w:ascii="Times New Roman" w:cs="Times New Roman" w:eastAsia="Times New Roman" w:hAnsi="Times New Roman"/>
          <w:sz w:val="17"/>
          <w:szCs w:val="17"/>
          <w:color w:val="auto"/>
        </w:rPr>
        <w:t>” means the price at which a share of Common Stock may be purchased upon the exercise of an Option.</w:t>
      </w:r>
    </w:p>
    <w:p>
      <w:pPr>
        <w:spacing w:after="0" w:line="76" w:lineRule="exact"/>
        <w:rPr>
          <w:sz w:val="20"/>
          <w:szCs w:val="20"/>
          <w:color w:val="auto"/>
        </w:rPr>
      </w:pPr>
    </w:p>
    <w:p>
      <w:pPr>
        <w:jc w:val="both"/>
        <w:ind w:left="1000" w:right="579" w:firstLine="125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Equity-Based Award” </w:t>
      </w:r>
      <w:r>
        <w:rPr>
          <w:rFonts w:ascii="Times New Roman" w:cs="Times New Roman" w:eastAsia="Times New Roman" w:hAnsi="Times New Roman"/>
          <w:sz w:val="17"/>
          <w:szCs w:val="17"/>
          <w:color w:val="auto"/>
        </w:rPr>
        <w:t>means an Award that is not an Option,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Appreciation Right, Restricted Stock, Restricted Stock Unit, or Performance Share Award that is granted under Section 10 and is payable by delivery of Common Stock and/or which is measured by reference to the value of Common Stock.</w:t>
      </w:r>
    </w:p>
    <w:p>
      <w:pPr>
        <w:spacing w:after="0" w:line="8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person to whom an Award is granted pursuant to the Plan or, if applicable, such other person who holds an outstanding Award.</w:t>
      </w:r>
    </w:p>
    <w:p>
      <w:pPr>
        <w:spacing w:after="0" w:line="76"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means, for a Performance Period, the one or more goals established by the Committee for the Performance Period based upon business criteria or other performance measures determined by the Committee in its discretion.</w:t>
      </w:r>
    </w:p>
    <w:p>
      <w:pPr>
        <w:spacing w:after="0" w:line="94"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 Award</w:t>
      </w:r>
      <w:r>
        <w:rPr>
          <w:rFonts w:ascii="Times New Roman" w:cs="Times New Roman" w:eastAsia="Times New Roman" w:hAnsi="Times New Roman"/>
          <w:sz w:val="17"/>
          <w:szCs w:val="17"/>
          <w:color w:val="auto"/>
        </w:rPr>
        <w:t>” means any Award granted pursuant to Section 9 hereof.</w:t>
      </w:r>
    </w:p>
    <w:p>
      <w:pPr>
        <w:spacing w:after="0" w:line="158"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w:t>
      </w:r>
      <w:r>
        <w:rPr>
          <w:rFonts w:ascii="Times New Roman" w:cs="Times New Roman" w:eastAsia="Times New Roman" w:hAnsi="Times New Roman"/>
          <w:sz w:val="17"/>
          <w:szCs w:val="17"/>
          <w:color w:val="auto"/>
        </w:rPr>
        <w:t>” means the grant of a right to receive a number of actual shares of Common Stock or share units based upon the performance of the Company during a Performance Period, as determined by the Committee.</w:t>
      </w:r>
    </w:p>
    <w:p>
      <w:pPr>
        <w:spacing w:after="0" w:line="94" w:lineRule="exact"/>
        <w:rPr>
          <w:sz w:val="20"/>
          <w:szCs w:val="20"/>
          <w:color w:val="auto"/>
        </w:rPr>
      </w:pPr>
    </w:p>
    <w:p>
      <w:pPr>
        <w:jc w:val="both"/>
        <w:ind w:left="1000" w:right="579" w:firstLine="1257"/>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 person as defined in Section 13(d)(3) of the Exchange Act.</w:t>
      </w:r>
    </w:p>
    <w:p>
      <w:pPr>
        <w:spacing w:after="0" w:line="158"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Omnibus Equity Incentive Plan, as amended and/or amended and restated from time to time.</w:t>
      </w:r>
    </w:p>
    <w:p>
      <w:pPr>
        <w:spacing w:after="0" w:line="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Award</w:t>
      </w:r>
      <w:r>
        <w:rPr>
          <w:rFonts w:ascii="Times New Roman" w:cs="Times New Roman" w:eastAsia="Times New Roman" w:hAnsi="Times New Roman"/>
          <w:sz w:val="17"/>
          <w:szCs w:val="17"/>
          <w:color w:val="auto"/>
        </w:rPr>
        <w:t>” means any Award granted pursuant to Section 8.</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has the meaning set forth in Section 8.</w:t>
      </w:r>
    </w:p>
    <w:p>
      <w:pPr>
        <w:spacing w:after="0" w:line="145"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firstLine="1257"/>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has the meaning set forth in Section 6.4.</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 xml:space="preserve">“Substitute Award” </w:t>
      </w:r>
      <w:r>
        <w:rPr>
          <w:rFonts w:ascii="Times New Roman" w:cs="Times New Roman" w:eastAsia="Times New Roman" w:hAnsi="Times New Roman"/>
          <w:sz w:val="17"/>
          <w:szCs w:val="17"/>
          <w:color w:val="auto"/>
        </w:rPr>
        <w:t>has the meaning set forth in Section 4.5.</w:t>
      </w:r>
    </w:p>
    <w:p>
      <w:pPr>
        <w:spacing w:after="0" w:line="145"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 Percent Shareholder</w:t>
      </w:r>
      <w:r>
        <w:rPr>
          <w:rFonts w:ascii="Times New Roman" w:cs="Times New Roman" w:eastAsia="Times New Roman" w:hAnsi="Times New Roman"/>
          <w:sz w:val="17"/>
          <w:szCs w:val="17"/>
          <w:color w:val="auto"/>
        </w:rPr>
        <w:t>” means a person who owns (or is deemed to own pursuant to Section 424(d) of the Code) stock possessing more than 10% of the total combined voting power of all classes of stock of the Company or of any of its Affiliates.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has the meaning set forth in Section 4.1.</w:t>
      </w:r>
    </w:p>
    <w:p>
      <w:pPr>
        <w:spacing w:after="0" w:line="160" w:lineRule="exact"/>
        <w:rPr>
          <w:sz w:val="20"/>
          <w:szCs w:val="20"/>
          <w:color w:val="auto"/>
        </w:rPr>
      </w:pPr>
    </w:p>
    <w:p>
      <w:pPr>
        <w:ind w:left="1380" w:hanging="38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3.1 Authority of Committee.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079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83" w:lineRule="exact"/>
        <w:rPr>
          <w:sz w:val="20"/>
          <w:szCs w:val="20"/>
          <w:color w:val="auto"/>
        </w:rPr>
      </w:pPr>
    </w:p>
    <w:p>
      <w:pPr>
        <w:ind w:left="2420" w:hanging="588"/>
        <w:spacing w:after="0"/>
        <w:tabs>
          <w:tab w:leader="none" w:pos="2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apply its provisions;</w:t>
      </w:r>
    </w:p>
    <w:p>
      <w:pPr>
        <w:spacing w:after="0" w:line="15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promulgate, amend, and rescind rules and regulations relating to the administration</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of the Plan;</w:t>
      </w:r>
    </w:p>
    <w:p>
      <w:pPr>
        <w:spacing w:after="0" w:line="127" w:lineRule="exact"/>
        <w:rPr>
          <w:sz w:val="20"/>
          <w:szCs w:val="20"/>
          <w:color w:val="auto"/>
        </w:rPr>
      </w:pPr>
    </w:p>
    <w:p>
      <w:pPr>
        <w:ind w:left="1000" w:right="599" w:firstLine="832"/>
        <w:spacing w:after="0" w:line="296" w:lineRule="auto"/>
        <w:tabs>
          <w:tab w:leader="none" w:pos="242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any person to execute, on behalf of the Company, any instrument required to carry out the purposes of the Plan;</w:t>
      </w:r>
    </w:p>
    <w:p>
      <w:pPr>
        <w:spacing w:after="0" w:line="81" w:lineRule="exact"/>
        <w:rPr>
          <w:rFonts w:ascii="Times New Roman" w:cs="Times New Roman" w:eastAsia="Times New Roman" w:hAnsi="Times New Roman"/>
          <w:sz w:val="17"/>
          <w:szCs w:val="17"/>
          <w:color w:val="auto"/>
        </w:rPr>
      </w:pPr>
    </w:p>
    <w:p>
      <w:pPr>
        <w:ind w:left="1000" w:right="599" w:firstLine="832"/>
        <w:spacing w:after="0" w:line="296" w:lineRule="auto"/>
        <w:tabs>
          <w:tab w:leader="none" w:pos="2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its authority to one or more Officers of the Company with respect to Awards that do not involve “insiders” within the meaning of Section 16 of the Exchange Act;</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Awards are to be granted under the Plan and the applicable Grant</w:t>
      </w:r>
    </w:p>
    <w:p>
      <w:pPr>
        <w:spacing w:after="0" w:line="3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pacing w:after="0" w:line="127" w:lineRule="exact"/>
        <w:rPr>
          <w:rFonts w:ascii="Times New Roman" w:cs="Times New Roman" w:eastAsia="Times New Roman" w:hAnsi="Times New Roman"/>
          <w:sz w:val="17"/>
          <w:szCs w:val="17"/>
          <w:color w:val="auto"/>
        </w:rPr>
      </w:pPr>
    </w:p>
    <w:p>
      <w:pPr>
        <w:ind w:left="1000" w:right="599" w:firstLine="832"/>
        <w:spacing w:after="0" w:line="296" w:lineRule="auto"/>
        <w:tabs>
          <w:tab w:leader="none" w:pos="247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to select, subject to the limitations set forth in this Plan, those eligible Award recipients to whom Awards shall be granted;</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made subject to each</w:t>
      </w:r>
    </w:p>
    <w:p>
      <w:pPr>
        <w:spacing w:after="0" w:line="3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140" w:lineRule="exact"/>
        <w:rPr>
          <w:rFonts w:ascii="Times New Roman" w:cs="Times New Roman" w:eastAsia="Times New Roman" w:hAnsi="Times New Roman"/>
          <w:sz w:val="17"/>
          <w:szCs w:val="17"/>
          <w:color w:val="auto"/>
        </w:rPr>
      </w:pPr>
    </w:p>
    <w:p>
      <w:pPr>
        <w:ind w:left="1000" w:right="579" w:firstLine="832"/>
        <w:spacing w:after="0" w:line="296" w:lineRule="auto"/>
        <w:tabs>
          <w:tab w:leader="none" w:pos="2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each Option is to be an Incentive Stock Option or a Non-qualified Stock Option;</w:t>
      </w:r>
    </w:p>
    <w:p>
      <w:pPr>
        <w:spacing w:after="0" w:line="67"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98"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85" w:lineRule="exact"/>
        <w:rPr>
          <w:rFonts w:ascii="Times New Roman" w:cs="Times New Roman" w:eastAsia="Times New Roman" w:hAnsi="Times New Roman"/>
          <w:sz w:val="17"/>
          <w:szCs w:val="17"/>
          <w:color w:val="auto"/>
        </w:rPr>
      </w:pPr>
    </w:p>
    <w:p>
      <w:pPr>
        <w:jc w:val="both"/>
        <w:ind w:left="1000" w:right="579" w:firstLine="832"/>
        <w:spacing w:after="0" w:line="267" w:lineRule="auto"/>
        <w:tabs>
          <w:tab w:leader="none" w:pos="2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04" w:lineRule="exact"/>
        <w:rPr>
          <w:rFonts w:ascii="Times New Roman" w:cs="Times New Roman" w:eastAsia="Times New Roman" w:hAnsi="Times New Roman"/>
          <w:sz w:val="17"/>
          <w:szCs w:val="17"/>
          <w:color w:val="auto"/>
        </w:rPr>
      </w:pPr>
    </w:p>
    <w:p>
      <w:pPr>
        <w:jc w:val="both"/>
        <w:ind w:left="1000" w:right="599" w:firstLine="832"/>
        <w:spacing w:after="0" w:line="270" w:lineRule="auto"/>
        <w:tabs>
          <w:tab w:leader="none" w:pos="2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599" w:firstLine="832"/>
        <w:spacing w:after="0" w:line="296" w:lineRule="auto"/>
        <w:tabs>
          <w:tab w:leader="none" w:pos="244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decisions with respect to outstanding Awards that may become necessary upon a change in corporate control or an event that triggers anti-dilution adjustments;</w:t>
      </w:r>
    </w:p>
    <w:p>
      <w:pPr>
        <w:spacing w:after="0" w:line="81"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3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administer, reconcile any inconsistency in, correct any defect in and/or supply any omission in the Plan and any instrument or agreement relating to, or Award granted under, the Plan; and</w:t>
      </w:r>
    </w:p>
    <w:p>
      <w:pPr>
        <w:spacing w:after="0" w:line="98" w:lineRule="exact"/>
        <w:rPr>
          <w:rFonts w:ascii="Times New Roman" w:cs="Times New Roman" w:eastAsia="Times New Roman" w:hAnsi="Times New Roman"/>
          <w:sz w:val="17"/>
          <w:szCs w:val="17"/>
          <w:color w:val="auto"/>
        </w:rPr>
      </w:pPr>
    </w:p>
    <w:p>
      <w:pPr>
        <w:ind w:left="1000" w:right="579" w:firstLine="832"/>
        <w:spacing w:after="0" w:line="296" w:lineRule="auto"/>
        <w:tabs>
          <w:tab w:leader="none" w:pos="243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discretion to make any and all other determinations which it determines to be necessary or advisable for the administration of the Plan.</w:t>
      </w:r>
    </w:p>
    <w:p>
      <w:pPr>
        <w:spacing w:after="0" w:line="68" w:lineRule="exact"/>
        <w:rPr>
          <w:sz w:val="20"/>
          <w:szCs w:val="20"/>
          <w:color w:val="auto"/>
        </w:rPr>
      </w:pPr>
    </w:p>
    <w:p>
      <w:pPr>
        <w:jc w:val="both"/>
        <w:ind w:left="1000" w:right="579" w:firstLine="838"/>
        <w:spacing w:after="0" w:line="265" w:lineRule="auto"/>
        <w:rPr>
          <w:sz w:val="20"/>
          <w:szCs w:val="20"/>
          <w:color w:val="auto"/>
        </w:rPr>
      </w:pPr>
      <w:r>
        <w:rPr>
          <w:rFonts w:ascii="Times New Roman" w:cs="Times New Roman" w:eastAsia="Times New Roman" w:hAnsi="Times New Roman"/>
          <w:sz w:val="17"/>
          <w:szCs w:val="17"/>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06"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3.2 Committee Decisions Final. All decisions made by the Committee pursuant to the provisions of the Plan shall be final and binding on the Company and the Participants, unless such decisions are determined by a court having jurisdiction to be arbitrary and capricious.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2211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78"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07"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3.4 Committee Composition.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-1364615</wp:posOffset>
            </wp:positionV>
            <wp:extent cx="1101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91"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 xml:space="preserve">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103" w:lineRule="exact"/>
        <w:rPr>
          <w:sz w:val="20"/>
          <w:szCs w:val="20"/>
          <w:color w:val="auto"/>
        </w:rPr>
      </w:pPr>
    </w:p>
    <w:p>
      <w:pPr>
        <w:ind w:left="1380" w:hanging="386"/>
        <w:spacing w:after="0"/>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Subject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1157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4.1 Subject to adjustment in accordance with Section 14, an amount of shares of Common Stock equal to (i) </w:t>
      </w:r>
      <w:r>
        <w:rPr>
          <w:rFonts w:ascii="Times New Roman" w:cs="Times New Roman" w:eastAsia="Times New Roman" w:hAnsi="Times New Roman"/>
          <w:sz w:val="17"/>
          <w:szCs w:val="17"/>
          <w:u w:val="single" w:color="auto"/>
          <w:color w:val="2E3192"/>
        </w:rPr>
        <w:t>four hundred thirty-four thousand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D2232A"/>
          <w:strike w:val="1"/>
        </w:rPr>
        <w:t>two million seven hundred and sixty thousand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E3192"/>
        </w:rPr>
        <w:t>434,000</w:t>
      </w:r>
      <w:r>
        <w:rPr>
          <w:rFonts w:ascii="Times New Roman" w:cs="Times New Roman" w:eastAsia="Times New Roman" w:hAnsi="Times New Roman"/>
          <w:sz w:val="17"/>
          <w:szCs w:val="17"/>
          <w:color w:val="D2232A"/>
          <w:strike w:val="1"/>
        </w:rPr>
        <w:t>2,760,000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number of shares of Common Stock underlying any award granted under the Agrify Corporation 2020 Omnibus Equity Incentive Plan (the “</w:t>
      </w:r>
      <w:r>
        <w:rPr>
          <w:rFonts w:ascii="Times New Roman" w:cs="Times New Roman" w:eastAsia="Times New Roman" w:hAnsi="Times New Roman"/>
          <w:sz w:val="17"/>
          <w:szCs w:val="17"/>
          <w:b w:val="1"/>
          <w:bCs w:val="1"/>
          <w:color w:val="auto"/>
        </w:rPr>
        <w:t>Prior Plan</w:t>
      </w:r>
      <w:r>
        <w:rPr>
          <w:rFonts w:ascii="Times New Roman" w:cs="Times New Roman" w:eastAsia="Times New Roman" w:hAnsi="Times New Roman"/>
          <w:sz w:val="17"/>
          <w:szCs w:val="17"/>
          <w:color w:val="auto"/>
        </w:rPr>
        <w:t>”) that expires, terminates or is canceled or forfeited under the terms of the Prior Plan shall be available for the grant of Awards under the Plan (the “</w:t>
      </w: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During the terms of the Awards, the Company shall keep available at all times the number of shares of Common Stock required to satisfy such Awards.</w:t>
      </w:r>
    </w:p>
    <w:p>
      <w:pPr>
        <w:spacing w:after="0" w:line="98" w:lineRule="exact"/>
        <w:rPr>
          <w:sz w:val="20"/>
          <w:szCs w:val="20"/>
          <w:color w:val="auto"/>
        </w:rPr>
      </w:pPr>
    </w:p>
    <w:p>
      <w:pPr>
        <w:jc w:val="both"/>
        <w:ind w:left="1000" w:right="579" w:firstLine="419"/>
        <w:spacing w:after="0" w:line="289" w:lineRule="auto"/>
        <w:rPr>
          <w:sz w:val="20"/>
          <w:szCs w:val="20"/>
          <w:color w:val="auto"/>
        </w:rPr>
      </w:pPr>
      <w:r>
        <w:rPr>
          <w:rFonts w:ascii="Times New Roman" w:cs="Times New Roman" w:eastAsia="Times New Roman" w:hAnsi="Times New Roman"/>
          <w:sz w:val="17"/>
          <w:szCs w:val="17"/>
          <w:color w:val="auto"/>
        </w:rPr>
        <w:t>4.2 Shares of Common Stock available for distribution under the Plan may consist, in whole or in part, of authorized and unissued shares, treasury shares or shares reacquired by the Company in any manner.</w:t>
      </w:r>
    </w:p>
    <w:p>
      <w:pPr>
        <w:spacing w:after="0" w:line="302"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Times New Roman" w:cs="Times New Roman" w:eastAsia="Times New Roman" w:hAnsi="Times New Roman"/>
          <w:sz w:val="17"/>
          <w:szCs w:val="17"/>
          <w:b w:val="1"/>
          <w:bCs w:val="1"/>
          <w:color w:val="auto"/>
        </w:rPr>
        <w:t>“ISO Limit”</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97"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xml:space="preserve">”). Substitute Awards shall not be counted against the Total Share 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10" w:lineRule="exact"/>
        <w:rPr>
          <w:sz w:val="20"/>
          <w:szCs w:val="20"/>
          <w:color w:val="auto"/>
        </w:rPr>
      </w:pPr>
    </w:p>
    <w:p>
      <w:pPr>
        <w:ind w:left="1380" w:hanging="386"/>
        <w:spacing w:after="0"/>
        <w:tabs>
          <w:tab w:leader="none" w:pos="13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5.1 Eligibility for Specific Awards.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3849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70"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Ten Percent Shareholders</w:t>
      </w:r>
      <w:r>
        <w:rPr>
          <w:rFonts w:ascii="Times New Roman" w:cs="Times New Roman" w:eastAsia="Times New Roman" w:hAnsi="Times New Roman"/>
          <w:sz w:val="17"/>
          <w:szCs w:val="17"/>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98" w:lineRule="exact"/>
        <w:rPr>
          <w:sz w:val="20"/>
          <w:szCs w:val="20"/>
          <w:color w:val="auto"/>
        </w:rPr>
      </w:pPr>
    </w:p>
    <w:p>
      <w:pPr>
        <w:jc w:val="both"/>
        <w:ind w:left="580" w:right="599" w:firstLine="414"/>
        <w:spacing w:after="0" w:line="263" w:lineRule="auto"/>
        <w:tabs>
          <w:tab w:leader="none" w:pos="139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Provisions.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8039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05" w:lineRule="exact"/>
        <w:rPr>
          <w:sz w:val="20"/>
          <w:szCs w:val="20"/>
          <w:color w:val="auto"/>
        </w:rPr>
      </w:pPr>
    </w:p>
    <w:p>
      <w:pPr>
        <w:jc w:val="both"/>
        <w:ind w:left="100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Non-qualified Stock Option shall be exercisable after the expiration of 10 years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Date.</w:t>
      </w:r>
    </w:p>
    <w:p>
      <w:pPr>
        <w:spacing w:after="0" w:line="319"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6.2 Exercise Price of an Incentive Stock Option.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19456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3"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6.3 Exercise Price of a Non-qualified Stock Option.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22244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4405" cy="8255"/>
                    </a:xfrm>
                    <a:prstGeom prst="rect">
                      <a:avLst/>
                    </a:prstGeom>
                    <a:noFill/>
                  </pic:spPr>
                </pic:pic>
              </a:graphicData>
            </a:graphic>
          </wp:anchor>
        </w:drawing>
      </w:r>
    </w:p>
    <w:p>
      <w:pPr>
        <w:spacing w:after="0" w:line="86" w:lineRule="exact"/>
        <w:rPr>
          <w:sz w:val="20"/>
          <w:szCs w:val="20"/>
          <w:color w:val="auto"/>
        </w:rPr>
      </w:pPr>
    </w:p>
    <w:p>
      <w:pPr>
        <w:jc w:val="both"/>
        <w:ind w:left="1000" w:right="579" w:firstLine="419"/>
        <w:spacing w:after="0" w:line="25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340"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6.5 Transferability of an Incentive Stock Option.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21545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4555" cy="8255"/>
                    </a:xfrm>
                    <a:prstGeom prst="rect">
                      <a:avLst/>
                    </a:prstGeom>
                    <a:noFill/>
                  </pic:spPr>
                </pic:pic>
              </a:graphicData>
            </a:graphic>
          </wp:anchor>
        </w:drawing>
      </w:r>
    </w:p>
    <w:p>
      <w:pPr>
        <w:spacing w:after="0" w:line="71"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6.6 Transferability of a Non-qualified Stock Option.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2183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83765"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3"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6.7 Vesting of Options.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864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85"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6.8 Termination of Continuous Service.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659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59255" cy="8255"/>
                    </a:xfrm>
                    <a:prstGeom prst="rect">
                      <a:avLst/>
                    </a:prstGeom>
                    <a:noFill/>
                  </pic:spPr>
                </pic:pic>
              </a:graphicData>
            </a:graphic>
          </wp:anchor>
        </w:drawing>
      </w:r>
    </w:p>
    <w:p>
      <w:pPr>
        <w:spacing w:after="0" w:line="71"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6.9 Extension of Termination Date.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-1099185</wp:posOffset>
            </wp:positionV>
            <wp:extent cx="1376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90"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Incentive Stock Option $100,000 Limitation</w:t>
      </w:r>
      <w:r>
        <w:rPr>
          <w:rFonts w:ascii="Times New Roman" w:cs="Times New Roman" w:eastAsia="Times New Roman" w:hAnsi="Times New Roman"/>
          <w:sz w:val="17"/>
          <w:szCs w:val="17"/>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05" w:lineRule="exact"/>
        <w:rPr>
          <w:sz w:val="20"/>
          <w:szCs w:val="20"/>
          <w:color w:val="auto"/>
        </w:rPr>
      </w:pPr>
    </w:p>
    <w:p>
      <w:pPr>
        <w:jc w:val="both"/>
        <w:ind w:left="580" w:right="599" w:firstLine="414"/>
        <w:spacing w:after="0" w:line="267" w:lineRule="auto"/>
        <w:tabs>
          <w:tab w:leader="none" w:pos="139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or in tandem with an Option granted under the Plan (“</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Grant Requirements for 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03"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a Stock Appreciation Right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Stock Appreciation Right shall be exercisable later than the tenth anniversary of the Grant Date.</w:t>
      </w:r>
    </w:p>
    <w:p>
      <w:pPr>
        <w:spacing w:after="0" w:line="98"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u w:val="single" w:color="auto"/>
          <w:color w:val="auto"/>
        </w:rPr>
        <w:t>Vesting</w:t>
      </w:r>
    </w:p>
    <w:p>
      <w:pPr>
        <w:spacing w:after="0" w:line="145" w:lineRule="exact"/>
        <w:rPr>
          <w:sz w:val="20"/>
          <w:szCs w:val="20"/>
          <w:color w:val="auto"/>
        </w:rPr>
      </w:pPr>
    </w:p>
    <w:p>
      <w:pPr>
        <w:jc w:val="both"/>
        <w:ind w:left="1000" w:right="579" w:firstLine="838"/>
        <w:spacing w:after="0" w:line="267" w:lineRule="auto"/>
        <w:rPr>
          <w:sz w:val="20"/>
          <w:szCs w:val="20"/>
          <w:color w:val="auto"/>
        </w:rPr>
      </w:pPr>
      <w:r>
        <w:rPr>
          <w:rFonts w:ascii="Times New Roman" w:cs="Times New Roman" w:eastAsia="Times New Roman" w:hAnsi="Times New Roman"/>
          <w:sz w:val="17"/>
          <w:szCs w:val="17"/>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05"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7.4 Exercise and Payment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035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103"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7.5 Exercise Price 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-1229360</wp:posOffset>
            </wp:positionV>
            <wp:extent cx="662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305" cy="8255"/>
                    </a:xfrm>
                    <a:prstGeom prst="rect">
                      <a:avLst/>
                    </a:prstGeom>
                    <a:noFill/>
                  </pic:spPr>
                </pic:pic>
              </a:graphicData>
            </a:graphic>
          </wp:anchor>
        </w:drawing>
      </w:r>
    </w:p>
    <w:p>
      <w:pPr>
        <w:spacing w:after="0" w:line="94"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7.6 Reduction in the Underlying Option Shares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932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69" w:lineRule="exact"/>
        <w:rPr>
          <w:sz w:val="20"/>
          <w:szCs w:val="20"/>
          <w:color w:val="auto"/>
        </w:rPr>
      </w:pPr>
    </w:p>
    <w:p>
      <w:pPr>
        <w:jc w:val="both"/>
        <w:ind w:left="580" w:right="599" w:firstLine="414"/>
        <w:spacing w:after="0" w:line="262" w:lineRule="auto"/>
        <w:tabs>
          <w:tab w:leader="none" w:pos="139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Awards A Restricted Award is an Award of actual shares of Common Stock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hypothetical Common Stock units (“</w:t>
      </w: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having a value equal to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-1097915</wp:posOffset>
            </wp:positionV>
            <wp:extent cx="81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9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Restricted Stock and Restricted Stock Units</w:t>
      </w:r>
    </w:p>
    <w:p>
      <w:pPr>
        <w:spacing w:after="0" w:line="158" w:lineRule="exact"/>
        <w:rPr>
          <w:sz w:val="20"/>
          <w:szCs w:val="20"/>
          <w:color w:val="auto"/>
        </w:rPr>
      </w:pPr>
    </w:p>
    <w:p>
      <w:pPr>
        <w:jc w:val="both"/>
        <w:ind w:left="1420" w:right="579" w:firstLine="412"/>
        <w:spacing w:after="0" w:line="260" w:lineRule="auto"/>
        <w:tabs>
          <w:tab w:leader="none" w:pos="242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shall not have the right to receive dividends on any unvested shares of Restricted Stock.</w:t>
      </w:r>
    </w:p>
    <w:p>
      <w:pPr>
        <w:spacing w:after="0" w:line="102" w:lineRule="exact"/>
        <w:rPr>
          <w:rFonts w:ascii="Times New Roman" w:cs="Times New Roman" w:eastAsia="Times New Roman" w:hAnsi="Times New Roman"/>
          <w:sz w:val="17"/>
          <w:szCs w:val="17"/>
          <w:color w:val="auto"/>
        </w:rPr>
      </w:pPr>
    </w:p>
    <w:p>
      <w:pPr>
        <w:jc w:val="both"/>
        <w:ind w:left="1420" w:right="579" w:firstLine="412"/>
        <w:spacing w:after="0" w:line="263" w:lineRule="auto"/>
        <w:tabs>
          <w:tab w:leader="none" w:pos="24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color w:val="auto"/>
        </w:rPr>
        <w:t>Deferred Stock Units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Restrictions</w:t>
      </w:r>
    </w:p>
    <w:p>
      <w:pPr>
        <w:spacing w:after="0" w:line="158" w:lineRule="exact"/>
        <w:rPr>
          <w:sz w:val="20"/>
          <w:szCs w:val="20"/>
          <w:color w:val="auto"/>
        </w:rPr>
      </w:pPr>
    </w:p>
    <w:p>
      <w:pPr>
        <w:jc w:val="both"/>
        <w:ind w:left="1420" w:right="599" w:firstLine="412"/>
        <w:spacing w:after="0" w:line="270" w:lineRule="auto"/>
        <w:tabs>
          <w:tab w:leader="none" w:pos="242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spacing w:after="0" w:line="266" w:lineRule="auto"/>
        <w:rPr>
          <w:sz w:val="20"/>
          <w:szCs w:val="20"/>
          <w:color w:val="auto"/>
        </w:rPr>
      </w:pPr>
      <w:r>
        <w:rPr>
          <w:rFonts w:ascii="Times New Roman" w:cs="Times New Roman" w:eastAsia="Times New Roman" w:hAnsi="Times New Roman"/>
          <w:sz w:val="17"/>
          <w:szCs w:val="17"/>
          <w:color w:val="auto"/>
        </w:rPr>
        <w:t>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318" w:lineRule="exact"/>
        <w:rPr>
          <w:sz w:val="20"/>
          <w:szCs w:val="20"/>
          <w:color w:val="auto"/>
        </w:rPr>
      </w:pPr>
    </w:p>
    <w:p>
      <w:pPr>
        <w:jc w:val="both"/>
        <w:ind w:left="1420" w:right="579" w:firstLine="412"/>
        <w:spacing w:after="0" w:line="263" w:lineRule="auto"/>
        <w:tabs>
          <w:tab w:leader="none" w:pos="24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11" w:lineRule="exact"/>
        <w:rPr>
          <w:rFonts w:ascii="Times New Roman" w:cs="Times New Roman" w:eastAsia="Times New Roman" w:hAnsi="Times New Roman"/>
          <w:sz w:val="17"/>
          <w:szCs w:val="17"/>
          <w:color w:val="auto"/>
        </w:rPr>
      </w:pPr>
    </w:p>
    <w:p>
      <w:pPr>
        <w:jc w:val="both"/>
        <w:ind w:left="1420" w:right="579" w:firstLine="412"/>
        <w:spacing w:after="0" w:line="267" w:lineRule="auto"/>
        <w:tabs>
          <w:tab w:leader="none" w:pos="242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91"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Restricted Period</w:t>
      </w:r>
    </w:p>
    <w:p>
      <w:pPr>
        <w:spacing w:after="0" w:line="158" w:lineRule="exact"/>
        <w:rPr>
          <w:sz w:val="20"/>
          <w:szCs w:val="20"/>
          <w:color w:val="auto"/>
        </w:rPr>
      </w:pPr>
    </w:p>
    <w:p>
      <w:pPr>
        <w:jc w:val="both"/>
        <w:ind w:left="1420" w:right="599"/>
        <w:spacing w:after="0" w:line="267" w:lineRule="auto"/>
        <w:rPr>
          <w:sz w:val="20"/>
          <w:szCs w:val="20"/>
          <w:color w:val="auto"/>
        </w:rPr>
      </w:pPr>
      <w:r>
        <w:rPr>
          <w:rFonts w:ascii="Times New Roman" w:cs="Times New Roman" w:eastAsia="Times New Roman" w:hAnsi="Times New Roman"/>
          <w:sz w:val="17"/>
          <w:szCs w:val="17"/>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05"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8.4 Delivery of Restricted Stock and Settlement of Restricted Stock Units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7"/>
          <w:szCs w:val="17"/>
          <w:b w:val="1"/>
          <w:bCs w:val="1"/>
          <w:color w:val="auto"/>
        </w:rPr>
        <w:t>Vested 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-2023110</wp:posOffset>
            </wp:positionV>
            <wp:extent cx="3150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50235" cy="8255"/>
                    </a:xfrm>
                    <a:prstGeom prst="rect">
                      <a:avLst/>
                    </a:prstGeom>
                    <a:noFill/>
                  </pic:spPr>
                </pic:pic>
              </a:graphicData>
            </a:graphic>
          </wp:anchor>
        </w:drawing>
      </w:r>
    </w:p>
    <w:p>
      <w:pPr>
        <w:spacing w:after="0" w:line="298"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Stock Restrictions</w:t>
      </w:r>
      <w:r>
        <w:rPr>
          <w:rFonts w:ascii="Times New Roman" w:cs="Times New Roman" w:eastAsia="Times New Roman" w:hAnsi="Times New Roman"/>
          <w:sz w:val="17"/>
          <w:szCs w:val="17"/>
          <w:color w:val="auto"/>
        </w:rPr>
        <w:t xml:space="preserve"> Each certificate representing Restricted Stock awarded under the Plan shall bear a legend in such form as the Company deems appropriate.</w:t>
      </w:r>
    </w:p>
    <w:p>
      <w:pPr>
        <w:spacing w:after="0" w:line="81" w:lineRule="exact"/>
        <w:rPr>
          <w:sz w:val="20"/>
          <w:szCs w:val="20"/>
          <w:color w:val="auto"/>
        </w:rPr>
      </w:pPr>
    </w:p>
    <w:p>
      <w:pPr>
        <w:jc w:val="both"/>
        <w:ind w:left="580" w:right="579" w:firstLine="414"/>
        <w:spacing w:after="0" w:line="263" w:lineRule="auto"/>
        <w:tabs>
          <w:tab w:leader="none" w:pos="139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1275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9.1 Earning Performance Share Awards The number of Performance Shares earned by a Participant will depend on the extent to which the performance goals established by the Committee are attained within the applicable Performance Period,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711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78" w:lineRule="exact"/>
        <w:rPr>
          <w:sz w:val="20"/>
          <w:szCs w:val="20"/>
          <w:color w:val="auto"/>
        </w:rPr>
      </w:pPr>
    </w:p>
    <w:p>
      <w:pPr>
        <w:jc w:val="both"/>
        <w:ind w:left="580" w:right="579" w:firstLine="414"/>
        <w:spacing w:after="0" w:line="263" w:lineRule="auto"/>
        <w:tabs>
          <w:tab w:leader="none" w:pos="138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Equity-Based Awards and Cash Awards</w:t>
      </w:r>
      <w:r>
        <w:rPr>
          <w:rFonts w:ascii="Times New Roman" w:cs="Times New Roman" w:eastAsia="Times New Roman" w:hAnsi="Times New Roman"/>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11" w:lineRule="exact"/>
        <w:rPr>
          <w:rFonts w:ascii="Times New Roman" w:cs="Times New Roman" w:eastAsia="Times New Roman" w:hAnsi="Times New Roman"/>
          <w:sz w:val="17"/>
          <w:szCs w:val="17"/>
          <w:color w:val="auto"/>
        </w:rPr>
      </w:pPr>
    </w:p>
    <w:p>
      <w:pPr>
        <w:jc w:val="both"/>
        <w:ind w:left="580" w:right="579" w:firstLine="414"/>
        <w:spacing w:after="0" w:line="260" w:lineRule="auto"/>
        <w:tabs>
          <w:tab w:leader="none" w:pos="138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Law Compliance.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02" w:lineRule="exact"/>
        <w:rPr>
          <w:rFonts w:ascii="Times New Roman" w:cs="Times New Roman" w:eastAsia="Times New Roman" w:hAnsi="Times New Roman"/>
          <w:sz w:val="17"/>
          <w:szCs w:val="17"/>
          <w:color w:val="auto"/>
        </w:rPr>
      </w:pPr>
    </w:p>
    <w:p>
      <w:pPr>
        <w:ind w:left="580" w:right="599" w:firstLine="414"/>
        <w:spacing w:after="0" w:line="296" w:lineRule="auto"/>
        <w:tabs>
          <w:tab w:leader="none" w:pos="138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 from Stock</w:t>
      </w:r>
      <w:r>
        <w:rPr>
          <w:rFonts w:ascii="Times New Roman" w:cs="Times New Roman" w:eastAsia="Times New Roman" w:hAnsi="Times New Roman"/>
          <w:sz w:val="17"/>
          <w:szCs w:val="17"/>
          <w:color w:val="auto"/>
        </w:rPr>
        <w:t>. Proceeds from the sale of Common Stock pursuant to Awards, or upon exercise thereof, shall constitute general funds of the Company.</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-2174240</wp:posOffset>
            </wp:positionV>
            <wp:extent cx="12331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138"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90" w:lineRule="exact"/>
        <w:rPr>
          <w:sz w:val="20"/>
          <w:szCs w:val="20"/>
          <w:color w:val="auto"/>
        </w:rPr>
      </w:pPr>
    </w:p>
    <w:p>
      <w:pPr>
        <w:jc w:val="both"/>
        <w:ind w:left="100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321"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12" w:lineRule="exact"/>
        <w:rPr>
          <w:sz w:val="20"/>
          <w:szCs w:val="20"/>
          <w:color w:val="auto"/>
        </w:rPr>
      </w:pPr>
    </w:p>
    <w:p>
      <w:pPr>
        <w:jc w:val="both"/>
        <w:ind w:left="1000" w:right="599" w:firstLine="419"/>
        <w:spacing w:after="0" w:line="264"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2" w:lineRule="exact"/>
        <w:rPr>
          <w:sz w:val="20"/>
          <w:szCs w:val="20"/>
          <w:color w:val="auto"/>
        </w:rPr>
      </w:pPr>
    </w:p>
    <w:p>
      <w:pPr>
        <w:ind w:left="1000" w:right="599" w:hanging="6"/>
        <w:spacing w:after="0" w:line="274" w:lineRule="auto"/>
        <w:tabs>
          <w:tab w:leader="none" w:pos="126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approved leave of absence for military service or sickness, or for any other purpose approved by the Company, if the Employee’s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4" w:lineRule="auto"/>
        <w:rPr>
          <w:sz w:val="20"/>
          <w:szCs w:val="20"/>
          <w:color w:val="auto"/>
        </w:rPr>
      </w:pPr>
      <w:r>
        <w:rPr>
          <w:rFonts w:ascii="Times New Roman" w:cs="Times New Roman" w:eastAsia="Times New Roman" w:hAnsi="Times New Roman"/>
          <w:sz w:val="17"/>
          <w:szCs w:val="17"/>
          <w:color w:val="auto"/>
        </w:rPr>
        <w:t>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313" w:lineRule="exact"/>
        <w:rPr>
          <w:sz w:val="20"/>
          <w:szCs w:val="20"/>
          <w:color w:val="auto"/>
        </w:rPr>
      </w:pPr>
    </w:p>
    <w:p>
      <w:pPr>
        <w:jc w:val="both"/>
        <w:ind w:left="100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w:t>
      </w:r>
    </w:p>
    <w:p>
      <w:pPr>
        <w:spacing w:after="0" w:line="3" w:lineRule="exact"/>
        <w:rPr>
          <w:sz w:val="20"/>
          <w:szCs w:val="20"/>
          <w:color w:val="auto"/>
        </w:rPr>
      </w:pPr>
    </w:p>
    <w:p>
      <w:pPr>
        <w:jc w:val="both"/>
        <w:ind w:left="1000" w:right="579" w:hanging="6"/>
        <w:spacing w:after="0" w:line="261" w:lineRule="auto"/>
        <w:tabs>
          <w:tab w:leader="none" w:pos="126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authorizing the Company to withhold shares of Common Stock from the shares of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11"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w:t>
      </w:r>
    </w:p>
    <w:p>
      <w:pPr>
        <w:spacing w:after="0" w:line="3" w:lineRule="exact"/>
        <w:rPr>
          <w:sz w:val="20"/>
          <w:szCs w:val="20"/>
          <w:color w:val="auto"/>
        </w:rPr>
      </w:pPr>
    </w:p>
    <w:p>
      <w:pPr>
        <w:jc w:val="both"/>
        <w:ind w:left="1000" w:right="599" w:hanging="6"/>
        <w:spacing w:after="0" w:line="265" w:lineRule="auto"/>
        <w:tabs>
          <w:tab w:leader="none" w:pos="128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to Directors, and (D) the Committee’s discretion to provide for accelerated exercisability or vesting of any Award, including in cases of retirement, death, disability or a Change in Control, in the terms of the Award or otherwise.</w:t>
      </w:r>
    </w:p>
    <w:p>
      <w:pPr>
        <w:spacing w:after="0" w:line="94" w:lineRule="exact"/>
        <w:rPr>
          <w:sz w:val="20"/>
          <w:szCs w:val="20"/>
          <w:color w:val="auto"/>
        </w:rPr>
      </w:pPr>
    </w:p>
    <w:p>
      <w:pPr>
        <w:jc w:val="both"/>
        <w:ind w:left="580" w:right="579" w:firstLine="414"/>
        <w:spacing w:after="0" w:line="259" w:lineRule="auto"/>
        <w:tabs>
          <w:tab w:leader="none" w:pos="138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Upon Changes in Stock.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32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Change in Control</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-2623820</wp:posOffset>
            </wp:positionV>
            <wp:extent cx="16548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w:t>
      </w:r>
    </w:p>
    <w:p>
      <w:pPr>
        <w:spacing w:after="0" w:line="3" w:lineRule="exact"/>
        <w:rPr>
          <w:sz w:val="20"/>
          <w:szCs w:val="20"/>
          <w:color w:val="auto"/>
        </w:rPr>
      </w:pPr>
    </w:p>
    <w:p>
      <w:pPr>
        <w:jc w:val="both"/>
        <w:ind w:left="1000" w:right="579" w:hanging="6"/>
        <w:spacing w:after="0" w:line="260" w:lineRule="auto"/>
        <w:tabs>
          <w:tab w:leader="none" w:pos="131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such Award been currently exercisable or payable; or (v) terminate any then outstanding Award or make any other adjustment to the Awards then outstanding as the Committee deems necessary or appropriate to reflect such transaction or change. The number of shares of Common Stock subject to any Award shall be rounded to the nearest whole number.</w:t>
      </w:r>
    </w:p>
    <w:p>
      <w:pPr>
        <w:spacing w:after="0" w:line="103"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0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16.</w:t>
        <w:tab/>
        <w:t>Amendment of the Plan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16059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125" w:lineRule="exact"/>
        <w:rPr>
          <w:sz w:val="20"/>
          <w:szCs w:val="20"/>
          <w:color w:val="auto"/>
        </w:rPr>
      </w:pPr>
    </w:p>
    <w:p>
      <w:pPr>
        <w:jc w:val="both"/>
        <w:ind w:left="100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06" w:lineRule="exact"/>
        <w:rPr>
          <w:sz w:val="20"/>
          <w:szCs w:val="20"/>
          <w:color w:val="auto"/>
        </w:rPr>
      </w:pPr>
    </w:p>
    <w:p>
      <w:pPr>
        <w:jc w:val="both"/>
        <w:ind w:left="100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Board may, in its sole discretion, submit any other amendment to the Plan for shareholder approval.</w:t>
      </w:r>
    </w:p>
    <w:p>
      <w:pPr>
        <w:spacing w:after="0" w:line="81"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16.3 </w:t>
      </w:r>
      <w:r>
        <w:rPr>
          <w:rFonts w:ascii="Times New Roman" w:cs="Times New Roman" w:eastAsia="Times New Roman" w:hAnsi="Times New Roman"/>
          <w:sz w:val="17"/>
          <w:szCs w:val="17"/>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93"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16.4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(a) the Company requests the consent of the Participant and (b) the Participant consents in writing.</w:t>
      </w:r>
    </w:p>
    <w:p>
      <w:pPr>
        <w:spacing w:after="0" w:line="98"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(a) the Company requests the consent of the Participant and (b) the Participant consents in writing.</w:t>
      </w:r>
    </w:p>
    <w:p>
      <w:pPr>
        <w:spacing w:after="0" w:line="10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17.</w:t>
        <w:tab/>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8464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125"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13"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firstLine="419"/>
        <w:spacing w:after="0" w:line="274"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313"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05"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00"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98"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Recapitalizations</w:t>
      </w:r>
      <w:r>
        <w:rPr>
          <w:rFonts w:ascii="Times New Roman" w:cs="Times New Roman" w:eastAsia="Times New Roman" w:hAnsi="Times New Roman"/>
          <w:sz w:val="17"/>
          <w:szCs w:val="17"/>
          <w:color w:val="auto"/>
        </w:rPr>
        <w:t>. Each Award Agreement shall contain provisions required to reflect the provisions of Section 14.</w:t>
      </w:r>
    </w:p>
    <w:p>
      <w:pPr>
        <w:spacing w:after="0" w:line="81"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90"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03"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9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02"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spacing w:after="0" w:line="278" w:lineRule="auto"/>
        <w:rPr>
          <w:sz w:val="20"/>
          <w:szCs w:val="20"/>
          <w:color w:val="auto"/>
        </w:rPr>
      </w:pPr>
      <w:r>
        <w:rPr>
          <w:rFonts w:ascii="Times New Roman" w:cs="Times New Roman" w:eastAsia="Times New Roman" w:hAnsi="Times New Roman"/>
          <w:sz w:val="17"/>
          <w:szCs w:val="17"/>
          <w:color w:val="auto"/>
        </w:rPr>
        <w:t>of the shares of Common Stock acquired upon exercise of such Incentive Stock Option (a “</w:t>
      </w:r>
      <w:r>
        <w:rPr>
          <w:rFonts w:ascii="Times New Roman" w:cs="Times New Roman" w:eastAsia="Times New Roman" w:hAnsi="Times New Roman"/>
          <w:sz w:val="17"/>
          <w:szCs w:val="17"/>
          <w:b w:val="1"/>
          <w:bCs w:val="1"/>
          <w:color w:val="auto"/>
        </w:rPr>
        <w:t>Disqualifying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Disposition</w:t>
      </w:r>
      <w:r>
        <w:rPr>
          <w:rFonts w:ascii="Times New Roman" w:cs="Times New Roman" w:eastAsia="Times New Roman" w:hAnsi="Times New Roman"/>
          <w:sz w:val="17"/>
          <w:szCs w:val="17"/>
          <w:color w:val="auto"/>
        </w:rPr>
        <w:t>”) shall be required to immediately advise the Company in writing as to the occurrence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and the price realized upon the sale of such shares of Common Stock.</w:t>
      </w:r>
    </w:p>
    <w:p>
      <w:pPr>
        <w:spacing w:after="0" w:line="96"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17.13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112"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17.15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15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03"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17.17 </w:t>
      </w: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the Plan are for purposes of convenience only and are not intended to define or limit the construction of the provisions hereof.</w:t>
      </w:r>
    </w:p>
    <w:p>
      <w:pPr>
        <w:spacing w:after="0" w:line="68"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05" w:lineRule="exact"/>
        <w:rPr>
          <w:sz w:val="20"/>
          <w:szCs w:val="20"/>
          <w:color w:val="auto"/>
        </w:rPr>
      </w:pPr>
    </w:p>
    <w:p>
      <w:pPr>
        <w:ind w:left="1380" w:hanging="386"/>
        <w:spacing w:after="0"/>
        <w:tabs>
          <w:tab w:leader="none" w:pos="13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of Plan. The Plan shall become effective as of the Effective Date.</w:t>
      </w:r>
    </w:p>
    <w:p>
      <w:pPr>
        <w:spacing w:after="0" w:line="158" w:lineRule="exact"/>
        <w:rPr>
          <w:rFonts w:ascii="Times New Roman" w:cs="Times New Roman" w:eastAsia="Times New Roman" w:hAnsi="Times New Roman"/>
          <w:sz w:val="17"/>
          <w:szCs w:val="17"/>
          <w:color w:val="auto"/>
        </w:rPr>
      </w:pPr>
    </w:p>
    <w:p>
      <w:pPr>
        <w:jc w:val="both"/>
        <w:ind w:left="580" w:right="579" w:firstLine="414"/>
        <w:spacing w:after="0" w:line="270" w:lineRule="auto"/>
        <w:tabs>
          <w:tab w:leader="none" w:pos="138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Suspension of the Plan. The Plan shall terminate automatically on April 29,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spacing w:after="0" w:line="89" w:lineRule="exact"/>
        <w:rPr>
          <w:rFonts w:ascii="Times New Roman" w:cs="Times New Roman" w:eastAsia="Times New Roman" w:hAnsi="Times New Roman"/>
          <w:sz w:val="17"/>
          <w:szCs w:val="17"/>
          <w:color w:val="auto"/>
        </w:rPr>
      </w:pPr>
    </w:p>
    <w:p>
      <w:pPr>
        <w:ind w:left="580" w:right="599" w:firstLine="414"/>
        <w:spacing w:after="0" w:line="296" w:lineRule="auto"/>
        <w:tabs>
          <w:tab w:leader="none" w:pos="138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Choice of Law. The law of the State of Nevada shall govern all questions concerning the construction, validity and interpretation of this Plan, without regard to such state’s conflict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-1025525</wp:posOffset>
            </wp:positionV>
            <wp:extent cx="9861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-801370</wp:posOffset>
            </wp:positionV>
            <wp:extent cx="17011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0116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-186055</wp:posOffset>
            </wp:positionV>
            <wp:extent cx="7251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adopted by the Board of Directors of Agrify Corporation on April 19, 2022.</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approved by the shareholders of Agrify Corporation on June 8, 2022.</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First amendment adopted by the Board of Directors of Agrify Corporation on November 28, 2023</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First amendment approved by the shareholders of Agrify Corporation on January 8, 2024</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Board of Directors of Agrify Corporation on July 8, 2024</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shareholders of Agrify Corporation on August 12, 2024</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Third amendment adopted by the Board of Directors of Agrify Corporation on April 29, 2025</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shareholders of Agrify Corporation on _______, 2025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64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1:"/>
      <w:numFmt w:val="upperLetter"/>
      <w:start w:val="17"/>
    </w:lvl>
  </w:abstractNum>
  <w:abstractNum w:abstractNumId="6">
    <w:nsid w:val="749ABB43"/>
    <w:multiLevelType w:val="hybridMultilevel"/>
    <w:lvl w:ilvl="0">
      <w:lvlJc w:val="left"/>
      <w:lvlText w:val="%1:"/>
      <w:numFmt w:val="upperLetter"/>
      <w:start w:val="1"/>
    </w:lvl>
  </w:abstractNum>
  <w:abstractNum w:abstractNumId="7">
    <w:nsid w:val="3DC240FB"/>
    <w:multiLevelType w:val="hybridMultilevel"/>
    <w:lvl w:ilvl="0">
      <w:lvlJc w:val="left"/>
      <w:lvlText w:val="%1:"/>
      <w:numFmt w:val="upperLetter"/>
      <w:start w:val="17"/>
    </w:lvl>
  </w:abstractNum>
  <w:abstractNum w:abstractNumId="8">
    <w:nsid w:val="1BA026FA"/>
    <w:multiLevelType w:val="hybridMultilevel"/>
    <w:lvl w:ilvl="0">
      <w:lvlJc w:val="left"/>
      <w:lvlText w:val="%1:"/>
      <w:numFmt w:val="upperLetter"/>
      <w:start w:val="1"/>
    </w:lvl>
  </w:abstractNum>
  <w:abstractNum w:abstractNumId="9">
    <w:nsid w:val="79A1DEAA"/>
    <w:multiLevelType w:val="hybridMultilevel"/>
    <w:lvl w:ilvl="0">
      <w:lvlJc w:val="left"/>
      <w:lvlText w:val="%1:"/>
      <w:numFmt w:val="upperLetter"/>
      <w:start w:val="17"/>
    </w:lvl>
  </w:abstractNum>
  <w:abstractNum w:abstractNumId="10">
    <w:nsid w:val="75C6C33A"/>
    <w:multiLevelType w:val="hybridMultilevel"/>
    <w:lvl w:ilvl="0">
      <w:lvlJc w:val="left"/>
      <w:lvlText w:val="%1:"/>
      <w:numFmt w:val="upperLetter"/>
      <w:start w:val="1"/>
    </w:lvl>
    <w:lvl w:ilvl="1">
      <w:lvlJc w:val="left"/>
      <w:lvlText w:val="•"/>
      <w:numFmt w:val="bullet"/>
      <w:start w:val="1"/>
    </w:lvl>
  </w:abstractNum>
  <w:abstractNum w:abstractNumId="11">
    <w:nsid w:val="12E685FB"/>
    <w:multiLevelType w:val="hybridMultilevel"/>
    <w:lvl w:ilvl="0">
      <w:lvlJc w:val="left"/>
      <w:lvlText w:val="%1:"/>
      <w:numFmt w:val="upperLetter"/>
      <w:start w:val="17"/>
    </w:lvl>
  </w:abstractNum>
  <w:abstractNum w:abstractNumId="12">
    <w:nsid w:val="70C6A529"/>
    <w:multiLevelType w:val="hybridMultilevel"/>
    <w:lvl w:ilvl="0">
      <w:lvlJc w:val="left"/>
      <w:lvlText w:val="%1:"/>
      <w:numFmt w:val="upperLetter"/>
      <w:start w:val="1"/>
    </w:lvl>
  </w:abstractNum>
  <w:abstractNum w:abstractNumId="13">
    <w:nsid w:val="520EEDD1"/>
    <w:multiLevelType w:val="hybridMultilevel"/>
    <w:lvl w:ilvl="0">
      <w:lvlJc w:val="left"/>
      <w:lvlText w:val="%1:"/>
      <w:numFmt w:val="upperLetter"/>
      <w:start w:val="17"/>
    </w:lvl>
  </w:abstractNum>
  <w:abstractNum w:abstractNumId="14">
    <w:nsid w:val="374A3FE6"/>
    <w:multiLevelType w:val="hybridMultilevel"/>
    <w:lvl w:ilvl="0">
      <w:lvlJc w:val="left"/>
      <w:lvlText w:val="%1:"/>
      <w:numFmt w:val="upperLetter"/>
      <w:start w:val="1"/>
    </w:lvl>
  </w:abstractNum>
  <w:abstractNum w:abstractNumId="15">
    <w:nsid w:val="4F4EF005"/>
    <w:multiLevelType w:val="hybridMultilevel"/>
    <w:lvl w:ilvl="0">
      <w:lvlJc w:val="left"/>
      <w:lvlText w:val="%1:"/>
      <w:numFmt w:val="upperLetter"/>
      <w:start w:val="17"/>
    </w:lvl>
  </w:abstractNum>
  <w:abstractNum w:abstractNumId="16">
    <w:nsid w:val="23F9C13C"/>
    <w:multiLevelType w:val="hybridMultilevel"/>
    <w:lvl w:ilvl="0">
      <w:lvlJc w:val="left"/>
      <w:lvlText w:val="%1:"/>
      <w:numFmt w:val="upperLetter"/>
      <w:start w:val="1"/>
    </w:lvl>
  </w:abstractNum>
  <w:abstractNum w:abstractNumId="17">
    <w:nsid w:val="649BB77C"/>
    <w:multiLevelType w:val="hybridMultilevel"/>
    <w:lvl w:ilvl="0">
      <w:lvlJc w:val="left"/>
      <w:lvlText w:val="%1:"/>
      <w:numFmt w:val="upperLetter"/>
      <w:start w:val="17"/>
    </w:lvl>
  </w:abstractNum>
  <w:abstractNum w:abstractNumId="18">
    <w:nsid w:val="275AC794"/>
    <w:multiLevelType w:val="hybridMultilevel"/>
    <w:lvl w:ilvl="0">
      <w:lvlJc w:val="left"/>
      <w:lvlText w:val="%1:"/>
      <w:numFmt w:val="upperLetter"/>
      <w:start w:val="1"/>
    </w:lvl>
    <w:lvl w:ilvl="1">
      <w:lvlJc w:val="left"/>
      <w:lvlText w:val="•"/>
      <w:numFmt w:val="bullet"/>
      <w:start w:val="1"/>
    </w:lvl>
  </w:abstractNum>
  <w:abstractNum w:abstractNumId="19">
    <w:nsid w:val="39386575"/>
    <w:multiLevelType w:val="hybridMultilevel"/>
    <w:lvl w:ilvl="0">
      <w:lvlJc w:val="left"/>
      <w:lvlText w:val="%1:"/>
      <w:numFmt w:val="upperLetter"/>
      <w:start w:val="17"/>
    </w:lvl>
  </w:abstractNum>
  <w:abstractNum w:abstractNumId="20">
    <w:nsid w:val="1CF10FD8"/>
    <w:multiLevelType w:val="hybridMultilevel"/>
    <w:lvl w:ilvl="0">
      <w:lvlJc w:val="left"/>
      <w:lvlText w:val="%1:"/>
      <w:numFmt w:val="upperLetter"/>
      <w:start w:val="1"/>
    </w:lvl>
  </w:abstractNum>
  <w:abstractNum w:abstractNumId="21">
    <w:nsid w:val="180115BE"/>
    <w:multiLevelType w:val="hybridMultilevel"/>
    <w:lvl w:ilvl="0">
      <w:lvlJc w:val="left"/>
      <w:lvlText w:val="%1:"/>
      <w:numFmt w:val="upperLetter"/>
      <w:start w:val="17"/>
    </w:lvl>
  </w:abstractNum>
  <w:abstractNum w:abstractNumId="22">
    <w:nsid w:val="235BA861"/>
    <w:multiLevelType w:val="hybridMultilevel"/>
    <w:lvl w:ilvl="0">
      <w:lvlJc w:val="left"/>
      <w:lvlText w:val="%1:"/>
      <w:numFmt w:val="upperLetter"/>
      <w:start w:val="1"/>
    </w:lvl>
  </w:abstractNum>
  <w:abstractNum w:abstractNumId="23">
    <w:nsid w:val="47398C89"/>
    <w:multiLevelType w:val="hybridMultilevel"/>
    <w:lvl w:ilvl="0">
      <w:lvlJc w:val="left"/>
      <w:lvlText w:val="%1:"/>
      <w:numFmt w:val="upperLetter"/>
      <w:start w:val="17"/>
    </w:lvl>
  </w:abstractNum>
  <w:abstractNum w:abstractNumId="24">
    <w:nsid w:val="354FE9F9"/>
    <w:multiLevelType w:val="hybridMultilevel"/>
    <w:lvl w:ilvl="0">
      <w:lvlJc w:val="left"/>
      <w:lvlText w:val="%1:"/>
      <w:numFmt w:val="upperLetter"/>
      <w:start w:val="1"/>
    </w:lvl>
  </w:abstractNum>
  <w:abstractNum w:abstractNumId="25">
    <w:nsid w:val="15B5AF5C"/>
    <w:multiLevelType w:val="hybridMultilevel"/>
    <w:lvl w:ilvl="0">
      <w:lvlJc w:val="left"/>
      <w:lvlText w:val="%1:"/>
      <w:numFmt w:val="upperLetter"/>
      <w:start w:val="17"/>
    </w:lvl>
  </w:abstractNum>
  <w:abstractNum w:abstractNumId="26">
    <w:nsid w:val="741226BB"/>
    <w:multiLevelType w:val="hybridMultilevel"/>
    <w:lvl w:ilvl="0">
      <w:lvlJc w:val="left"/>
      <w:lvlText w:val="%1:"/>
      <w:numFmt w:val="upperLetter"/>
      <w:start w:val="1"/>
    </w:lvl>
  </w:abstractNum>
  <w:abstractNum w:abstractNumId="27">
    <w:nsid w:val="D34B6A8"/>
    <w:multiLevelType w:val="hybridMultilevel"/>
    <w:lvl w:ilvl="0">
      <w:lvlJc w:val="left"/>
      <w:lvlText w:val="%1:"/>
      <w:numFmt w:val="upperLetter"/>
      <w:start w:val="17"/>
    </w:lvl>
  </w:abstractNum>
  <w:abstractNum w:abstractNumId="28">
    <w:nsid w:val="10233C99"/>
    <w:multiLevelType w:val="hybridMultilevel"/>
    <w:lvl w:ilvl="0">
      <w:lvlJc w:val="left"/>
      <w:lvlText w:val="%1:"/>
      <w:numFmt w:val="upperLetter"/>
      <w:start w:val="1"/>
    </w:lvl>
  </w:abstractNum>
  <w:abstractNum w:abstractNumId="29">
    <w:nsid w:val="3F6AB60F"/>
    <w:multiLevelType w:val="hybridMultilevel"/>
    <w:lvl w:ilvl="0">
      <w:lvlJc w:val="left"/>
      <w:lvlText w:val="%1:"/>
      <w:numFmt w:val="upperLetter"/>
      <w:start w:val="17"/>
    </w:lvl>
  </w:abstractNum>
  <w:abstractNum w:abstractNumId="30">
    <w:nsid w:val="61574095"/>
    <w:multiLevelType w:val="hybridMultilevel"/>
    <w:lvl w:ilvl="0">
      <w:lvlJc w:val="left"/>
      <w:lvlText w:val="%1:"/>
      <w:numFmt w:val="upperLetter"/>
      <w:start w:val="1"/>
    </w:lvl>
    <w:lvl w:ilvl="1">
      <w:lvlJc w:val="left"/>
      <w:lvlText w:val="•"/>
      <w:numFmt w:val="bullet"/>
      <w:start w:val="1"/>
    </w:lvl>
  </w:abstractNum>
  <w:abstractNum w:abstractNumId="31">
    <w:nsid w:val="7E0C57B1"/>
    <w:multiLevelType w:val="hybridMultilevel"/>
    <w:lvl w:ilvl="0">
      <w:lvlJc w:val="left"/>
      <w:lvlText w:val="%1:"/>
      <w:numFmt w:val="upperLetter"/>
      <w:start w:val="17"/>
    </w:lvl>
  </w:abstractNum>
  <w:abstractNum w:abstractNumId="32">
    <w:nsid w:val="77AE35EB"/>
    <w:multiLevelType w:val="hybridMultilevel"/>
    <w:lvl w:ilvl="0">
      <w:lvlJc w:val="left"/>
      <w:lvlText w:val="%1:"/>
      <w:numFmt w:val="upperLetter"/>
      <w:start w:val="1"/>
    </w:lvl>
  </w:abstractNum>
  <w:abstractNum w:abstractNumId="33">
    <w:nsid w:val="579BE4F1"/>
    <w:multiLevelType w:val="hybridMultilevel"/>
    <w:lvl w:ilvl="0">
      <w:lvlJc w:val="left"/>
      <w:lvlText w:val="%1:"/>
      <w:numFmt w:val="upperLetter"/>
      <w:start w:val="17"/>
    </w:lvl>
  </w:abstractNum>
  <w:abstractNum w:abstractNumId="34">
    <w:nsid w:val="310C50B3"/>
    <w:multiLevelType w:val="hybridMultilevel"/>
    <w:lvl w:ilvl="0">
      <w:lvlJc w:val="left"/>
      <w:lvlText w:val="%1:"/>
      <w:numFmt w:val="upperLetter"/>
      <w:start w:val="1"/>
    </w:lvl>
  </w:abstractNum>
  <w:abstractNum w:abstractNumId="35">
    <w:nsid w:val="5FF87E05"/>
    <w:multiLevelType w:val="hybridMultilevel"/>
    <w:lvl w:ilvl="0">
      <w:lvlJc w:val="left"/>
      <w:lvlText w:val="%1:"/>
      <w:numFmt w:val="upperLetter"/>
      <w:start w:val="17"/>
    </w:lvl>
  </w:abstractNum>
  <w:abstractNum w:abstractNumId="36">
    <w:nsid w:val="2F305DEF"/>
    <w:multiLevelType w:val="hybridMultilevel"/>
    <w:lvl w:ilvl="0">
      <w:lvlJc w:val="left"/>
      <w:lvlText w:val="%1:"/>
      <w:numFmt w:val="upperLetter"/>
      <w:start w:val="1"/>
    </w:lvl>
    <w:lvl w:ilvl="1">
      <w:lvlJc w:val="left"/>
      <w:lvlText w:val="•"/>
      <w:numFmt w:val="bullet"/>
      <w:start w:val="1"/>
    </w:lvl>
  </w:abstractNum>
  <w:abstractNum w:abstractNumId="37">
    <w:nsid w:val="25A70BF7"/>
    <w:multiLevelType w:val="hybridMultilevel"/>
    <w:lvl w:ilvl="0">
      <w:lvlJc w:val="left"/>
      <w:lvlText w:val="%1:"/>
      <w:numFmt w:val="upperLetter"/>
      <w:start w:val="17"/>
    </w:lvl>
  </w:abstractNum>
  <w:abstractNum w:abstractNumId="38">
    <w:nsid w:val="1DBABF00"/>
    <w:multiLevelType w:val="hybridMultilevel"/>
    <w:lvl w:ilvl="0">
      <w:lvlJc w:val="left"/>
      <w:lvlText w:val="%1:"/>
      <w:numFmt w:val="upperLetter"/>
      <w:start w:val="1"/>
    </w:lvl>
  </w:abstractNum>
  <w:abstractNum w:abstractNumId="39">
    <w:nsid w:val="4AD084E9"/>
    <w:multiLevelType w:val="hybridMultilevel"/>
    <w:lvl w:ilvl="0">
      <w:lvlJc w:val="left"/>
      <w:lvlText w:val="%1:"/>
      <w:numFmt w:val="upperLetter"/>
      <w:start w:val="17"/>
    </w:lvl>
  </w:abstractNum>
  <w:abstractNum w:abstractNumId="40">
    <w:nsid w:val="1F48EAA1"/>
    <w:multiLevelType w:val="hybridMultilevel"/>
    <w:lvl w:ilvl="0">
      <w:lvlJc w:val="left"/>
      <w:lvlText w:val="%1:"/>
      <w:numFmt w:val="upperLetter"/>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lowerLetter"/>
      <w:start w:val="2"/>
    </w:lvl>
  </w:abstractNum>
  <w:abstractNum w:abstractNumId="44">
    <w:nsid w:val="6590700B"/>
    <w:multiLevelType w:val="hybridMultilevel"/>
    <w:lvl w:ilvl="0">
      <w:lvlJc w:val="left"/>
      <w:lvlText w:val="(%1)"/>
      <w:numFmt w:val="lowerLetter"/>
      <w:start w:val="9"/>
    </w:lvl>
  </w:abstractNum>
  <w:abstractNum w:abstractNumId="45">
    <w:nsid w:val="15014ACB"/>
    <w:multiLevelType w:val="hybridMultilevel"/>
    <w:lvl w:ilvl="0">
      <w:lvlJc w:val="left"/>
      <w:lvlText w:val="(%1)"/>
      <w:numFmt w:val="lowerLetter"/>
      <w:start w:val="35"/>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decimal"/>
      <w:start w:val="1"/>
    </w:lvl>
    <w:lvl w:ilvl="1">
      <w:lvlJc w:val="left"/>
      <w:lvlText w:val="(%2)"/>
      <w:numFmt w:val="lowerLetter"/>
      <w:start w:val="1"/>
    </w:lvl>
  </w:abstractNum>
  <w:abstractNum w:abstractNumId="48">
    <w:nsid w:val="799D0247"/>
    <w:multiLevelType w:val="hybridMultilevel"/>
    <w:lvl w:ilvl="0">
      <w:lvlJc w:val="left"/>
      <w:lvlText w:val="%1"/>
      <w:numFmt w:val="decimal"/>
      <w:start w:val="1"/>
    </w:lvl>
    <w:lvl w:ilvl="1">
      <w:lvlJc w:val="left"/>
      <w:lvlText w:val="(%2)"/>
      <w:numFmt w:val="lowerLetter"/>
      <w:start w:val="35"/>
    </w:lvl>
  </w:abstractNum>
  <w:abstractNum w:abstractNumId="49">
    <w:nsid w:val="6B94764"/>
    <w:multiLevelType w:val="hybridMultilevel"/>
    <w:lvl w:ilvl="0">
      <w:lvlJc w:val="left"/>
      <w:lvlText w:val="(%1)"/>
      <w:numFmt w:val="decimal"/>
      <w:start w:val="3"/>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Roman"/>
      <w:start w:val="1"/>
    </w:lvl>
  </w:abstractNum>
  <w:abstractNum w:abstractNumId="57">
    <w:nsid w:val="51D9C564"/>
    <w:multiLevelType w:val="hybridMultilevel"/>
    <w:lvl w:ilvl="0">
      <w:lvlJc w:val="left"/>
      <w:lvlText w:val="(%1)"/>
      <w:numFmt w:val="lowerRoman"/>
      <w:start w:val="2"/>
    </w:lvl>
  </w:abstractNum>
  <w:abstractNum w:abstractNumId="58">
    <w:nsid w:val="613EFDC5"/>
    <w:multiLevelType w:val="hybridMultilevel"/>
    <w:lvl w:ilvl="0">
      <w:lvlJc w:val="left"/>
      <w:lvlText w:val="(%1)"/>
      <w:numFmt w:val="lowerRoman"/>
      <w:start w:val="5"/>
    </w:lvl>
  </w:abstractNum>
  <w:abstractNum w:abstractNumId="59">
    <w:nsid w:val="BF72B14"/>
    <w:multiLevelType w:val="hybridMultilevel"/>
    <w:lvl w:ilvl="0">
      <w:lvlJc w:val="left"/>
      <w:lvlText w:val="(%1)"/>
      <w:numFmt w:val="lowerRoman"/>
      <w:start w:val="4"/>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lowerRoman"/>
      <w:start w:val="2"/>
    </w:lvl>
  </w:abstractNum>
  <w:abstractNum w:abstractNumId="64">
    <w:nsid w:val="1A32234B"/>
    <w:multiLevelType w:val="hybridMultilevel"/>
    <w:lvl w:ilvl="0">
      <w:lvlJc w:val="left"/>
      <w:lvlText w:val="(%1)"/>
      <w:numFmt w:val="lowerRoman"/>
      <w:start w:val="5"/>
    </w:lvl>
  </w:abstractNum>
  <w:abstractNum w:abstractNumId="65">
    <w:nsid w:val="3B0FD379"/>
    <w:multiLevelType w:val="hybridMultilevel"/>
    <w:lvl w:ilvl="0">
      <w:lvlJc w:val="left"/>
      <w:lvlText w:val="(%1)"/>
      <w:numFmt w:val="upperLetter"/>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decimal"/>
      <w:start w:val="2"/>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2"/>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decimal"/>
      <w:start w:val="3"/>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3"/>
    </w:lvl>
  </w:abstractNum>
  <w:abstractNum w:abstractNumId="76">
    <w:nsid w:val="6EB5BD4"/>
    <w:multiLevelType w:val="hybridMultilevel"/>
    <w:lvl w:ilvl="0">
      <w:lvlJc w:val="left"/>
      <w:lvlText w:val="(%1)"/>
      <w:numFmt w:val="lowerLetter"/>
      <w:start w:val="13"/>
    </w:lvl>
  </w:abstractNum>
  <w:abstractNum w:abstractNumId="77">
    <w:nsid w:val="6F6DD9AC"/>
    <w:multiLevelType w:val="hybridMultilevel"/>
    <w:lvl w:ilvl="0">
      <w:lvlJc w:val="left"/>
      <w:lvlText w:val="%1."/>
      <w:numFmt w:val="decimal"/>
      <w:start w:val="4"/>
    </w:lvl>
  </w:abstractNum>
  <w:abstractNum w:abstractNumId="78">
    <w:nsid w:val="94211F2"/>
    <w:multiLevelType w:val="hybridMultilevel"/>
    <w:lvl w:ilvl="0">
      <w:lvlJc w:val="left"/>
      <w:lvlText w:val="%1."/>
      <w:numFmt w:val="decimal"/>
      <w:start w:val="5"/>
    </w:lvl>
  </w:abstractNum>
  <w:abstractNum w:abstractNumId="79">
    <w:nsid w:val="885E1B"/>
    <w:multiLevelType w:val="hybridMultilevel"/>
    <w:lvl w:ilvl="0">
      <w:lvlJc w:val="left"/>
      <w:lvlText w:val="%1."/>
      <w:numFmt w:val="decimal"/>
      <w:start w:val="6"/>
    </w:lvl>
  </w:abstractNum>
  <w:abstractNum w:abstractNumId="80">
    <w:nsid w:val="76272110"/>
    <w:multiLevelType w:val="hybridMultilevel"/>
    <w:lvl w:ilvl="0">
      <w:lvlJc w:val="left"/>
      <w:lvlText w:val="%1."/>
      <w:numFmt w:val="decimal"/>
      <w:start w:val="7"/>
    </w:lvl>
  </w:abstractNum>
  <w:abstractNum w:abstractNumId="81">
    <w:nsid w:val="4C04A8AF"/>
    <w:multiLevelType w:val="hybridMultilevel"/>
    <w:lvl w:ilvl="0">
      <w:lvlJc w:val="left"/>
      <w:lvlText w:val="%1."/>
      <w:numFmt w:val="decimal"/>
      <w:start w:val="8"/>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2"/>
    </w:lvl>
  </w:abstractNum>
  <w:abstractNum w:abstractNumId="85">
    <w:nsid w:val="74DE0EE3"/>
    <w:multiLevelType w:val="hybridMultilevel"/>
    <w:lvl w:ilvl="0">
      <w:lvlJc w:val="left"/>
      <w:lvlText w:val="%1."/>
      <w:numFmt w:val="decimal"/>
      <w:start w:val="9"/>
    </w:lvl>
  </w:abstractNum>
  <w:abstractNum w:abstractNumId="86">
    <w:nsid w:val="68EBC550"/>
    <w:multiLevelType w:val="hybridMultilevel"/>
    <w:lvl w:ilvl="0">
      <w:lvlJc w:val="left"/>
      <w:lvlText w:val="%1."/>
      <w:numFmt w:val="decimal"/>
      <w:start w:val="10"/>
    </w:lvl>
  </w:abstractNum>
  <w:abstractNum w:abstractNumId="87">
    <w:nsid w:val="2DF6D648"/>
    <w:multiLevelType w:val="hybridMultilevel"/>
    <w:lvl w:ilvl="0">
      <w:lvlJc w:val="left"/>
      <w:lvlText w:val="(%1)"/>
      <w:numFmt w:val="lowerLetter"/>
      <w:start w:val="2"/>
    </w:lvl>
  </w:abstractNum>
  <w:abstractNum w:abstractNumId="88">
    <w:nsid w:val="46B7D447"/>
    <w:multiLevelType w:val="hybridMultilevel"/>
    <w:lvl w:ilvl="0">
      <w:lvlJc w:val="left"/>
      <w:lvlText w:val="(%1)"/>
      <w:numFmt w:val="lowerLetter"/>
      <w:start w:val="2"/>
    </w:lvl>
  </w:abstractNum>
  <w:abstractNum w:abstractNumId="89">
    <w:nsid w:val="4A2AC315"/>
    <w:multiLevelType w:val="hybridMultilevel"/>
    <w:lvl w:ilvl="0">
      <w:lvlJc w:val="left"/>
      <w:lvlText w:val="(%1)"/>
      <w:numFmt w:val="upperLetter"/>
      <w:start w:val="3"/>
    </w:lvl>
  </w:abstractNum>
  <w:abstractNum w:abstractNumId="90">
    <w:nsid w:val="39EE015C"/>
    <w:multiLevelType w:val="hybridMultilevel"/>
    <w:lvl w:ilvl="0">
      <w:lvlJc w:val="left"/>
      <w:lvlText w:val="%1."/>
      <w:numFmt w:val="decimal"/>
      <w:start w:val="14"/>
    </w:lvl>
  </w:abstractNum>
  <w:abstractNum w:abstractNumId="91">
    <w:nsid w:val="57FC4FBB"/>
    <w:multiLevelType w:val="hybridMultilevel"/>
    <w:lvl w:ilvl="0">
      <w:lvlJc w:val="left"/>
      <w:lvlText w:val="(%1)"/>
      <w:numFmt w:val="lowerRoman"/>
      <w:start w:val="3"/>
    </w:lvl>
  </w:abstractNum>
  <w:abstractNum w:abstractNumId="92">
    <w:nsid w:val="CC1016F"/>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2025-04-30T06:08:42Z</dcterms:created>
  <dcterms:modified xsi:type="dcterms:W3CDTF">2025-04-30T06:08:42Z</dcterms:modified>
</cp:coreProperties>
</file>