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Niv Krikov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Agrify Corporation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101 Middlesex Turnpike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6, PMB 326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Burlington, MA 01803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Agrify Corp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22,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333-251616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Krikov: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 1. Please revise the organization chart on page 1 to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indicate the percentage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ownership Agrify Corporation holds in each entity. In addition,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 appears from page 55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Agrify Brands, LLC was formerly TriGrow Brands, LLC.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 to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financial statements continues to refer to TriGrow Brands,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LLC. Please revise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references to this entity throughout the document to clarify its correct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and status.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Further, if the Harbor Mountain LLC shown in your organization chart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the same entity 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Harbor Mountain Holdings LLC, which you acquired in July 2020, as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referenced on page 45,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clarify. Also, revise the discussion on page 1 to disclose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percentage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 interest in Teejan Podponics, LLC, and briefly address your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Niv Krikov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Agrify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4,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with that entity. Also, briefly describe the purpose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function of each of the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named entities. Revise the discussion on pages 84-86 to name each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entities you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discuss. For example, name the joint-venture limited liability company referenced in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 paragraph of your "Corporate History" subsection.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Capitalization, page 38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table to incorporate indebtness, including long-term debt and notes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payable, as part of your capitalization.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of Harbor Mountain Holdings LLC, page 45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the acquisition of HMH is not deemed material under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applicable SEC rules and accordingly you do not consolidate the financial statements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HMH. Please reconcile this statement with the disclosure on page F-35 describing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and the consolidation of the assets and liabilities of HMH in your interim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statements. Revise MD&amp;A as appropriate.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 of Revenues, page 53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discussion of the five-year agreement with Mack to disclose the length of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introductory period.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Ownership of Certain Beneficial Owners and Management, page 102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identify the natural person or persons who directly or indirectly exercise sole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voting and/or dispositive power with respect to the securities held by Advanced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Glory Holding Limited (BVI) and Golden Success HK limited. Refer to Item 403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 Also, increase the font of the footnote numbers within the table so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they are legible. Currently the footnote font is too small to determine which notes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correspond to which disclosure in the table. Note 14 - Derivative Liabilities, page F-38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describe the valuation technique and quantify the significant unobservable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inputs underlying the level 3 fair value measurement. Refer to ASC 820-10-50-2bbb.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15. Recent Sales of Unregistered Securities, page II-1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reissue comment 10, as your disclosure continues to group multiple transactions. As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LastNameNiv Krikov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example, we note the convertible promissory notes totaling $12.5 million issued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  NameAgrify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Corporation</w:t>
      </w:r>
    </w:p>
    <w:p>
      <w:pPr>
        <w:ind w:left="1700"/>
        <w:spacing w:after="0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and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December 2020. Please revise to provide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Januaryeach timePage</w:t>
      </w:r>
    </w:p>
    <w:p>
      <w:pPr>
        <w:ind w:left="860"/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4, 2021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securities</w:t>
      </w:r>
    </w:p>
    <w:p>
      <w:pPr>
        <w:ind w:left="2960" w:hanging="741"/>
        <w:spacing w:after="0"/>
        <w:tabs>
          <w:tab w:leader="none" w:pos="2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issued.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Niv Krikov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LastNameNiv Krikov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Agrify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NameAgrify Corporation</w:t>
      </w:r>
    </w:p>
    <w:p>
      <w:pPr>
        <w:ind w:left="8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4, 2021 Page 3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Kevin Kuhar at (202) 551-3662 or Julie Sherman at (202) 551-3640 if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Abby Adams at (202) 551-6902 or Mary Beth Breslin at (202) 551-3625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ind w:left="960" w:hanging="952"/>
        <w:spacing w:after="0" w:line="237" w:lineRule="auto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Levine, Esq.</w:t>
      </w:r>
    </w:p>
    <w:sectPr>
      <w:pgSz w:w="11900" w:h="16838" w:orient="portrait"/>
      <w:cols w:equalWidth="0" w:num="1">
        <w:col w:w="10139"/>
      </w:cols>
      <w:pgMar w:left="320" w:top="7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AE8944A"/>
    <w:multiLevelType w:val="hybridMultilevel"/>
    <w:lvl w:ilvl="0">
      <w:lvlJc w:val="left"/>
      <w:lvlText w:val="2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2021-02-25T23:07:30Z</dcterms:created>
  <dcterms:modified xsi:type="dcterms:W3CDTF">2021-02-25T23:07:30Z</dcterms:modified>
</cp:coreProperties>
</file>