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16,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8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Nevada</w:t>
            </w:r>
          </w:p>
        </w:tc>
        <w:tc>
          <w:tcPr>
            <w:tcW w:w="306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001-39946</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760"/>
              <w:spacing w:after="0"/>
              <w:rPr>
                <w:sz w:val="20"/>
                <w:szCs w:val="20"/>
                <w:color w:val="auto"/>
              </w:rPr>
            </w:pPr>
            <w:r>
              <w:rPr>
                <w:rFonts w:ascii="Arial" w:cs="Arial" w:eastAsia="Arial" w:hAnsi="Arial"/>
                <w:sz w:val="18"/>
                <w:szCs w:val="18"/>
                <w:color w:val="auto"/>
                <w:w w:val="92"/>
              </w:rPr>
              <w:t>incorporation or organization)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8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1"/>
              </w:rPr>
              <w:t>101 Middlesex Turnpike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8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Suite 6, PMB 326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8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6"/>
              </w:rPr>
              <w:t>Burlington, MA</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8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0"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080" w:type="dxa"/>
            <w:vAlign w:val="bottom"/>
            <w:gridSpan w:val="2"/>
          </w:tcPr>
          <w:p>
            <w:pPr>
              <w:ind w:left="1840"/>
              <w:spacing w:after="0"/>
              <w:rPr>
                <w:sz w:val="20"/>
                <w:szCs w:val="20"/>
                <w:color w:val="auto"/>
              </w:rPr>
            </w:pPr>
            <w:r>
              <w:rPr>
                <w:rFonts w:ascii="Arial" w:cs="Arial" w:eastAsia="Arial" w:hAnsi="Arial"/>
                <w:sz w:val="18"/>
                <w:szCs w:val="18"/>
                <w:color w:val="auto"/>
              </w:rPr>
              <w:t>Title of each class</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Ticker symbol(s)</w:t>
            </w:r>
          </w:p>
        </w:tc>
        <w:tc>
          <w:tcPr>
            <w:tcW w:w="3700" w:type="dxa"/>
            <w:vAlign w:val="bottom"/>
          </w:tcPr>
          <w:p>
            <w:pPr>
              <w:ind w:left="260"/>
              <w:spacing w:after="0"/>
              <w:rPr>
                <w:sz w:val="20"/>
                <w:szCs w:val="20"/>
                <w:color w:val="auto"/>
              </w:rPr>
            </w:pPr>
            <w:r>
              <w:rPr>
                <w:rFonts w:ascii="Arial" w:cs="Arial" w:eastAsia="Arial" w:hAnsi="Arial"/>
                <w:sz w:val="18"/>
                <w:szCs w:val="18"/>
                <w:color w:val="auto"/>
                <w:w w:val="96"/>
              </w:rPr>
              <w:t>Name of each exchange on which registered</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Emerging growth company x</w:t>
      </w:r>
    </w:p>
    <w:p>
      <w:pPr>
        <w:spacing w:after="0" w:line="24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16, 2021, Agrify Corporation (the “Company”) entered into an Underwriting Agreement (the “Underwriting Agreement”) with Maxim Group LLC, as representative of the underwriters named therein (collectively, the “Underwriters”), in connection with an underwritten public offering (the “Offering”). On February 16, 2021, the Company announced the pricing of the Offering of 5,555,555 shares of common stock for a price of $13.50 per share, less certain underwriting discounts and commissions. The Company also granted the Underwriters a 45-day option to purchase up to 833,333 additional shares of the Company’s common stock on the same terms and conditions for the purpose of covering any over-allotments in connection with the Offering.</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Offering closed on February 19, 2021 and was made pursuant to the Company’s registration statement on Form S-1 (File No. 333-253005), which was declared effective by the Securities and Exchange Commission (the “SEC”) on February 16, 2021 under the Securities Act of 1933, as amended (the “Securities Act”). A final prospectus describing the terms of the Offering was filed with the SEC and is available on the SEC’s website located at http://www.sec.gov.</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net proceeds to the Company from the Offering were approximately $69.5 million, after deducting underwriting commissions and offering expenses, and assuming no exercise of the over-allotment option. The Company intends to use the net proceeds from the Offering for working capital and general corporate purposes, including investments in, or acquisitions of, complementary businesses, services or technologies that the Company believes would allow it to deliver better cultivation results.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Current Report on Form 8-K contains forward-looking statements that involve risks and uncertainties, such as statements related to the use of proceeds from the Offering, as well as other risks detailed from time to time in the Company’s filings with the SEC.</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 copy of the Underwriting Agreement is filed as Exhibit 1.1 to this Current Report on Form 8-K and is incorporated herein by reference. The foregoing description of the Underwriting Agreement does not purport to be complete and is qualified in its entirety by reference to the complete text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16, 2021, the Company issued a press release announcing the pricing of the Offering. A copy of this press release is attached as Exhibit 99.1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Underwriting Agreement dated February 16, 2021 by and between the Registrant and Maxim Group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9">
        <w:r>
          <w:rPr>
            <w:rFonts w:ascii="Arial" w:cs="Arial" w:eastAsia="Arial" w:hAnsi="Arial"/>
            <w:sz w:val="15"/>
            <w:szCs w:val="15"/>
            <w:u w:val="single" w:color="auto"/>
            <w:color w:val="0000EE"/>
          </w:rPr>
          <w:t>Press Release dated February 16, 2021</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Niv Krikov</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5,555,555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Representative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Several underwriters, if any,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Agrify Corporation, a company incorporated under the laws of Nevada (collectively with its subsidiaries and affiliates, including, without limitation, all entities disclosed or described in the Registration Statement as being subsidiaries or affiliates of Agrify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Maxim Group LLC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understood that the several Underwriters are to make a public offering of the Public Shares as soon as the Representative deems it advisable to do so. The Public Shares are to be offered to the public at the public offering price set forth in the Prospectus.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It is further understood that you will act as the Representative for the Underwriters in the offering and sale of the Firm Shares and, if any, the Option Shares in accordance with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660"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commercial banking institutions in the State of New York are authorized or required by law or other governmental action to close, it being agreed that any day which would otherwise be a Business Day shall continue to be a Business Day notwithstanding the occurrence or continuation of any “stay at home”, “shelter-in-place”, “non-essential employee” or any other similar orders or restrictions at the direction of any governmental authority so long as the electronic funds transfer systems (including for wire transfers) of commercial banks in New York, New York are generally open for use by customers on such day.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Firm Shares pursuant to Section 2.1.</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hour and the date on the Trading Day on which all conditions precedent to (i) the Underwriters’ obligations to pay for the Firm Shares and (ii) the Company’s obligations to deliver the Firm Shares, in each case, have been satisfied or waived, but in no event</w:t>
      </w:r>
    </w:p>
    <w:p>
      <w:pPr>
        <w:ind w:right="200"/>
        <w:spacing w:after="0" w:line="221" w:lineRule="auto"/>
        <w:rPr>
          <w:sz w:val="20"/>
          <w:szCs w:val="20"/>
          <w:color w:val="auto"/>
        </w:rPr>
      </w:pPr>
      <w:r>
        <w:rPr>
          <w:rFonts w:ascii="Arial" w:cs="Arial" w:eastAsia="Arial" w:hAnsi="Arial"/>
          <w:sz w:val="18"/>
          <w:szCs w:val="18"/>
          <w:color w:val="auto"/>
        </w:rPr>
        <w:t>later than 10:00 a.m. (New York City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(or if the Firm Shares are priced, as contemplated by Rule 15c6-1(c) under the Exchange Act, after 4:30 p.m., Eastern time, the third (3rd)) Trading Day following the Execution Date or at such earlier time as shall be agreed upon by the Representative and the Company.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Auditor</w:t>
      </w:r>
      <w:r>
        <w:rPr>
          <w:rFonts w:ascii="Arial" w:cs="Arial" w:eastAsia="Arial" w:hAnsi="Arial"/>
          <w:sz w:val="18"/>
          <w:szCs w:val="18"/>
          <w:color w:val="auto"/>
        </w:rPr>
        <w:t>” means Marcum LLP, with offices located at 7 Penn Plaza, Suite 830, New York, New York 10001.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Loeb &amp; Loeb LLP, with offices located at 345 Park Avenue, New York, NY 10154.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mean the date on which the parties execute and enter into this Agreement.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0"/>
          </w:cols>
          <w:pgMar w:left="980" w:top="665" w:right="359" w:bottom="1440" w:gutter="0" w:footer="0" w:header="0"/>
        </w:sectPr>
      </w:pPr>
    </w:p>
    <w:bookmarkStart w:id="5" w:name="page6"/>
    <w:bookmarkEnd w:id="5"/>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restricted stock, restricted stock units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or in connection with the appointment of investor relation firms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prohibitive period set forth in Section 4.20 hereof,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6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Free Writing Prospectus</w:t>
      </w:r>
      <w:r>
        <w:rPr>
          <w:rFonts w:ascii="Arial" w:cs="Arial" w:eastAsia="Arial" w:hAnsi="Arial"/>
          <w:sz w:val="18"/>
          <w:szCs w:val="18"/>
          <w:color w:val="auto"/>
        </w:rPr>
        <w:t xml:space="preserve">”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Securities or of the Offering that does not reflect the final terms or pursuant to Rule 433(d)(8)(ii) because it is a “bona fide electronic road show,” as defined in Rule 433 under the Securities Act, in each case in the form filed or required to be filed with the Commission or, if not required to be filed, in the form retained in the Company’s records pursuant to Rule 433(g) under the Securities Act;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Written Testing-the-Waters Communication shall be deemed not to be an Issuer Free Writing Prospectus.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General Free Writing Prospectus</w:t>
      </w:r>
      <w:r>
        <w:rPr>
          <w:rFonts w:ascii="Arial" w:cs="Arial" w:eastAsia="Arial" w:hAnsi="Arial"/>
          <w:sz w:val="18"/>
          <w:szCs w:val="18"/>
          <w:color w:val="auto"/>
        </w:rPr>
        <w:t xml:space="preserve">” means any Issuer-Represented Free Writing Prospectus that is intended for general distribution to prospective investors, as evidenced by its being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Limited-Use Free Writing Prospectus</w:t>
      </w:r>
      <w:r>
        <w:rPr>
          <w:rFonts w:ascii="Arial" w:cs="Arial" w:eastAsia="Arial" w:hAnsi="Arial"/>
          <w:sz w:val="18"/>
          <w:szCs w:val="18"/>
          <w:color w:val="auto"/>
        </w:rPr>
        <w:t>” means any Issuer-Represented Free Writing Prospectus that is not an Issuer-Represented General Free Writing Prospectus. The term Issuer-Represented Limited-Use Free Writing Prospectus also includes any “bona fide electronic road show,” as defined in Rule 433 under the Securities Act, that is made available without restriction pursuant to Rule 433(d)(8)(ii), even though not required to be filed with the Commission.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means the lock-up agreements that were delivered on the execution date of that certain underwriting agreement, dated January 27, 2021, by and between the Company and the Representative (the “</w:t>
      </w:r>
      <w:r>
        <w:rPr>
          <w:rFonts w:ascii="Arial" w:cs="Arial" w:eastAsia="Arial" w:hAnsi="Arial"/>
          <w:sz w:val="18"/>
          <w:szCs w:val="18"/>
          <w:u w:val="single" w:color="auto"/>
          <w:color w:val="auto"/>
        </w:rPr>
        <w:t>Prior Underwriting Agreement</w:t>
      </w:r>
      <w:r>
        <w:rPr>
          <w:rFonts w:ascii="Arial" w:cs="Arial" w:eastAsia="Arial" w:hAnsi="Arial"/>
          <w:sz w:val="18"/>
          <w:szCs w:val="18"/>
          <w:color w:val="auto"/>
        </w:rPr>
        <w:t>”) by each of the Company’s officers and directors and each holder of Common Stock and Common Stock Equivalents holding, on a fully diluted basis, more than 1% of the Company’s issued and outstanding Common Stock.</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means, if any, any preliminary prospectus relating to the Securities included in the Registration Statement or any amendment thereto.</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Shares</w:t>
      </w:r>
      <w:r>
        <w:rPr>
          <w:rFonts w:ascii="Arial" w:cs="Arial" w:eastAsia="Arial" w:hAnsi="Arial"/>
          <w:sz w:val="18"/>
          <w:szCs w:val="18"/>
          <w:color w:val="auto"/>
        </w:rPr>
        <w:t>” means, collectively, the Firm Shares and, if any, the Option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collectively, the various parts of the registration statement prepared by the Company on Form S-1 (File No. 333- 253005) with respect to the Securities, each as amended through the Execution Date, including the Prospectus, any Preliminary Prospectus and all exhibits filed with or incorporated by reference into such registration statement. If the Company has filed or is required pursuant to the terms hereof to file a registration statement pursuant to Rule 462(b) under the Securities Act registering additional Public Shares (a “</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then, unless otherwise specified, any reference herein to the term “Registration Statement” shall be deemed to include such Rule 462(b) Registration Statement.</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Public Shares, the Representative’s Warrant and the Representative’s Warrant Shares.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40"/>
          </w:cols>
          <w:pgMar w:left="980" w:top="665" w:right="37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collectively, the shares of Common Stock delivered to the Underwriters in accordance with Section 2.1(a)(i) and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2.2(a).</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Execution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Prospectus</w:t>
      </w:r>
      <w:r>
        <w:rPr>
          <w:rFonts w:ascii="Arial" w:cs="Arial" w:eastAsia="Arial" w:hAnsi="Arial"/>
          <w:sz w:val="17"/>
          <w:szCs w:val="17"/>
          <w:color w:val="auto"/>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under the Securities Act shall be considered to be included in the Statutory Prospectus as of the actual time that form of prospectus is filed with the Commission pursuant to Rule 424(b) under the Securities Act.</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in reliance on Section 5(d) of the Securities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5:30 p.m. (Eastern time) on the Execution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OTCQX or OTCQB (or any successors to any of the foregoing).</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all exhibits and schedules hereto, the Representative’s Warrant, and any other documents or agreements executed in connection with the transactions contemplated hereunder.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 51 Mercedes Way, Edgewood, New York 11717, and any successor transfer agent of the Company.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6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firstLine="644"/>
        <w:spacing w:after="0" w:line="255"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issue and sell, severally and not jointly, to the several Underwriters, an aggregate of 5,555,555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at a purchase price (including discounts and commissions) of $12.555 for each Closing Share, which represents the public offering price of Firm Shares set forth on the cover page of the Prospectus less a 7.0% underwriting discount (the “</w:t>
      </w:r>
      <w:r>
        <w:rPr>
          <w:rFonts w:ascii="Arial" w:cs="Arial" w:eastAsia="Arial" w:hAnsi="Arial"/>
          <w:sz w:val="18"/>
          <w:szCs w:val="18"/>
          <w:u w:val="single" w:color="auto"/>
          <w:color w:val="auto"/>
        </w:rPr>
        <w:t>Price per Share</w:t>
      </w:r>
      <w:r>
        <w:rPr>
          <w:rFonts w:ascii="Arial" w:cs="Arial" w:eastAsia="Arial" w:hAnsi="Arial"/>
          <w:sz w:val="18"/>
          <w:szCs w:val="18"/>
          <w:color w:val="auto"/>
        </w:rPr>
        <w:t xml:space="preserve">”). The Underwriters, severally and not jointly, agree to purchase from the Company the number of Firm Shares set forth opposite their respective names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and made a part hereof.</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8" w:name="page9"/>
    <w:bookmarkEnd w:id="8"/>
    <w:p>
      <w:pPr>
        <w:ind w:firstLine="644"/>
        <w:spacing w:after="0" w:line="279"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the Closing Date, the Company shall deliver items required pursuant to Section 2.3 deliverable at the Closing. Upon satisfaction of the covenants and conditions set forth in Sections 2.3 and 2.4, the Closing shall occur at the offices of EGS or such other location (including remotely by facsimile or other electronic transmission) as the Company and Representative shall mutually agree. The Public Shares are to be offered to the public at the offering price set forth on the cover page of the Prospectus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ind w:right="20" w:firstLine="644"/>
        <w:spacing w:after="0" w:line="263" w:lineRule="auto"/>
        <w:tabs>
          <w:tab w:leader="none" w:pos="893"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purposes of covering any over-allotments in connection with the distribution and sale of the Firm Shares, the Representative is hereby granted an option (the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 to purchase, in the aggregate, up to 833,333 shares of Common Stock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644"/>
        <w:spacing w:after="0" w:line="277"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an exercise of the Over-Allotment Option, the aggregate purchase price to be paid for the Option Shares is equal to the product of the Price per Share multiplied by the number of Option Shares to be purchased.</w:t>
      </w:r>
    </w:p>
    <w:p>
      <w:pPr>
        <w:spacing w:after="0" w:line="170" w:lineRule="exact"/>
        <w:rPr>
          <w:rFonts w:ascii="Arial" w:cs="Arial" w:eastAsia="Arial" w:hAnsi="Arial"/>
          <w:sz w:val="18"/>
          <w:szCs w:val="18"/>
          <w:color w:val="auto"/>
        </w:rPr>
      </w:pPr>
    </w:p>
    <w:p>
      <w:pPr>
        <w:ind w:right="60" w:firstLine="644"/>
        <w:spacing w:after="0" w:line="287" w:lineRule="auto"/>
        <w:tabs>
          <w:tab w:leader="none" w:pos="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Over-Allotment Option granted pursuant to this Section 2.2 may be exercised by the Representative as to all (at any time) or any part (from time to time) of the Option Shares within 45 days after the Execution Date. An Underwriter will not be under any obligation to purchase any Option Shares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(each, an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will not be later than two (2) full Business Days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specified in such notice. The Representative may cancel the Over-Allotment Option at any time prior to the expiration of the Over-Allotment Option by written notice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the Representative or each Underwriter (as the case may be) the following:</w:t>
      </w:r>
    </w:p>
    <w:p>
      <w:pPr>
        <w:spacing w:after="0" w:line="248" w:lineRule="exact"/>
        <w:rPr>
          <w:sz w:val="20"/>
          <w:szCs w:val="20"/>
          <w:color w:val="auto"/>
        </w:rPr>
      </w:pPr>
    </w:p>
    <w:p>
      <w:pPr>
        <w:jc w:val="both"/>
        <w:ind w:right="120" w:firstLine="644"/>
        <w:spacing w:after="0" w:line="263" w:lineRule="auto"/>
        <w:tabs>
          <w:tab w:leader="none" w:pos="8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Date, the Firm Shares and, as to each Option Closing Date, if any, the applicable Option Shares, which shares shall be delivered via The Depository Trust Company Deposit or Withdrawal at Custodian system for the accounts of the several Underwriters as directed by the Representative;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9" w:name="page10"/>
    <w:bookmarkEnd w:id="9"/>
    <w:p>
      <w:pPr>
        <w:ind w:left="660" w:firstLine="644"/>
        <w:spacing w:after="0" w:line="279" w:lineRule="auto"/>
        <w:tabs>
          <w:tab w:leader="none" w:pos="1563"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the Closing Date and on each Option Closing Date, to the Representative or its permitted designees, a Common Stock purchase warrant (the “</w:t>
      </w:r>
      <w:r>
        <w:rPr>
          <w:rFonts w:ascii="Arial" w:cs="Arial" w:eastAsia="Arial" w:hAnsi="Arial"/>
          <w:sz w:val="17"/>
          <w:szCs w:val="17"/>
          <w:u w:val="single" w:color="auto"/>
          <w:color w:val="auto"/>
        </w:rPr>
        <w:t>Representative’s Warrant</w:t>
      </w:r>
      <w:r>
        <w:rPr>
          <w:rFonts w:ascii="Arial" w:cs="Arial" w:eastAsia="Arial" w:hAnsi="Arial"/>
          <w:sz w:val="17"/>
          <w:szCs w:val="17"/>
          <w:color w:val="auto"/>
        </w:rPr>
        <w:t>”) to purchase up to a number of shares of Common Stock (the “</w:t>
      </w:r>
      <w:r>
        <w:rPr>
          <w:rFonts w:ascii="Arial" w:cs="Arial" w:eastAsia="Arial" w:hAnsi="Arial"/>
          <w:sz w:val="17"/>
          <w:szCs w:val="17"/>
          <w:u w:val="single" w:color="auto"/>
          <w:color w:val="auto"/>
        </w:rPr>
        <w:t>Representative’s Warrant Shares</w:t>
      </w:r>
      <w:r>
        <w:rPr>
          <w:rFonts w:ascii="Arial" w:cs="Arial" w:eastAsia="Arial" w:hAnsi="Arial"/>
          <w:sz w:val="17"/>
          <w:szCs w:val="17"/>
          <w:color w:val="auto"/>
        </w:rPr>
        <w:t>”) equal to three percent (3%) of the Firm Shares or Option Shares (as the case may be) issued on the Closing Date or an Option Closing Date, which Representative’s Warrant shall have an exercise price of $16.875, subject to adjustment therein.</w:t>
      </w:r>
    </w:p>
    <w:p>
      <w:pPr>
        <w:spacing w:after="0" w:line="171" w:lineRule="exact"/>
        <w:rPr>
          <w:rFonts w:ascii="Arial" w:cs="Arial" w:eastAsia="Arial" w:hAnsi="Arial"/>
          <w:sz w:val="17"/>
          <w:szCs w:val="17"/>
          <w:color w:val="auto"/>
        </w:rPr>
      </w:pPr>
    </w:p>
    <w:p>
      <w:pPr>
        <w:ind w:left="660" w:right="200" w:firstLine="644"/>
        <w:spacing w:after="0" w:line="308" w:lineRule="auto"/>
        <w:tabs>
          <w:tab w:leader="none" w:pos="1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the Closing Date and each Option Closing Date, a legal opinion of Company Counsel addressed to the Underwriters, including, without limitation, a negative assurance letter, in form and substance reasonably acceptable to the Representative;</w:t>
      </w:r>
    </w:p>
    <w:p>
      <w:pPr>
        <w:spacing w:after="0" w:line="146" w:lineRule="exact"/>
        <w:rPr>
          <w:rFonts w:ascii="Arial" w:cs="Arial" w:eastAsia="Arial" w:hAnsi="Arial"/>
          <w:sz w:val="17"/>
          <w:szCs w:val="17"/>
          <w:color w:val="auto"/>
        </w:rPr>
      </w:pPr>
    </w:p>
    <w:p>
      <w:pPr>
        <w:ind w:left="660" w:right="560" w:firstLine="644"/>
        <w:spacing w:after="0" w:line="277" w:lineRule="auto"/>
        <w:tabs>
          <w:tab w:leader="none" w:pos="16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regulatory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ind w:left="660" w:right="180" w:firstLine="644"/>
        <w:spacing w:after="0" w:line="277" w:lineRule="auto"/>
        <w:tabs>
          <w:tab w:leader="none" w:pos="155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Date and each Option Closing Date, legal opinions of intellectual property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ind w:left="660" w:firstLine="644"/>
        <w:spacing w:after="0" w:line="263" w:lineRule="auto"/>
        <w:tabs>
          <w:tab w:leader="none" w:pos="16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Execution Date,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spacing w:after="0" w:line="183" w:lineRule="exact"/>
        <w:rPr>
          <w:rFonts w:ascii="Arial" w:cs="Arial" w:eastAsia="Arial" w:hAnsi="Arial"/>
          <w:sz w:val="18"/>
          <w:szCs w:val="18"/>
          <w:color w:val="auto"/>
        </w:rPr>
      </w:pPr>
    </w:p>
    <w:p>
      <w:pPr>
        <w:ind w:left="660" w:right="320" w:firstLine="644"/>
        <w:spacing w:after="0" w:line="277" w:lineRule="auto"/>
        <w:tabs>
          <w:tab w:leader="none" w:pos="1663"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Officer’s Certificate, in a form reasonably acceptable to the Representative; and</w:t>
      </w:r>
    </w:p>
    <w:p>
      <w:pPr>
        <w:spacing w:after="0" w:line="170" w:lineRule="exact"/>
        <w:rPr>
          <w:rFonts w:ascii="Arial" w:cs="Arial" w:eastAsia="Arial" w:hAnsi="Arial"/>
          <w:sz w:val="18"/>
          <w:szCs w:val="18"/>
          <w:color w:val="auto"/>
        </w:rPr>
      </w:pPr>
    </w:p>
    <w:p>
      <w:pPr>
        <w:ind w:left="660" w:right="120" w:firstLine="644"/>
        <w:spacing w:after="0" w:line="277" w:lineRule="auto"/>
        <w:tabs>
          <w:tab w:leader="none" w:pos="1713"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Secretary’s Certificate, in a form reasonably acceptable to the Representative.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Conditions</w:t>
      </w:r>
      <w:r>
        <w:rPr>
          <w:rFonts w:ascii="Arial" w:cs="Arial" w:eastAsia="Arial" w:hAnsi="Arial"/>
          <w:sz w:val="18"/>
          <w:szCs w:val="18"/>
          <w:color w:val="auto"/>
        </w:rPr>
        <w:t>. The respective obligations of each Underwriter hereunder in connection with the Closing and each Option Closing Date are subject to the following conditions being met:</w:t>
      </w:r>
    </w:p>
    <w:p>
      <w:pPr>
        <w:spacing w:after="0" w:line="170" w:lineRule="exact"/>
        <w:rPr>
          <w:sz w:val="20"/>
          <w:szCs w:val="20"/>
          <w:color w:val="auto"/>
        </w:rPr>
      </w:pPr>
    </w:p>
    <w:p>
      <w:pPr>
        <w:ind w:left="660" w:firstLine="644"/>
        <w:spacing w:after="0" w:line="263" w:lineRule="auto"/>
        <w:tabs>
          <w:tab w:leader="none" w:pos="152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date in question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w:t>
      </w:r>
    </w:p>
    <w:p>
      <w:pPr>
        <w:spacing w:after="0" w:line="210" w:lineRule="exact"/>
        <w:rPr>
          <w:rFonts w:ascii="Arial" w:cs="Arial" w:eastAsia="Arial" w:hAnsi="Arial"/>
          <w:sz w:val="16"/>
          <w:szCs w:val="16"/>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2.3 of this Agreement;</w:t>
      </w:r>
    </w:p>
    <w:p>
      <w:pPr>
        <w:spacing w:after="0" w:line="225" w:lineRule="exact"/>
        <w:rPr>
          <w:rFonts w:ascii="Arial" w:cs="Arial" w:eastAsia="Arial" w:hAnsi="Arial"/>
          <w:sz w:val="18"/>
          <w:szCs w:val="18"/>
          <w:color w:val="auto"/>
        </w:rPr>
      </w:pPr>
    </w:p>
    <w:p>
      <w:pPr>
        <w:jc w:val="both"/>
        <w:ind w:left="660" w:right="100" w:firstLine="644"/>
        <w:spacing w:after="0" w:line="279" w:lineRule="auto"/>
        <w:tabs>
          <w:tab w:leader="none" w:pos="161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 w:name="page11"/>
    <w:bookmarkEnd w:id="10"/>
    <w:p>
      <w:pPr>
        <w:ind w:left="660" w:right="40" w:firstLine="644"/>
        <w:spacing w:after="0" w:line="277" w:lineRule="auto"/>
        <w:tabs>
          <w:tab w:leader="none" w:pos="1563"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Execution Date, the Underwriters shall have received a letter of no objections from FINRA as to the terms of the arrangements with and amount of compensation allowable or payable to the Underwriters in connection with the Offering;</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Firm Shares, the Option Shares and the Representative’s Warrant Shares have been approved for listing on Nasdaq; and</w:t>
      </w:r>
    </w:p>
    <w:p>
      <w:pPr>
        <w:spacing w:after="0" w:line="236" w:lineRule="exact"/>
        <w:rPr>
          <w:rFonts w:ascii="Arial" w:cs="Arial" w:eastAsia="Arial" w:hAnsi="Arial"/>
          <w:sz w:val="17"/>
          <w:szCs w:val="17"/>
          <w:color w:val="auto"/>
        </w:rPr>
      </w:pPr>
    </w:p>
    <w:p>
      <w:pPr>
        <w:ind w:left="660" w:right="20" w:firstLine="644"/>
        <w:spacing w:after="0" w:line="286" w:lineRule="auto"/>
        <w:tabs>
          <w:tab w:leader="none" w:pos="1663"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General Disclosure Package and the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General Disclosure Package and the Prospectus; (iii) no stop order shall have been issued under the Securities Act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Securities Act and shall conform in all material respects to the requirements of the Securities Act, and neither the Registration Statement, the General Disclosure Package and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of the Execution Date,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as of each Option Closing Date, if any, as follows:</w:t>
      </w:r>
    </w:p>
    <w:p>
      <w:pPr>
        <w:spacing w:after="0" w:line="211" w:lineRule="exact"/>
        <w:rPr>
          <w:sz w:val="20"/>
          <w:szCs w:val="20"/>
          <w:color w:val="auto"/>
        </w:rPr>
      </w:pPr>
    </w:p>
    <w:p>
      <w:pPr>
        <w:ind w:left="660" w:firstLine="644"/>
        <w:spacing w:after="0" w:line="257" w:lineRule="auto"/>
        <w:tabs>
          <w:tab w:leader="none" w:pos="15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on Exhibit 21.1 to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ind w:left="-460" w:firstLine="644"/>
        <w:spacing w:after="0" w:line="270" w:lineRule="auto"/>
        <w:tabs>
          <w:tab w:leader="none" w:pos="44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180" w:lineRule="exact"/>
        <w:rPr>
          <w:rFonts w:ascii="Arial" w:cs="Arial" w:eastAsia="Arial" w:hAnsi="Arial"/>
          <w:sz w:val="17"/>
          <w:szCs w:val="17"/>
          <w:color w:val="auto"/>
        </w:rPr>
      </w:pPr>
    </w:p>
    <w:p>
      <w:pPr>
        <w:ind w:left="-460" w:right="40" w:firstLine="644"/>
        <w:spacing w:after="0" w:line="287" w:lineRule="auto"/>
        <w:tabs>
          <w:tab w:leader="none" w:pos="4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ind w:left="-460" w:right="20" w:firstLine="644"/>
        <w:spacing w:after="0" w:line="287" w:lineRule="auto"/>
        <w:tabs>
          <w:tab w:leader="none" w:pos="44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67" w:lineRule="exact"/>
        <w:rPr>
          <w:rFonts w:ascii="Arial" w:cs="Arial" w:eastAsia="Arial" w:hAnsi="Arial"/>
          <w:sz w:val="16"/>
          <w:szCs w:val="16"/>
          <w:color w:val="auto"/>
        </w:rPr>
      </w:pPr>
    </w:p>
    <w:p>
      <w:pPr>
        <w:ind w:left="-460" w:right="260" w:firstLine="644"/>
        <w:spacing w:after="0" w:line="257" w:lineRule="auto"/>
        <w:tabs>
          <w:tab w:leader="none" w:pos="4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and (ii) such filings as are required to be made under applicable state securities laws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2" w:name="page13"/>
    <w:bookmarkEnd w:id="12"/>
    <w:p>
      <w:pPr>
        <w:ind w:left="-460" w:right="140" w:firstLine="644"/>
        <w:spacing w:after="0" w:line="273" w:lineRule="auto"/>
        <w:tabs>
          <w:tab w:leader="none" w:pos="41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filed or will file with the Commission the Registration Statement, including any related Preliminary Prospectuses or the Prospectus,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February 16,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at the Time of Sale. The Company’s Form 8-A (File Number 001-39946) filed with the Commission providing for the registration of the Common Stock under the Exchange Act is effective.</w:t>
      </w:r>
    </w:p>
    <w:p>
      <w:pPr>
        <w:spacing w:after="0" w:line="177" w:lineRule="exact"/>
        <w:rPr>
          <w:rFonts w:ascii="Arial" w:cs="Arial" w:eastAsia="Arial" w:hAnsi="Arial"/>
          <w:sz w:val="17"/>
          <w:szCs w:val="17"/>
          <w:color w:val="auto"/>
        </w:rPr>
      </w:pPr>
    </w:p>
    <w:p>
      <w:pPr>
        <w:ind w:left="-460" w:firstLine="644"/>
        <w:spacing w:after="0" w:line="269" w:lineRule="auto"/>
        <w:tabs>
          <w:tab w:leader="none" w:pos="44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The Representative’s Warrant Shares, when issued in accordance with the terms of the Representative’s Warrant, will be validly issued, fully paid and nonassessable, free and clear of all Liens. The Company has reserved from its duly authorized capital stock the maximum number of shares of Common Stock issuable pursuant to this Agreement and the Representative’s Warrant. The holder of the Securities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and no further approval or authorization of any stockholder, the Board of Directors or others is required for the issuance and sale of the Securities. The Securities conform in all material respects to all statements with respect thereto contained in the Registration Statement.</w:t>
      </w:r>
    </w:p>
    <w:p>
      <w:pPr>
        <w:spacing w:after="0" w:line="185" w:lineRule="exact"/>
        <w:rPr>
          <w:rFonts w:ascii="Arial" w:cs="Arial" w:eastAsia="Arial" w:hAnsi="Arial"/>
          <w:sz w:val="17"/>
          <w:szCs w:val="17"/>
          <w:color w:val="auto"/>
        </w:rPr>
      </w:pPr>
    </w:p>
    <w:p>
      <w:pPr>
        <w:ind w:left="-460" w:right="40" w:firstLine="644"/>
        <w:spacing w:after="0" w:line="284" w:lineRule="auto"/>
        <w:tabs>
          <w:tab w:leader="none" w:pos="4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dates indicated in the Registration Statement and the Prospectus, the authorized, issued and outstanding shares of capital stock of the Company were as set forth in the Registration Statement, the General Disclosure Package and the Prospectus in the column headed “Actual” under the section thereof captioned “Capitalization” and, after giving effect to the Offering and the other transactions contemplated by this Agreement, the Registration Statement, the General Disclosure Package and the Prospectus (excluding the sale of the Option Shares, if any), will be as set forth in the column headed “Pro Forma As Adjusted” in such section.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Underwriters).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General Disclosure Package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00"/>
          </w:cols>
          <w:pgMar w:left="1440" w:top="665" w:right="359" w:bottom="1440" w:gutter="0" w:footer="0" w:header="0"/>
        </w:sectPr>
      </w:pPr>
    </w:p>
    <w:bookmarkStart w:id="13" w:name="page14"/>
    <w:bookmarkEnd w:id="13"/>
    <w:p>
      <w:pPr>
        <w:ind w:left="-460" w:right="300" w:firstLine="644"/>
        <w:spacing w:after="0" w:line="257" w:lineRule="auto"/>
        <w:tabs>
          <w:tab w:leader="none" w:pos="40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Company Auditor</w:t>
      </w:r>
      <w:r>
        <w:rPr>
          <w:rFonts w:ascii="Arial" w:cs="Arial" w:eastAsia="Arial" w:hAnsi="Arial"/>
          <w:sz w:val="18"/>
          <w:szCs w:val="18"/>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 for the fiscal year ended December 31, 2020. The Company Auditor has not, during the periods covered by the financial statements included in the Prospectus, provided to the Company any non-audit services, as such term is used in Section 10A(g) of the Exchange Act.</w:t>
      </w:r>
    </w:p>
    <w:p>
      <w:pPr>
        <w:spacing w:after="0" w:line="187" w:lineRule="exact"/>
        <w:rPr>
          <w:rFonts w:ascii="Arial" w:cs="Arial" w:eastAsia="Arial" w:hAnsi="Arial"/>
          <w:sz w:val="18"/>
          <w:szCs w:val="18"/>
          <w:color w:val="auto"/>
        </w:rPr>
      </w:pPr>
    </w:p>
    <w:p>
      <w:pPr>
        <w:ind w:left="-460" w:firstLine="644"/>
        <w:spacing w:after="0" w:line="283" w:lineRule="auto"/>
        <w:tabs>
          <w:tab w:leader="none" w:pos="40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such period as the Company was required by law or regulation to file such material (the foregoing materials, including the exhibits thereto and documents incorporated by reference therein, together with the Registration Statement, the Disclosure Package and the Prospectus,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including the notes thereto, and the supporting schedules included in the SEC Reports, if any, the Registration Statement, the General Disclosure Package and the Prospectus comply in all material respects with the requirements of the Securities Act and the Exchange Act, and present fairly the financial position as of the dates indicated and the cash flows and results of operations for the periods specified of the Company and its consolidated Subsidiaries. Except as otherwise stated in the Registration Statement, the General Disclosure Package and the Prospectus, said financial statements have been prepared in conformity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in the case of unaudited financials, which remain subject to certain year-end adjustments and do not contain certain footnotes. The supporting schedules included in the SEC Reports, if any, the Registration Statement, the General Disclosure Package and the Prospectus present fairly the information required to be stated therein. No other financial statements, notes thereto or supporting schedules are required to be included or incorporated by reference in the Registration Statement, the General Disclosure Package and the Prospectus. The other financial and data included in the Registration Statement, the General Disclosure Package and the Prospectus present fairly the information included therein and have been prepared on a basis consistent with that of the financial statements that are included in the Registration Statement, the General Disclosure Package and the Prospectus and the books and records of the respective entities presented therein. There are no pro forma or as adjusted financial statements which are required to be included in the Registration Statement, the General Disclosure Package and the Prospectus in accordance with Regulation S-X which have not been included as so required. The pro forma and pro forma as adjusted financial information included in the Registration Statement, the General Disclosure Package and the Prospectus has been properly compiled and prepared in accordance with the applicable requirements of the Securities Act and the rules and regulations thereunder and include all adjustments necessary to present fairly in accordance with GAAP the pro forma and as adjusted financial position of the respective entity or entities presented therein at the respective dates indicated and their cash flows and the results of operations for the respective periods specified. The assumptions used in preparing the pro forma and pro forma as adjusted financial information included in the Registration Statement, the General Disclosure Package and the Prospectus provide a reasonable basis for presenting the significant effects directly attributable to the transactions or events described therein. The related pro forma and pro forma as adjusted adjustments give appropriate effect to those assumptions; and the pro forma and pro forma as adjusted financial information reflect the proper application of those adjustments to the corresponding historical financial statement amounts.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4" w:name="page15"/>
    <w:bookmarkEnd w:id="14"/>
    <w:p>
      <w:pPr>
        <w:ind w:left="-460" w:right="20" w:firstLine="644"/>
        <w:spacing w:after="0" w:line="269" w:lineRule="auto"/>
        <w:tabs>
          <w:tab w:leader="none" w:pos="44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and Disclosure Controls</w:t>
      </w:r>
      <w:r>
        <w:rPr>
          <w:rFonts w:ascii="Arial" w:cs="Arial" w:eastAsia="Arial" w:hAnsi="Arial"/>
          <w:sz w:val="17"/>
          <w:szCs w:val="17"/>
          <w:color w:val="auto"/>
        </w:rPr>
        <w:t>. The Company and the Subsidiaries are in compliance with any and all applicable requirements of the Sarbanes-Oxley Act of 2002 that are effective as of the Execution Date, and any and all applicable rules and regulations promulgated by the Commission thereunder that are effective as of the Execution Date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(or that the Company will file or submit) under the Exchange Act is recorded, processed, summarized and reported, within the time periods specified in the Commission’s rules and forms.</w:t>
      </w:r>
    </w:p>
    <w:p>
      <w:pPr>
        <w:spacing w:after="0" w:line="178" w:lineRule="exact"/>
        <w:rPr>
          <w:rFonts w:ascii="Arial" w:cs="Arial" w:eastAsia="Arial" w:hAnsi="Arial"/>
          <w:sz w:val="17"/>
          <w:szCs w:val="17"/>
          <w:color w:val="auto"/>
        </w:rPr>
      </w:pPr>
    </w:p>
    <w:p>
      <w:pPr>
        <w:ind w:left="-460" w:firstLine="644"/>
        <w:spacing w:after="0" w:line="285" w:lineRule="auto"/>
        <w:tabs>
          <w:tab w:leader="none" w:pos="40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Agreements, etc</w:t>
      </w:r>
      <w:r>
        <w:rPr>
          <w:rFonts w:ascii="Arial" w:cs="Arial" w:eastAsia="Arial" w:hAnsi="Arial"/>
          <w:sz w:val="16"/>
          <w:szCs w:val="16"/>
          <w:color w:val="auto"/>
        </w:rPr>
        <w:t>. The agreements, contracts and documents of the Company and its Subsidiaries described in the Registration Statement, the General Disclosure Package and the Prospectus and in the SEC Reports conform to the descriptions thereof contained therein. There are no agreements, contracts or other documents required by the Securities Act and the rules and regulations thereunder to be described in the Registration Statement, the General Disclosure Package and the Prospectus or the SEC Reports or to be filed with the Commission as exhibits to the Registration Statement that have not been so described or filed. Each agreement, contract or other document (however characterized or described) to which the Company or any Subsidiary is a party or by which it is or may be bound or affected and (i) that is referred to in the Registration Statement, any Preliminary Prospectus, the General Disclosure Package and the Prospectus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contracts or documents has been assigned by the Company, and neither the Company or its Subsidiaries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contracts or documents will not result in a violation of any existing applicable law, rule, regulation, judgment, order or decree of any governmental agency or court, domestic or foreign, having jurisdiction over the Company or any of its Subsidiaries, assets or businesses.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5" w:name="page16"/>
    <w:bookmarkEnd w:id="15"/>
    <w:p>
      <w:pPr>
        <w:ind w:left="4" w:right="20" w:firstLine="644"/>
        <w:spacing w:after="0" w:line="285" w:lineRule="auto"/>
        <w:tabs>
          <w:tab w:leader="none" w:pos="95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Registration Statement, the General Disclosure Package and the Prospectus: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ind w:left="4" w:hanging="4"/>
        <w:spacing w:after="0" w:line="286" w:lineRule="auto"/>
        <w:tabs>
          <w:tab w:leader="none" w:pos="3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Except as disclosed in the Registration Statement, the General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69" w:lineRule="exact"/>
        <w:rPr>
          <w:rFonts w:ascii="Arial" w:cs="Arial" w:eastAsia="Arial" w:hAnsi="Arial"/>
          <w:sz w:val="16"/>
          <w:szCs w:val="16"/>
          <w:color w:val="auto"/>
        </w:rPr>
      </w:pPr>
    </w:p>
    <w:p>
      <w:pPr>
        <w:ind w:left="4" w:right="20" w:firstLine="644"/>
        <w:spacing w:after="0" w:line="269" w:lineRule="auto"/>
        <w:tabs>
          <w:tab w:leader="none" w:pos="907"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64"/>
          </w:cols>
          <w:pgMar w:left="976" w:top="665" w:right="359" w:bottom="1440" w:gutter="0" w:footer="0" w:header="0"/>
        </w:sectPr>
      </w:pPr>
    </w:p>
    <w:bookmarkStart w:id="16" w:name="page17"/>
    <w:bookmarkEnd w:id="16"/>
    <w:p>
      <w:pPr>
        <w:ind w:left="-460" w:right="40" w:firstLine="644"/>
        <w:spacing w:after="0" w:line="269"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1" w:lineRule="exact"/>
        <w:rPr>
          <w:rFonts w:ascii="Arial" w:cs="Arial" w:eastAsia="Arial" w:hAnsi="Arial"/>
          <w:sz w:val="17"/>
          <w:szCs w:val="17"/>
          <w:color w:val="auto"/>
        </w:rPr>
      </w:pPr>
    </w:p>
    <w:p>
      <w:pPr>
        <w:ind w:left="-460" w:right="20" w:firstLine="644"/>
        <w:spacing w:after="0" w:line="268"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business of the Company or such Subsidiary, except in each case as could not have or reasonably be expected to result in a Material Adverse Effect. Without limiting the generality of the foregoing, the Company and its Subsidiaries are in compliance, an expect to continue to be in compliance, with all federal, state, municipal, local or foreign laws, rules and regulations relating to cannabis, controlled drugs and substances or pharmaceuticals. The Company and its Subsidiaries have instituted and maintained and will continue to maintain policies and procedures reasonably designed to ensure that the Company and its Subsidiaries do not carry on any activities or distribute any products in a manner that violates applicable federal, state, municipal, local or foreign laws, rules and regulations relating to cannabis, controlled drugs and substances or pharmaceuticals.</w:t>
      </w:r>
    </w:p>
    <w:p>
      <w:pPr>
        <w:spacing w:after="0" w:line="186" w:lineRule="exact"/>
        <w:rPr>
          <w:rFonts w:ascii="Arial" w:cs="Arial" w:eastAsia="Arial" w:hAnsi="Arial"/>
          <w:sz w:val="17"/>
          <w:szCs w:val="17"/>
          <w:color w:val="auto"/>
        </w:rPr>
      </w:pPr>
    </w:p>
    <w:p>
      <w:pPr>
        <w:ind w:left="-460" w:firstLine="644"/>
        <w:spacing w:after="0" w:line="254" w:lineRule="auto"/>
        <w:tabs>
          <w:tab w:leader="none" w:pos="44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Registration Statement, the General Disclosure Package and the Prospectus, except where the failure to possess such permits could not reasonably be expected to result in a Material Adverse Effect (each, a “</w:t>
      </w:r>
      <w:r>
        <w:rPr>
          <w:rFonts w:ascii="Arial" w:cs="Arial" w:eastAsia="Arial" w:hAnsi="Arial"/>
          <w:sz w:val="18"/>
          <w:szCs w:val="18"/>
          <w:u w:val="single" w:color="auto"/>
          <w:color w:val="auto"/>
        </w:rPr>
        <w:t>Material Permit</w:t>
      </w:r>
      <w:r>
        <w:rPr>
          <w:rFonts w:ascii="Arial" w:cs="Arial" w:eastAsia="Arial" w:hAnsi="Arial"/>
          <w:sz w:val="18"/>
          <w:szCs w:val="18"/>
          <w:color w:val="auto"/>
        </w:rPr>
        <w:t>”). Neither the Company nor any Subsidiary has received any notice of proceedings relating to the termination, revocation or modification of any Material Permit. The disclosures in the Registration Statement, the General Disclosure Package and the Prospectus concerning the effects of federal, state, local and all foreign regulation on the Company’s business as currently contemplated are correct in all material respects.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7" w:name="page18"/>
    <w:bookmarkEnd w:id="17"/>
    <w:p>
      <w:pPr>
        <w:ind w:left="-460" w:right="20" w:firstLine="644"/>
        <w:spacing w:after="0" w:line="269" w:lineRule="auto"/>
        <w:tabs>
          <w:tab w:leader="none" w:pos="41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5" w:lineRule="exact"/>
        <w:rPr>
          <w:rFonts w:ascii="Arial" w:cs="Arial" w:eastAsia="Arial" w:hAnsi="Arial"/>
          <w:sz w:val="17"/>
          <w:szCs w:val="17"/>
          <w:color w:val="auto"/>
        </w:rPr>
      </w:pPr>
    </w:p>
    <w:p>
      <w:pPr>
        <w:ind w:left="-460" w:firstLine="644"/>
        <w:spacing w:after="0" w:line="272" w:lineRule="auto"/>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ind w:left="-460" w:right="20" w:firstLine="644"/>
        <w:spacing w:after="0" w:line="287" w:lineRule="auto"/>
        <w:tabs>
          <w:tab w:leader="none" w:pos="40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the General Disclosure Package and the Prospectus and which the failure to do so could have a Material Adverse Effect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the General Disclosure Package and the Prospectus, a written notice of a claim or otherwise has any knowledge that the Intellectual Property Rights violate or infringe upon the rights of any Person.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67" w:lineRule="exact"/>
        <w:rPr>
          <w:rFonts w:ascii="Arial" w:cs="Arial" w:eastAsia="Arial" w:hAnsi="Arial"/>
          <w:sz w:val="16"/>
          <w:szCs w:val="16"/>
          <w:color w:val="auto"/>
        </w:rPr>
      </w:pPr>
    </w:p>
    <w:p>
      <w:pPr>
        <w:ind w:left="-460" w:right="60" w:firstLine="644"/>
        <w:spacing w:after="0" w:line="257" w:lineRule="auto"/>
        <w:tabs>
          <w:tab w:leader="none" w:pos="4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8" w:name="page19"/>
    <w:bookmarkEnd w:id="18"/>
    <w:p>
      <w:pPr>
        <w:ind w:left="-460" w:firstLine="644"/>
        <w:spacing w:after="0" w:line="289" w:lineRule="auto"/>
        <w:tabs>
          <w:tab w:leader="none" w:pos="44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Registration Statement, the General Disclosure Package and the Prospectus,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6" w:lineRule="exact"/>
        <w:rPr>
          <w:rFonts w:ascii="Arial" w:cs="Arial" w:eastAsia="Arial" w:hAnsi="Arial"/>
          <w:sz w:val="16"/>
          <w:szCs w:val="16"/>
          <w:color w:val="auto"/>
        </w:rPr>
      </w:pPr>
    </w:p>
    <w:p>
      <w:pPr>
        <w:ind w:left="-460" w:firstLine="644"/>
        <w:spacing w:after="0" w:line="288" w:lineRule="auto"/>
        <w:tabs>
          <w:tab w:leader="none" w:pos="48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as set forth in the Registration Statement, the General Disclosure Package and the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other than the prior payments to the Representative in connection with the Offering. None of the net proceeds of the Offering will be paid by the Company to any participating FINRA member or its affiliates, except as specifically authorized herein.</w:t>
      </w:r>
    </w:p>
    <w:p>
      <w:pPr>
        <w:spacing w:after="0" w:line="168" w:lineRule="exact"/>
        <w:rPr>
          <w:rFonts w:ascii="Arial" w:cs="Arial" w:eastAsia="Arial" w:hAnsi="Arial"/>
          <w:sz w:val="16"/>
          <w:szCs w:val="16"/>
          <w:color w:val="auto"/>
        </w:rPr>
      </w:pPr>
    </w:p>
    <w:p>
      <w:pPr>
        <w:ind w:left="-460" w:firstLine="644"/>
        <w:spacing w:after="0" w:line="259"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right="200" w:firstLine="644"/>
        <w:spacing w:after="0" w:line="277"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ind w:left="-460" w:firstLine="644"/>
        <w:spacing w:after="0" w:line="291" w:lineRule="auto"/>
        <w:tabs>
          <w:tab w:leader="none" w:pos="43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 DTC Eligibility</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been approved for listing on Nasdaq. The Company is, and has no reason to believe that it will not in the foreseeable future continue to be, in compliance with all the listing and maintenance requirements of Nasdaq.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40"/>
          </w:cols>
          <w:pgMar w:left="1440" w:top="665" w:right="419" w:bottom="1440" w:gutter="0" w:footer="0" w:header="0"/>
        </w:sectPr>
      </w:pPr>
    </w:p>
    <w:bookmarkStart w:id="19" w:name="page20"/>
    <w:bookmarkEnd w:id="19"/>
    <w:p>
      <w:pPr>
        <w:ind w:left="-460" w:right="40" w:firstLine="644"/>
        <w:spacing w:after="0" w:line="255" w:lineRule="auto"/>
        <w:tabs>
          <w:tab w:leader="none" w:pos="5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Nasdaq. At least one member of the Board of Directors qualifies as a “financial expert” as such term is defined under the Sarbanes-Oxley Act of 2002 and the rules promulgated thereunder and the rules of Nasdaq. In addition, at least a majority of the persons serving on the Board of Directors qualify as “independent” as defined under the rules of Nasdaq.</w:t>
      </w:r>
    </w:p>
    <w:p>
      <w:pPr>
        <w:spacing w:after="0" w:line="192" w:lineRule="exact"/>
        <w:rPr>
          <w:rFonts w:ascii="Arial" w:cs="Arial" w:eastAsia="Arial" w:hAnsi="Arial"/>
          <w:sz w:val="18"/>
          <w:szCs w:val="18"/>
          <w:color w:val="auto"/>
        </w:rPr>
      </w:pPr>
    </w:p>
    <w:p>
      <w:pPr>
        <w:ind w:left="-460" w:right="120" w:firstLine="644"/>
        <w:spacing w:after="0" w:line="257"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187" w:lineRule="exact"/>
        <w:rPr>
          <w:rFonts w:ascii="Arial" w:cs="Arial" w:eastAsia="Arial" w:hAnsi="Arial"/>
          <w:sz w:val="18"/>
          <w:szCs w:val="18"/>
          <w:color w:val="auto"/>
        </w:rPr>
      </w:pPr>
    </w:p>
    <w:p>
      <w:pPr>
        <w:ind w:left="-460" w:firstLine="644"/>
        <w:spacing w:after="0" w:line="284" w:lineRule="auto"/>
        <w:tabs>
          <w:tab w:leader="none" w:pos="51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Disclosure; 10b-5</w:t>
      </w:r>
      <w:r>
        <w:rPr>
          <w:rFonts w:ascii="Arial" w:cs="Arial" w:eastAsia="Arial" w:hAnsi="Arial"/>
          <w:sz w:val="16"/>
          <w:szCs w:val="16"/>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and each Preliminary Prospectus, each as of its respective date, comply in all material respects with the Securities Act and the applicable rules and regulations. Each of the Prospectus and each Preliminary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The SEC Reports,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Registration Statement,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0" w:name="page21"/>
    <w:bookmarkEnd w:id="20"/>
    <w:p>
      <w:pPr>
        <w:ind w:left="-460" w:right="20" w:firstLine="644"/>
        <w:spacing w:after="0" w:line="270" w:lineRule="auto"/>
        <w:tabs>
          <w:tab w:leader="none" w:pos="53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Free-Writing Prospectuses, etc</w:t>
      </w:r>
      <w:r>
        <w:rPr>
          <w:rFonts w:ascii="Arial" w:cs="Arial" w:eastAsia="Arial" w:hAnsi="Arial"/>
          <w:sz w:val="17"/>
          <w:szCs w:val="17"/>
          <w:color w:val="auto"/>
        </w:rPr>
        <w:t>. Neither: (i) any Issuer-Represented General Free Writing Prospectus(es) issued at or prior to the Time of Sale and the Statutory Prospectus (as defined below), all considered together (collectively,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nor (ii) any Issuer-Represented Free Writing Prospectus(es), when considered together with the General Disclosure Package, nor (iii) any Written Testing-the-Waters Communication,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Each Issuer-Represented Free Writing Prospectus, as of its issue date and at all subsequent times until the Closing Date or until any earlier date that the Company notified or notifies the Representative as described in Section 4.2(a), did not, does not and will not include any information that conflicted, conflicts or will conflict with the information contained in the then-current Registration Statement, Statutory Prospectus or Prospectus.</w:t>
      </w:r>
    </w:p>
    <w:p>
      <w:pPr>
        <w:spacing w:after="0" w:line="180" w:lineRule="exact"/>
        <w:rPr>
          <w:rFonts w:ascii="Arial" w:cs="Arial" w:eastAsia="Arial" w:hAnsi="Arial"/>
          <w:sz w:val="17"/>
          <w:szCs w:val="17"/>
          <w:color w:val="auto"/>
        </w:rPr>
      </w:pPr>
    </w:p>
    <w:p>
      <w:pPr>
        <w:ind w:left="-460" w:right="60" w:firstLine="644"/>
        <w:spacing w:after="0" w:line="269" w:lineRule="auto"/>
        <w:tabs>
          <w:tab w:leader="none" w:pos="51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Offering Materials</w:t>
      </w:r>
      <w:r>
        <w:rPr>
          <w:rFonts w:ascii="Arial" w:cs="Arial" w:eastAsia="Arial" w:hAnsi="Arial"/>
          <w:sz w:val="17"/>
          <w:szCs w:val="17"/>
          <w:color w:val="auto"/>
        </w:rPr>
        <w:t xml:space="preserve">. The Company has not distributed and will not distribute any prospectus or other offering material in connection with the Offering other than the General Disclosure Package, any Issuer-Represented Free Writing Prospectus, the Prospectus, any Testing-the-Waters Communication made in compliance with the terms hereof or other materials permitted by the Securities Act to be distributed by the Company. Unless the Company obtains the prior consent of the Representative, the Company has not made and will not make any offer relating to the Public Shares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Representative shall be deemed to have been given in respect of any free writing prospectus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Company has complied and will comply with the requirements of Rules 164 and 433 under the Securities Act applicable to any Issuer-Represented Free Writing Prospectus as of its issue date and at all subsequent times through the Closing Date, including timely filing with the Commission where required, legending and record keeping. To the extent an electronic road show is used, the Company has satisfied and will satisfy the conditions in Rule 433 under the Securities Act to avoid a requirement to file with the Commission any electronic road show.</w:t>
      </w:r>
    </w:p>
    <w:p>
      <w:pPr>
        <w:spacing w:after="0" w:line="178" w:lineRule="exact"/>
        <w:rPr>
          <w:rFonts w:ascii="Arial" w:cs="Arial" w:eastAsia="Arial" w:hAnsi="Arial"/>
          <w:sz w:val="17"/>
          <w:szCs w:val="17"/>
          <w:color w:val="auto"/>
        </w:rPr>
      </w:pPr>
    </w:p>
    <w:p>
      <w:pPr>
        <w:ind w:left="-460" w:firstLine="644"/>
        <w:spacing w:after="0" w:line="259" w:lineRule="auto"/>
        <w:tabs>
          <w:tab w:leader="none" w:pos="46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Statistical Information</w:t>
      </w:r>
      <w:r>
        <w:rPr>
          <w:rFonts w:ascii="Arial" w:cs="Arial" w:eastAsia="Arial" w:hAnsi="Arial"/>
          <w:sz w:val="18"/>
          <w:szCs w:val="18"/>
          <w:color w:val="auto"/>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spacing w:after="0" w:line="186" w:lineRule="exact"/>
        <w:rPr>
          <w:rFonts w:ascii="Arial" w:cs="Arial" w:eastAsia="Arial" w:hAnsi="Arial"/>
          <w:sz w:val="18"/>
          <w:szCs w:val="18"/>
          <w:color w:val="auto"/>
        </w:rPr>
      </w:pPr>
    </w:p>
    <w:p>
      <w:pPr>
        <w:ind w:left="-460" w:right="180" w:firstLine="644"/>
        <w:spacing w:after="0" w:line="263" w:lineRule="auto"/>
        <w:tabs>
          <w:tab w:leader="none" w:pos="53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The Company had a reasonable basis for, and made in good faith, each “forward-looking statement” (within the meaning of Section 27A of the Securities Act or Section 21E of the Exchange Act) contained or incorporated by reference in the Registration Statement, the General Disclosure Package and the Prospectus.</w:t>
      </w:r>
    </w:p>
    <w:p>
      <w:pPr>
        <w:spacing w:after="0" w:line="183" w:lineRule="exact"/>
        <w:rPr>
          <w:rFonts w:ascii="Arial" w:cs="Arial" w:eastAsia="Arial" w:hAnsi="Arial"/>
          <w:sz w:val="18"/>
          <w:szCs w:val="18"/>
          <w:color w:val="auto"/>
        </w:rPr>
      </w:pPr>
    </w:p>
    <w:p>
      <w:pPr>
        <w:ind w:left="-460" w:right="180" w:firstLine="644"/>
        <w:spacing w:after="0" w:line="279" w:lineRule="auto"/>
        <w:tabs>
          <w:tab w:leader="none" w:pos="53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or any applicable shareholder approval provisions of any Trading Market on which any of the securities of the Company are listed or designated.</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1" w:name="page22"/>
    <w:bookmarkEnd w:id="21"/>
    <w:p>
      <w:pPr>
        <w:ind w:left="4" w:firstLine="644"/>
        <w:spacing w:after="0" w:line="286" w:lineRule="auto"/>
        <w:tabs>
          <w:tab w:leader="none" w:pos="917"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Firm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Registration Statement, the General Disclosure Package and the Prospectus sets forth as of the Execution Date all outstanding secured and unsecured Indebtedness of the Company or any Subsidiary, or for which the Company or any Subsidiary has commitments.</w:t>
      </w:r>
    </w:p>
    <w:p>
      <w:pPr>
        <w:spacing w:after="0" w:line="173" w:lineRule="exact"/>
        <w:rPr>
          <w:rFonts w:ascii="Arial" w:cs="Arial" w:eastAsia="Arial" w:hAnsi="Arial"/>
          <w:sz w:val="16"/>
          <w:szCs w:val="16"/>
          <w:color w:val="auto"/>
        </w:rPr>
      </w:pPr>
    </w:p>
    <w:p>
      <w:pPr>
        <w:ind w:left="4" w:right="100" w:firstLine="644"/>
        <w:spacing w:after="0" w:line="286" w:lineRule="auto"/>
        <w:tabs>
          <w:tab w:leader="none" w:pos="917"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ind w:left="4" w:right="60" w:hanging="4"/>
        <w:spacing w:after="0" w:line="286" w:lineRule="auto"/>
        <w:tabs>
          <w:tab w:leader="none" w:pos="3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72" w:lineRule="exact"/>
        <w:rPr>
          <w:rFonts w:ascii="Arial" w:cs="Arial" w:eastAsia="Arial" w:hAnsi="Arial"/>
          <w:sz w:val="16"/>
          <w:szCs w:val="16"/>
          <w:color w:val="auto"/>
        </w:rPr>
      </w:pPr>
    </w:p>
    <w:p>
      <w:pPr>
        <w:ind w:left="4" w:right="120" w:firstLine="644"/>
        <w:spacing w:after="0" w:line="291" w:lineRule="auto"/>
        <w:tabs>
          <w:tab w:leader="none" w:pos="99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4"/>
          </w:cols>
          <w:pgMar w:left="976" w:top="665" w:right="359" w:bottom="1440" w:gutter="0" w:footer="0" w:header="0"/>
        </w:sectPr>
      </w:pPr>
    </w:p>
    <w:bookmarkStart w:id="22" w:name="page23"/>
    <w:bookmarkEnd w:id="22"/>
    <w:p>
      <w:pPr>
        <w:ind w:left="-460" w:right="240" w:firstLine="644"/>
        <w:spacing w:after="0" w:line="263" w:lineRule="auto"/>
        <w:tabs>
          <w:tab w:leader="none" w:pos="45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83" w:lineRule="exact"/>
        <w:rPr>
          <w:rFonts w:ascii="Arial" w:cs="Arial" w:eastAsia="Arial" w:hAnsi="Arial"/>
          <w:sz w:val="18"/>
          <w:szCs w:val="18"/>
          <w:color w:val="auto"/>
        </w:rPr>
      </w:pPr>
    </w:p>
    <w:p>
      <w:pPr>
        <w:ind w:left="-460" w:right="160" w:firstLine="644"/>
        <w:spacing w:after="0" w:line="263" w:lineRule="auto"/>
        <w:tabs>
          <w:tab w:leader="none" w:pos="6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183" w:lineRule="exact"/>
        <w:rPr>
          <w:rFonts w:ascii="Arial" w:cs="Arial" w:eastAsia="Arial" w:hAnsi="Arial"/>
          <w:sz w:val="18"/>
          <w:szCs w:val="18"/>
          <w:color w:val="auto"/>
        </w:rPr>
      </w:pPr>
    </w:p>
    <w:p>
      <w:pPr>
        <w:ind w:left="-460" w:right="40" w:firstLine="644"/>
        <w:spacing w:after="0" w:line="293" w:lineRule="auto"/>
        <w:tabs>
          <w:tab w:leader="none" w:pos="53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64" w:lineRule="exact"/>
        <w:rPr>
          <w:rFonts w:ascii="Arial" w:cs="Arial" w:eastAsia="Arial" w:hAnsi="Arial"/>
          <w:sz w:val="16"/>
          <w:szCs w:val="16"/>
          <w:color w:val="auto"/>
        </w:rPr>
      </w:pPr>
    </w:p>
    <w:p>
      <w:pPr>
        <w:ind w:left="-460" w:firstLine="644"/>
        <w:spacing w:after="0" w:line="296" w:lineRule="auto"/>
        <w:tabs>
          <w:tab w:leader="none" w:pos="53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ind w:left="-460" w:right="60" w:firstLine="644"/>
        <w:spacing w:after="0" w:line="259" w:lineRule="auto"/>
        <w:tabs>
          <w:tab w:leader="none" w:pos="5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186" w:lineRule="exact"/>
        <w:rPr>
          <w:rFonts w:ascii="Arial" w:cs="Arial" w:eastAsia="Arial" w:hAnsi="Arial"/>
          <w:sz w:val="18"/>
          <w:szCs w:val="18"/>
          <w:color w:val="auto"/>
        </w:rPr>
      </w:pPr>
    </w:p>
    <w:p>
      <w:pPr>
        <w:ind w:left="-460" w:firstLine="644"/>
        <w:spacing w:after="0" w:line="257" w:lineRule="auto"/>
        <w:tabs>
          <w:tab w:leader="none" w:pos="5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EGS if it learns that any officer, director or owner of 5% or more of the Company’s outstanding shares of Common Stock or Common Stock Equivalents is or becomes an affiliate or associated person of a FINRA member firm.</w:t>
      </w:r>
    </w:p>
    <w:p>
      <w:pPr>
        <w:spacing w:after="0" w:line="187" w:lineRule="exact"/>
        <w:rPr>
          <w:rFonts w:ascii="Arial" w:cs="Arial" w:eastAsia="Arial" w:hAnsi="Arial"/>
          <w:sz w:val="18"/>
          <w:szCs w:val="18"/>
          <w:color w:val="auto"/>
        </w:rPr>
      </w:pPr>
    </w:p>
    <w:p>
      <w:pPr>
        <w:ind w:left="-460" w:right="300" w:firstLine="644"/>
        <w:spacing w:after="0" w:line="342" w:lineRule="auto"/>
        <w:tabs>
          <w:tab w:leader="none" w:pos="47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EGS shall be deemed a representation and warranty by the Company to the Underwriters as to the matters covered thereby.</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00"/>
          </w:cols>
          <w:pgMar w:left="1440" w:top="665"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any Preliminary Prospectus,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any Preliminary Prospectus, the Registration Statement, the General Disclosure Package and copies of the documents incorporated by reference therein. The Company shall not file any such amendment or supplement to the Registration Statement or the Prospectus to which the Representative shall reasonably object in writing.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ind w:left="660" w:right="20" w:firstLine="644"/>
        <w:spacing w:after="0" w:line="269" w:lineRule="auto"/>
        <w:tabs>
          <w:tab w:leader="none" w:pos="155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Representative promptly and prepare and file with the Commission, subject to Section 4.1 hereof, an appropriate amendment or supplement in accordance with Section 10 of the Securities Act.</w:t>
      </w:r>
    </w:p>
    <w:p>
      <w:pPr>
        <w:spacing w:after="0" w:line="185" w:lineRule="exact"/>
        <w:rPr>
          <w:rFonts w:ascii="Arial" w:cs="Arial" w:eastAsia="Arial" w:hAnsi="Arial"/>
          <w:sz w:val="17"/>
          <w:szCs w:val="17"/>
          <w:color w:val="auto"/>
        </w:rPr>
      </w:pPr>
    </w:p>
    <w:p>
      <w:pPr>
        <w:ind w:left="660" w:right="180" w:firstLine="644"/>
        <w:spacing w:after="0" w:line="277" w:lineRule="auto"/>
        <w:tabs>
          <w:tab w:leader="none" w:pos="156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w:t>
      </w:r>
    </w:p>
    <w:p>
      <w:pPr>
        <w:spacing w:after="0" w:line="170" w:lineRule="exact"/>
        <w:rPr>
          <w:rFonts w:ascii="Arial" w:cs="Arial" w:eastAsia="Arial" w:hAnsi="Arial"/>
          <w:sz w:val="18"/>
          <w:szCs w:val="18"/>
          <w:color w:val="auto"/>
        </w:rPr>
      </w:pPr>
    </w:p>
    <w:p>
      <w:pPr>
        <w:ind w:left="660" w:right="180" w:firstLine="644"/>
        <w:spacing w:after="0" w:line="263" w:lineRule="auto"/>
        <w:tabs>
          <w:tab w:leader="none" w:pos="15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three (3) years from the Effective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18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Delivery to the Underwriters of Prospectuses</w:t>
      </w:r>
      <w:r>
        <w:rPr>
          <w:rFonts w:ascii="Arial" w:cs="Arial" w:eastAsia="Arial" w:hAnsi="Arial"/>
          <w:sz w:val="18"/>
          <w:szCs w:val="18"/>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Effectiveness and Events Requiring Notice to the Underwriters</w:t>
      </w:r>
      <w:r>
        <w:rPr>
          <w:rFonts w:ascii="Arial" w:cs="Arial" w:eastAsia="Arial" w:hAnsi="Arial"/>
          <w:sz w:val="16"/>
          <w:szCs w:val="16"/>
          <w:color w:val="auto"/>
        </w:rPr>
        <w:t>. The Company will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the General Disclosure Package and the Prospectus; (v) of the receipt of any comments or request for any additional information from the Commission; and (vi) of the happening of any event during the time when a Prospectus is required to be delivered under the Securities Act that, in the judgment of the Company, makes any statement of a material fact made in the Registration Statement, the General Disclosure Package or the Prospectus untrue or that requires the making of any changes in the Registration Statement, the General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20" w:firstLine="648"/>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For a period of three (3)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Reports to the Underwriters; Expenses of the Offering</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69" w:lineRule="auto"/>
        <w:tabs>
          <w:tab w:leader="none" w:pos="155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Periodic Reports, etc</w:t>
      </w:r>
      <w:r>
        <w:rPr>
          <w:rFonts w:ascii="Arial" w:cs="Arial" w:eastAsia="Arial" w:hAnsi="Arial"/>
          <w:sz w:val="17"/>
          <w:szCs w:val="17"/>
          <w:color w:val="auto"/>
        </w:rPr>
        <w:t>. For a period of three (3) years from the Execution Date, the Company will furnish to the Underwriters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Securities Act; (v)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information. Documents filed with the Commission pursuant to its EDGAR system shall be deemed to have been delivered to the Underwriters pursuant to this Section.</w:t>
      </w:r>
    </w:p>
    <w:p>
      <w:pPr>
        <w:spacing w:after="0" w:line="185" w:lineRule="exact"/>
        <w:rPr>
          <w:rFonts w:ascii="Arial" w:cs="Arial" w:eastAsia="Arial" w:hAnsi="Arial"/>
          <w:sz w:val="17"/>
          <w:szCs w:val="17"/>
          <w:color w:val="auto"/>
        </w:rPr>
      </w:pPr>
    </w:p>
    <w:p>
      <w:pPr>
        <w:ind w:left="660" w:right="100" w:firstLine="644"/>
        <w:spacing w:after="0" w:line="259" w:lineRule="auto"/>
        <w:tabs>
          <w:tab w:leader="none" w:pos="156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Transfer Sheets</w:t>
      </w:r>
      <w:r>
        <w:rPr>
          <w:rFonts w:ascii="Arial" w:cs="Arial" w:eastAsia="Arial" w:hAnsi="Arial"/>
          <w:sz w:val="18"/>
          <w:szCs w:val="18"/>
          <w:color w:val="auto"/>
        </w:rPr>
        <w:t>. For a period of three (3) years from the Execution Date, the Company shall retain the Transfer Agent or a transfer and registrar agent acceptable to the Representative and will furnish to the Underwriters at the Company’s sole cost and expense such transfer sheets of the Company’s securities as an Underwriter may reasonably request, including the daily and monthly consolidated transfer sheets of the Transfer Agent and the DTC.</w:t>
      </w:r>
    </w:p>
    <w:p>
      <w:pPr>
        <w:spacing w:after="0" w:line="186" w:lineRule="exact"/>
        <w:rPr>
          <w:rFonts w:ascii="Arial" w:cs="Arial" w:eastAsia="Arial" w:hAnsi="Arial"/>
          <w:sz w:val="18"/>
          <w:szCs w:val="18"/>
          <w:color w:val="auto"/>
        </w:rPr>
      </w:pPr>
    </w:p>
    <w:p>
      <w:pPr>
        <w:ind w:left="660" w:right="520" w:firstLine="644"/>
        <w:spacing w:after="0" w:line="263" w:lineRule="auto"/>
        <w:tabs>
          <w:tab w:leader="none" w:pos="15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Trading Reports</w:t>
      </w:r>
      <w:r>
        <w:rPr>
          <w:rFonts w:ascii="Arial" w:cs="Arial" w:eastAsia="Arial" w:hAnsi="Arial"/>
          <w:sz w:val="18"/>
          <w:szCs w:val="18"/>
          <w:color w:val="auto"/>
        </w:rPr>
        <w:t>. During such time as the Public Shares are listed on a Trading Market, the Company shall provide to the Underwriters, at the Company’s expense, such reports published by such Trading Market relating to price and trading of such shares, as the Underwriters shall reasonably request.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5" w:name="page26"/>
    <w:bookmarkEnd w:id="25"/>
    <w:p>
      <w:pPr>
        <w:ind w:left="660" w:right="100" w:firstLine="644"/>
        <w:spacing w:after="0" w:line="284" w:lineRule="auto"/>
        <w:tabs>
          <w:tab w:leader="none" w:pos="156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Shares) with the Commission; (b) all FINRA Public Offering Filing System fees associated with the review of the Offering by FINRA; (c) all fees and expenses relating to the listing of the Public Shares on Nasdaq; (d) all reasonable fees, expenses and disbursements relating to background checks of the Company’s officers and directors; (e) all fees, expenses and disbursements relating to the registration or qualification of such Securities under the “blue sky” securities laws of such states and other foreign jurisdictions as the Representative may reasonably designate (including, without limitation, all filing and registration fees, and the fees and expenses of Blue Sky counsel);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Prospectuses and Prospectuses as the Representative may reasonably deem necessary; (g) the costs and expenses of the Company’s public relations firm; (h) the costs of preparing, printing and delivering the Shares; (i) fees and expenses of the Transfer Agent for the Securities (including, without limitation, any fees required for same-day processing of any instruction letter delivered by the Company); (j) stock transfer and/or stamp taxes, if any, payable upon the transfer of securities from the Company to the Underwriters; (k) the fees and expenses of the Company’s accountants; (l) the fees and expenses of the Company’s legal counsel and other agents and representatives; (m) the Underwriters’ costs of mailing prospectuses to prospective investors; (n) up to $150,000 for the fees and expenses of EGS (provided that if this Agreement is terminated in accordance with the terms hereof and the Offering is not consummated, the Company shall only be responsible for payment of $50,000 of the fees and expenses of EGS); and (o) up to $50,000 for the Underwriters’ accountable expenses, including its use of i-Deal’s book-building, prospectus tracking and compliance software (or other similar software) for the Offering. The Representative may also deduct from the net proceeds of the Offering payable to the Company on the Closing Date, or each Option Closing Date, if any, the expenses set forth herein to be paid by the Company to the Underwriters.</w:t>
      </w:r>
    </w:p>
    <w:p>
      <w:pPr>
        <w:spacing w:after="0" w:line="39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will maintain a system of internal accounting controls sufficient to provide reasonable assurances that:</w:t>
      </w:r>
    </w:p>
    <w:p>
      <w:pPr>
        <w:spacing w:after="0" w:line="35" w:lineRule="exact"/>
        <w:rPr>
          <w:sz w:val="20"/>
          <w:szCs w:val="20"/>
          <w:color w:val="auto"/>
        </w:rPr>
      </w:pPr>
    </w:p>
    <w:p>
      <w:pPr>
        <w:ind w:right="360" w:firstLine="8"/>
        <w:spacing w:after="0" w:line="273" w:lineRule="auto"/>
        <w:tabs>
          <w:tab w:leader="none" w:pos="2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Accountants</w:t>
      </w:r>
      <w:r>
        <w:rPr>
          <w:rFonts w:ascii="Arial" w:cs="Arial" w:eastAsia="Arial" w:hAnsi="Arial"/>
          <w:sz w:val="17"/>
          <w:szCs w:val="17"/>
          <w:color w:val="auto"/>
        </w:rPr>
        <w:t>. The Company shall continue to retain a nationally recognized independent certified public accounting firm for a period of at least three (3) years after the Execution Date. The Underwriters acknowledge that the Company Auditor is acceptable to the Underwriters.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right="54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the Underwriters (who shall make an appropriate filing with FINRA) if it is aware that any 10% or greater shareholder of the Company becomes an affiliate or associated person of an Underwriter.</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Fiduciary Duties</w:t>
      </w:r>
      <w:r>
        <w:rPr>
          <w:rFonts w:ascii="Arial" w:cs="Arial" w:eastAsia="Arial" w:hAnsi="Arial"/>
          <w:sz w:val="17"/>
          <w:szCs w:val="17"/>
          <w:color w:val="auto"/>
        </w:rPr>
        <w:t>. The Company hereby acknowledges that the Representative and the other Underwriters are acting solely as underwriters in connection with the offering of the Securities. The Company further acknowledge that the Representative and the other Underwriters are acting pursuant to a contractual relationship created solely by this Agreement entered into on an arm’s length basis and in no event do the parties intend that the Representative and the other Underwriters act or be responsible as a fiduciary to the Company, its management, shareholders, creditors or any other person in connection with any activity that the Representative and the other Underwriters may undertake or have undertaken in furtherance of the Offering, either before or after the Execution Date. The Representative and the other Underwriters hereby expressly disclaim any fiduciary or similar obligations to the Company, either in connection with the transactions contemplated by this Agreement or any matters leading up to such transactions, and the Company hereby confirms their understanding and agreement to that effect. The Company hereby further confirms its understanding that neither the Representative nor any other Underwriter has assumed an advisory or fiduciary responsibility in favor of the Company with respect to the Offering or the process leading thereto, including any negotiation related to the pricing of the Securities. The Company acknowledges that it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Representative and the other Underwriters to the Company regarding such transactions, including but not limited to any opinions or views with respect to the price or market for the Securities, do not constitute advice or recommendations to the Company. The Company hereby waives and releases, to the fullest extent permitted by law, any claims that the Company may have against the Representative and the other Underwriters with respect to any breach or alleged breach of any fiduciary or similar duty to the Company in connection with the transactions contemplated by the Transaction Documents or any matters leading up to such transactions.</w:t>
      </w:r>
    </w:p>
    <w:p>
      <w:pPr>
        <w:spacing w:after="0" w:line="19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Board Composition and Board Designations</w:t>
      </w:r>
      <w:r>
        <w:rPr>
          <w:rFonts w:ascii="Arial" w:cs="Arial" w:eastAsia="Arial" w:hAnsi="Arial"/>
          <w:sz w:val="17"/>
          <w:szCs w:val="17"/>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By 9:00 a.m. (New York City time) on the date immediately following the Execution Date,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review and consent of the Representative and EGS (which consent may not be unreasonably withheld), for a period ending at 5:00 p.m. (New York City time) on the first business day following the 45th day following the Closing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firstLine="648"/>
        <w:spacing w:after="0" w:line="279"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Shareholder Rights Plan</w:t>
      </w:r>
      <w:r>
        <w:rPr>
          <w:rFonts w:ascii="Arial" w:cs="Arial" w:eastAsia="Arial" w:hAnsi="Arial"/>
          <w:sz w:val="17"/>
          <w:szCs w:val="17"/>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17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As of the Execution Date, the Company has reserved and the Company shall continue to reserve and keep available at all times, free of preemptive rights, a sufficient number of shares of Common Stock for the purpose of enabling the Company to issue Option Shares pursuant to the Over-Allotment Option and Representative’s Warrant Shares pursuant to any exercise of the Representative’s Warrant.</w:t>
      </w:r>
    </w:p>
    <w:p>
      <w:pPr>
        <w:spacing w:after="0" w:line="14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Listing and Electronic of Common Stock</w:t>
      </w:r>
      <w:r>
        <w:rPr>
          <w:rFonts w:ascii="Arial" w:cs="Arial" w:eastAsia="Arial" w:hAnsi="Arial"/>
          <w:sz w:val="16"/>
          <w:szCs w:val="16"/>
          <w:color w:val="auto"/>
        </w:rPr>
        <w:t>. The Company hereby agrees to use best efforts to maintain the listing or quotation of the Common Stock on Nasdaq for a period of three (3) years from the Effective Date. The Company further agrees, if the Company applies to have the Common Stock traded on any other Trading Market, it will then include in such application all of the Firm Shares, Option Shares and Representative’s Warrant Shares, and will take such other action as is necessary to cause all of the Firm Shares, Option Shares and Representative’s Warrant Shares to be listed or quoted on such other Trading Market as promptly as possible.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6"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The Company acknowledges and agrees that the right of first refusal included in Section 4.19 of the Prior Underwriting Agreement remains in full force and effect.</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Company Lock-Up</w:t>
      </w:r>
      <w:r>
        <w:rPr>
          <w:rFonts w:ascii="Arial" w:cs="Arial" w:eastAsia="Arial" w:hAnsi="Arial"/>
          <w:sz w:val="17"/>
          <w:szCs w:val="17"/>
          <w:color w:val="auto"/>
        </w:rPr>
        <w:t>. The Company acknowledges and agrees that the Company lock-up period included in Section 4.20 of the Prior Underwriting Agreement remains in full force and effect, provided, however, that by execution of this Agreement, the Representative hereby provides its written consent for a one time waiver of such lock-up period to permit the Company to sell the Public Shares as contemplated hereby.</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As of the Execution Date, the Company shall have retained a financial public relations firm reasonably acceptable to the Representative and the Company, which firm will be experienced in assisting issuers in public offerings of securities and in their relations with their security holders, and shall retain such firm or another firm reasonably acceptable to the Representative for a period of not less than two (2) years after the Execution Date.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Research Independence</w:t>
      </w:r>
      <w:r>
        <w:rPr>
          <w:rFonts w:ascii="Arial" w:cs="Arial" w:eastAsia="Arial" w:hAnsi="Arial"/>
          <w:sz w:val="17"/>
          <w:szCs w:val="17"/>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jc w:val="center"/>
        <w:ind w:left="6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DEFAULT BY UNDERWRITERS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If on the Closing Date or any Option Closing Date, if any, any Underwriter shall fail to purchase and pay for the portion of the Firm Shares or Option Shares,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Firm Shares or Option Shares , as the case may be, which the defaulting Underwriter or Underwriters failed to purchase. If during such 36 hours the Representative shall not have procured such other Underwriters, or any others, to purchase the Firm Shares or Option Shares, as the case may be, agreed to be purchased by the defaulting Underwriter or Underwriters, then (a) if the aggregate number of Firm Shares or Option Shares, as the case may be, with respect to which such default shall occur does not exceed 10% of the Firm Shares or Option Shares, as the case may be, covered hereby, the other Underwriters shall be obligated, severally, in proportion to the respective numbers of Firm Shares or Option Shares, as the case may be, which they are obligated to purchase hereunder, to purchase the Firm Shares or Option Shares, as the case may be, which such defaulting Underwriter or Underwriters failed to purchase, or (b) if the aggregate number of Firm Shares or Option Shares, as the case may be, with respect to which such default shall occur exceeds 10% of the Firm Shares or Option Shares,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Subject to the conditions set forth below, the Company agrees to indemnify and hold harmless the Underwriters, and each dealer selected by each Underwriter that participates in the offer and sale of the Securities (each a “</w:t>
      </w:r>
      <w:r>
        <w:rPr>
          <w:rFonts w:ascii="Arial" w:cs="Arial" w:eastAsia="Arial" w:hAnsi="Arial"/>
          <w:sz w:val="16"/>
          <w:szCs w:val="16"/>
          <w:u w:val="single" w:color="auto"/>
          <w:color w:val="auto"/>
        </w:rPr>
        <w:t>Selected Dealer</w:t>
      </w:r>
      <w:r>
        <w:rPr>
          <w:rFonts w:ascii="Arial" w:cs="Arial" w:eastAsia="Arial" w:hAnsi="Arial"/>
          <w:sz w:val="16"/>
          <w:szCs w:val="16"/>
          <w:color w:val="auto"/>
        </w:rPr>
        <w:t>”) and each of their respective directors, officers and employees and each Person, if any, who controls such Underwriter or any Selected Dealer (“</w:t>
      </w:r>
      <w:r>
        <w:rPr>
          <w:rFonts w:ascii="Arial" w:cs="Arial" w:eastAsia="Arial" w:hAnsi="Arial"/>
          <w:sz w:val="16"/>
          <w:szCs w:val="16"/>
          <w:u w:val="single" w:color="auto"/>
          <w:color w:val="auto"/>
        </w:rPr>
        <w:t>Controlling Person</w:t>
      </w:r>
      <w:r>
        <w:rPr>
          <w:rFonts w:ascii="Arial" w:cs="Arial" w:eastAsia="Arial" w:hAnsi="Arial"/>
          <w:sz w:val="16"/>
          <w:szCs w:val="16"/>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the Registration Statement, the General Disclosure Package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the Registration Statement, the General Disclosure Package or the Prospectus, or any amendment or supplement thereto, or in any application, as the case may be, it being agreed that such information so furnished shall consist solely of: (i) the names of the Underwriters appearing in the Prospectus and (ii) the “Price Stabilization, Short Positions” and “Electronic Distribution” sections of the “Underwriting” section of the Prospectus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b w:val="1"/>
          <w:bCs w:val="1"/>
          <w:color w:val="auto"/>
        </w:rPr>
        <w:t>”</w:t>
      </w:r>
      <w:r>
        <w:rPr>
          <w:rFonts w:ascii="Arial" w:cs="Arial" w:eastAsia="Arial" w:hAnsi="Arial"/>
          <w:sz w:val="16"/>
          <w:szCs w:val="16"/>
          <w:color w:val="auto"/>
        </w:rPr>
        <w:t>) ..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Shares or in connection with the Registration Statement, the General Disclosure Package and the Prospectus.</w:t>
      </w:r>
    </w:p>
    <w:p>
      <w:pPr>
        <w:spacing w:after="0" w:line="38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Procedure</w:t>
      </w:r>
      <w:r>
        <w:rPr>
          <w:rFonts w:ascii="Arial" w:cs="Arial" w:eastAsia="Arial" w:hAnsi="Arial"/>
          <w:sz w:val="17"/>
          <w:szCs w:val="17"/>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ind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the Registration Statement or Prospectus or any amendment or supplement thereto or in any such application, it being agreed that such information provided by or on behalf of any Underwriter consists solely of the Underwriter Information. In case any action shall be brought against the Company or any other Person so indemnified based on any Preliminary Prospectus,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85" w:lineRule="auto"/>
        <w:tabs>
          <w:tab w:leader="none" w:pos="155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right="80" w:firstLine="644"/>
        <w:spacing w:after="0" w:line="269" w:lineRule="auto"/>
        <w:tabs>
          <w:tab w:leader="none" w:pos="90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u w:val="single" w:color="auto"/>
          <w:color w:val="auto"/>
        </w:rPr>
        <w:t>contributing party</w:t>
      </w:r>
      <w:r>
        <w:rPr>
          <w:rFonts w:ascii="Arial" w:cs="Arial" w:eastAsia="Arial" w:hAnsi="Arial"/>
          <w:sz w:val="17"/>
          <w:szCs w:val="17"/>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181"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firstLine="644"/>
        <w:spacing w:after="0" w:line="286" w:lineRule="auto"/>
        <w:tabs>
          <w:tab w:leader="none" w:pos="89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Right</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Execution Date of such a material adverse change in the conditions or prospects of the Company, or such adverse material change in general market conditions as in the Representative’s judgment would make it impracticable to proceed with the offering, sale and/or delivery of the Securities or to enforce contracts made by the Underwriters for the sale of the Securities.</w:t>
      </w:r>
    </w:p>
    <w:p>
      <w:pPr>
        <w:spacing w:after="0" w:line="173" w:lineRule="exact"/>
        <w:rPr>
          <w:rFonts w:ascii="Arial" w:cs="Arial" w:eastAsia="Arial" w:hAnsi="Arial"/>
          <w:sz w:val="16"/>
          <w:szCs w:val="16"/>
          <w:color w:val="auto"/>
        </w:rPr>
      </w:pPr>
    </w:p>
    <w:p>
      <w:pPr>
        <w:ind w:right="60" w:firstLine="644"/>
        <w:spacing w:after="0" w:line="301" w:lineRule="auto"/>
        <w:tabs>
          <w:tab w:leader="none" w:pos="90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expense cap in no way limits or impairs the indemnification and contribution provisions of this Agreement).</w:t>
      </w:r>
    </w:p>
    <w:p>
      <w:pPr>
        <w:spacing w:after="0" w:line="157" w:lineRule="exact"/>
        <w:rPr>
          <w:rFonts w:ascii="Arial" w:cs="Arial" w:eastAsia="Arial" w:hAnsi="Arial"/>
          <w:sz w:val="16"/>
          <w:szCs w:val="16"/>
          <w:color w:val="auto"/>
        </w:rPr>
      </w:pPr>
    </w:p>
    <w:p>
      <w:pPr>
        <w:jc w:val="both"/>
        <w:ind w:right="120" w:firstLine="644"/>
        <w:spacing w:after="0" w:line="263" w:lineRule="auto"/>
        <w:tabs>
          <w:tab w:leader="none" w:pos="8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0"/>
          </w:cols>
          <w:pgMar w:left="980" w:top="665" w:right="359" w:bottom="1440" w:gutter="0" w:footer="0" w:header="0"/>
        </w:sectPr>
      </w:pPr>
    </w:p>
    <w:bookmarkStart w:id="32" w:name="page33"/>
    <w:bookmarkEnd w:id="32"/>
    <w:p>
      <w:pPr>
        <w:ind w:right="20" w:firstLine="648"/>
        <w:spacing w:after="0" w:line="27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June 8, 2020 (“</w:t>
      </w:r>
      <w:r>
        <w:rPr>
          <w:rFonts w:ascii="Arial" w:cs="Arial" w:eastAsia="Arial" w:hAnsi="Arial"/>
          <w:sz w:val="17"/>
          <w:szCs w:val="17"/>
          <w:u w:val="single" w:color="auto"/>
          <w:color w:val="auto"/>
        </w:rPr>
        <w:t>Engagement Agreement</w:t>
      </w:r>
      <w:r>
        <w:rPr>
          <w:rFonts w:ascii="Arial" w:cs="Arial" w:eastAsia="Arial" w:hAnsi="Arial"/>
          <w:sz w:val="17"/>
          <w:szCs w:val="17"/>
          <w:color w:val="auto"/>
        </w:rPr>
        <w:t>”), by and between the Company and Maxim Group LLC, shall be replaced by this Agreement, except for those provisions of the Engagement Agreement that expressly survive termination; provided that, in the event of a conflict between the terms of the Engagement Agreement and this Agreement, the terms of this Agreement shall prevail. Nothing in this Agreement shall effect the rights and obligations of the Company and Representative as provided for in the Prior Underwriting Agreement, except for the one-time waiver of the Company lock-up as expressly set forth herein.</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below at or prior to 5:30 p.m. (New York City time) on a Trading Day, (b) the next Business Day after the date of transmission, if such notice or communication is delivered via facsimile at the facsimile number or e-mail attachment at the e-mail address</w:t>
      </w:r>
    </w:p>
    <w:p>
      <w:pPr>
        <w:spacing w:after="0" w:line="1"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as set forth below that is not a Business Day or later than 5:30 p.m. (New York City time) on any Business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Business Day following the date of mailing, if sent by U.S. nationally recognized overnight courier service or (d) upon actual receipt by the party to whom such notice is required to be given. The address for such notices and communications shall be as set forth below:</w:t>
      </w:r>
    </w:p>
    <w:p>
      <w:pPr>
        <w:spacing w:after="0" w:line="202" w:lineRule="exact"/>
        <w:rPr>
          <w:sz w:val="20"/>
          <w:szCs w:val="20"/>
          <w:color w:val="auto"/>
        </w:rPr>
      </w:pPr>
    </w:p>
    <w:p>
      <w:pPr>
        <w:ind w:right="580" w:firstLine="656"/>
        <w:spacing w:after="0" w:line="277" w:lineRule="auto"/>
        <w:tabs>
          <w:tab w:leader="none" w:pos="8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sent to the Representative or any Underwriter, shall be delivered personally, by facsimile or e-mail, or sent by a nationally recognized overnight courier service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Clifford A. Teller, Executive Managing Director of Investment Banking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212-895-3555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cteller@maximgrp.com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Underwriters’ Counsel (which shall not constitute notice)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Ellenoff Grossman &amp; Schole LLP</w:t>
      </w:r>
    </w:p>
    <w:p>
      <w:pPr>
        <w:ind w:left="660"/>
        <w:spacing w:after="0" w:line="202" w:lineRule="auto"/>
        <w:rPr>
          <w:sz w:val="20"/>
          <w:szCs w:val="20"/>
          <w:color w:val="auto"/>
        </w:rPr>
      </w:pPr>
      <w:r>
        <w:rPr>
          <w:rFonts w:ascii="Arial" w:cs="Arial" w:eastAsia="Arial" w:hAnsi="Arial"/>
          <w:sz w:val="18"/>
          <w:szCs w:val="18"/>
          <w:color w:val="auto"/>
        </w:rPr>
        <w:t>1345 Avenue of the Americas,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10105</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Barry I. Grossman,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212-370-7889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bigrossman@egsllp.com</w:t>
      </w:r>
    </w:p>
    <w:p>
      <w:pPr>
        <w:spacing w:after="0" w:line="211" w:lineRule="exact"/>
        <w:rPr>
          <w:sz w:val="20"/>
          <w:szCs w:val="20"/>
          <w:color w:val="auto"/>
        </w:rPr>
      </w:pPr>
    </w:p>
    <w:p>
      <w:pPr>
        <w:ind w:firstLine="656"/>
        <w:spacing w:after="0" w:line="277" w:lineRule="auto"/>
        <w:tabs>
          <w:tab w:leader="none" w:pos="9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sent to the Company, shall be mailed, delivered, emailed or faxed to the Company and its counsel (with notice to such counsel notice shall be courtesy notice only) at the addresses set forth in the Registration Statement or otherwise known to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120"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Governing Law; Venue; Waiver of Jury Trial</w:t>
      </w:r>
      <w:r>
        <w:rPr>
          <w:rFonts w:ascii="Arial" w:cs="Arial" w:eastAsia="Arial" w:hAnsi="Arial"/>
          <w:sz w:val="16"/>
          <w:szCs w:val="16"/>
          <w:color w:val="auto"/>
        </w:rPr>
        <w:t>. Each Transaction Document shall be deemed to have been executed and delivered in New York and each of the Transaction Documents and the transactions contemplated hereby and thereby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Representative and the Company: (a) agrees that any legal suit, action or proceeding arising out of or relating to the Transaction Documents and/or the transactions contemplated hereby or thereby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Representative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Representative mailed by certified mail to the Holder’s address or delivered by Federal Express via overnight delivery shall be deemed in every respect effective service process upon the Holder, in any such suit, action or proceeding. THE PARTIES HERETO (ON BEHALF OF THEMSELVES, THEIR SUBSIDIARIES AND, TO THE FULLEST EXTENT PERMITTED BY LAW, ON BEHALF OF THEIR RESPECTIVE EQUITY HOLDERS AND CREDITORS) HEREBY WAIVES ANY RIGHT THEY MAY HAVE TO A TRIAL BY JURY IN RESPECT OF ANY CLAIM BASED UPON, ARISING OUT OF OR IN CONNECTION WITH THE TRANSACTION DOCUMENTS AND THE TRANSACTIONS CONTEMPLATED HEREBY AND THEREBY.</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any Option Closing, if any, and the delivery of the Securities.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firstLine="648"/>
        <w:spacing w:after="0" w:line="273"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5" w:name="page36"/>
    <w:bookmarkEnd w:id="35"/>
    <w:p>
      <w:pPr>
        <w:jc w:val="both"/>
        <w:ind w:firstLine="648"/>
        <w:spacing w:after="0" w:line="342" w:lineRule="auto"/>
        <w:rPr>
          <w:sz w:val="20"/>
          <w:szCs w:val="20"/>
          <w:color w:val="auto"/>
        </w:rPr>
      </w:pPr>
      <w:r>
        <w:rPr>
          <w:rFonts w:ascii="Arial" w:cs="Arial" w:eastAsia="Arial" w:hAnsi="Arial"/>
          <w:sz w:val="16"/>
          <w:szCs w:val="16"/>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I</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Clifford A. 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Clifford A. Teller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Executive Managing Director &amp; Head of Investment Banking</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6" w:name="page37"/>
    <w:bookmarkEnd w:id="36"/>
    <w:p>
      <w:pPr>
        <w:jc w:val="center"/>
        <w:ind w:left="186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right"/>
        <w:ind w:right="27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 OF</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Firm Shares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to be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Purchased</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555,555</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5,555,555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80" w:space="720"/>
            <w:col w:w="1040"/>
          </w:cols>
          <w:pgMar w:left="320" w:top="661" w:right="4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Issuer-Represented General Free Writing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2222"/>
        </w:rPr>
        <w:t>Agrify Announces Pricing of $75 Million Public Offering of Common Stock</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 xml:space="preserve">BURLINGTON, Mass., February 16, 2021 -- </w:t>
      </w:r>
      <w:r>
        <w:rPr>
          <w:rFonts w:ascii="Arial" w:cs="Arial" w:eastAsia="Arial" w:hAnsi="Arial"/>
          <w:sz w:val="16"/>
          <w:szCs w:val="16"/>
          <w:u w:val="single" w:color="auto"/>
          <w:color w:val="auto"/>
        </w:rPr>
        <w:t>Agrify Corporation</w:t>
      </w:r>
      <w:r>
        <w:rPr>
          <w:rFonts w:ascii="Arial" w:cs="Arial" w:eastAsia="Arial" w:hAnsi="Arial"/>
          <w:sz w:val="16"/>
          <w:szCs w:val="16"/>
          <w:color w:val="auto"/>
        </w:rPr>
        <w:t xml:space="preserve"> (NasdaqCM:AGFY) (“Agrify” or the “Company”), a developer of highly advanced and proprietary precision hardware and software grow solutions for the indoor agriculture marketplace, today announced the pricing of an underwritten public offering of 5,555,555 shares of its common stock at a price to the public of $13.50 per share for gross proceeds of approximately $75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 is acting as sole book-running manager in connection with the offering.</w:t>
      </w:r>
    </w:p>
    <w:p>
      <w:pPr>
        <w:spacing w:after="0" w:line="225"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Agrify also has granted the underwriters a 45-day option to purchase up to an additional 833,333 shares of common stock, at the public offering price less discounts and commissions. The offering is expected to close on or about February 19, 2021, subject to customary closing conditions.</w:t>
      </w:r>
    </w:p>
    <w:p>
      <w:pPr>
        <w:spacing w:after="0" w:line="146"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shares of common stock described above are being offered by the Company pursuant to a Registration Statement on Form S-1 (Registration No. 333-253005) with the United States Securities and Exchange Commission (“SEC”). A prospectus relating to the offering will be filed with the SEC and will be available on the SEC’s website at www.sec.gov. Electronic copies of the prospectus relating to this offering, when available, may be obtained from Maxim Group LLC, 405 Lexington Avenue, 2nd Floor, New York, NY 10174, (212) 895-3745.</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any security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(NasdaqCM:AGFY)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developer of premium grow solutions for the indoor agriculture marketplace. We use data, science, and technology to empower our customers to be more efficient, more productive, and more intelligent about how they run their businesses. Our highly advanced and proprietary hardware and software solutions have been designed to help our customers achieve the highest quality, consistency, and yield, all at the lowest possible cost. For more information, please visit our website at www.agrify.com.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press release contains forward-looking statements that are made pursuant to the safe harbor provisions within the meaning of Section 27A of the Securities Act of 1933, as amended, and Section 21E of the Securities Exchange Act of 1934, as amended. Forward-looking statements are based on management’s current expectations and are subject to risks and uncertainties that may cause actual results or events to differ materially from those projected. These risks and uncertainties, many of which are beyond our control, include: risks relating to our growth strategy; our ability to obtain, perform under and maintain financing and strategic agreements and relationships; risks relating to the results of development activities; our ability to attract, integrate and retain key personnel; our need for additional funds; intellectual property matters; competition; as well as other risks described in the section entitled “Risk Factors” in the prospectus from our initial public offering, which can be obtained on the SEC website at www.sec.gov. Readers are cautioned not to place undue reliance on the forward-looking statements, which speak only as of the date on which they are made and reflect management’s current estimates, projections, expectations, and beliefs.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niv.krikov@agrify.com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 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992-4539</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2"/>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1)"/>
      <w:numFmt w:val="lowerRoman"/>
      <w:start w:val="2"/>
    </w:lvl>
  </w:abstractNum>
  <w:abstractNum w:abstractNumId="6">
    <w:nsid w:val="257130A3"/>
    <w:multiLevelType w:val="hybridMultilevel"/>
    <w:lvl w:ilvl="0">
      <w:lvlJc w:val="left"/>
      <w:lvlText w:val="(%1)"/>
      <w:numFmt w:val="lowerRoman"/>
      <w:start w:val="1"/>
    </w:lvl>
  </w:abstractNum>
  <w:abstractNum w:abstractNumId="7">
    <w:nsid w:val="62BBD95A"/>
    <w:multiLevelType w:val="hybridMultilevel"/>
    <w:lvl w:ilvl="0">
      <w:lvlJc w:val="left"/>
      <w:lvlText w:val="(%1)"/>
      <w:numFmt w:val="lowerRoman"/>
      <w:start w:val="5"/>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lowerLetter"/>
      <w:start w:val="6"/>
    </w:lvl>
  </w:abstractNum>
  <w:abstractNum w:abstractNumId="11">
    <w:nsid w:val="721DA317"/>
    <w:multiLevelType w:val="hybridMultilevel"/>
    <w:lvl w:ilvl="0">
      <w:lvlJc w:val="left"/>
      <w:lvlText w:val="(%1)"/>
      <w:numFmt w:val="lowerLetter"/>
      <w:start w:val="9"/>
    </w:lvl>
  </w:abstractNum>
  <w:abstractNum w:abstractNumId="12">
    <w:nsid w:val="2443A858"/>
    <w:multiLevelType w:val="hybridMultilevel"/>
    <w:lvl w:ilvl="0">
      <w:lvlJc w:val="left"/>
      <w:lvlText w:val="(%1)"/>
      <w:numFmt w:val="lowerLetter"/>
      <w:start w:val="11"/>
    </w:lvl>
  </w:abstractNum>
  <w:abstractNum w:abstractNumId="13">
    <w:nsid w:val="2D1D5AE9"/>
    <w:multiLevelType w:val="hybridMultilevel"/>
    <w:lvl w:ilvl="0">
      <w:lvlJc w:val="left"/>
      <w:lvlText w:val="%1"/>
      <w:numFmt w:val="lowerLetter"/>
      <w:start w:val="1"/>
    </w:lvl>
    <w:lvl w:ilvl="1">
      <w:lvlJc w:val="left"/>
      <w:lvlText w:val="(%2)"/>
      <w:numFmt w:val="lowerLetter"/>
      <w:start w:val="13"/>
    </w:lvl>
  </w:abstractNum>
  <w:abstractNum w:abstractNumId="14">
    <w:nsid w:val="6763845E"/>
    <w:multiLevelType w:val="hybridMultilevel"/>
    <w:lvl w:ilvl="0">
      <w:lvlJc w:val="left"/>
      <w:lvlText w:val="(%1)"/>
      <w:numFmt w:val="lowerLetter"/>
      <w:start w:val="61"/>
    </w:lvl>
    <w:lvl w:ilvl="1">
      <w:lvlJc w:val="left"/>
      <w:lvlText w:val="(%2)"/>
      <w:numFmt w:val="lowerLetter"/>
      <w:start w:val="14"/>
    </w:lvl>
  </w:abstractNum>
  <w:abstractNum w:abstractNumId="15">
    <w:nsid w:val="75A2A8D4"/>
    <w:multiLevelType w:val="hybridMultilevel"/>
    <w:lvl w:ilvl="0">
      <w:lvlJc w:val="left"/>
      <w:lvlText w:val="(%1)"/>
      <w:numFmt w:val="lowerLetter"/>
      <w:start w:val="15"/>
    </w:lvl>
  </w:abstractNum>
  <w:abstractNum w:abstractNumId="16">
    <w:nsid w:val="8EDBDAB"/>
    <w:multiLevelType w:val="hybridMultilevel"/>
    <w:lvl w:ilvl="0">
      <w:lvlJc w:val="left"/>
      <w:lvlText w:val="(%1)"/>
      <w:numFmt w:val="lowerLetter"/>
      <w:start w:val="18"/>
    </w:lvl>
  </w:abstractNum>
  <w:abstractNum w:abstractNumId="17">
    <w:nsid w:val="79838CB2"/>
    <w:multiLevelType w:val="hybridMultilevel"/>
    <w:lvl w:ilvl="0">
      <w:lvlJc w:val="left"/>
      <w:lvlText w:val="(%1)"/>
      <w:numFmt w:val="lowerLetter"/>
      <w:start w:val="22"/>
    </w:lvl>
  </w:abstractNum>
  <w:abstractNum w:abstractNumId="18">
    <w:nsid w:val="4353D0CD"/>
    <w:multiLevelType w:val="hybridMultilevel"/>
    <w:lvl w:ilvl="0">
      <w:lvlJc w:val="left"/>
      <w:lvlText w:val="(%1)"/>
      <w:numFmt w:val="lowerLetter"/>
      <w:start w:val="27"/>
    </w:lvl>
  </w:abstractNum>
  <w:abstractNum w:abstractNumId="19">
    <w:nsid w:val="B03E0C6"/>
    <w:multiLevelType w:val="hybridMultilevel"/>
    <w:lvl w:ilvl="0">
      <w:lvlJc w:val="left"/>
      <w:lvlText w:val="(%1)"/>
      <w:numFmt w:val="lowerLetter"/>
      <w:start w:val="30"/>
    </w:lvl>
  </w:abstractNum>
  <w:abstractNum w:abstractNumId="20">
    <w:nsid w:val="189A769B"/>
    <w:multiLevelType w:val="hybridMultilevel"/>
    <w:lvl w:ilvl="0">
      <w:lvlJc w:val="left"/>
      <w:lvlText w:val="%1"/>
      <w:numFmt w:val="lowerLetter"/>
      <w:start w:val="1"/>
    </w:lvl>
    <w:lvl w:ilvl="1">
      <w:lvlJc w:val="left"/>
      <w:lvlText w:val="(%2)"/>
      <w:numFmt w:val="lowerLetter"/>
      <w:start w:val="35"/>
    </w:lvl>
  </w:abstractNum>
  <w:abstractNum w:abstractNumId="21">
    <w:nsid w:val="54E49EB4"/>
    <w:multiLevelType w:val="hybridMultilevel"/>
    <w:lvl w:ilvl="0">
      <w:lvlJc w:val="left"/>
      <w:lvlText w:val="(%1)"/>
      <w:numFmt w:val="lowerLetter"/>
      <w:start w:val="61"/>
    </w:lvl>
    <w:lvl w:ilvl="1">
      <w:lvlJc w:val="left"/>
      <w:lvlText w:val="(%2)"/>
      <w:numFmt w:val="lowerLetter"/>
      <w:start w:val="37"/>
    </w:lvl>
  </w:abstractNum>
  <w:abstractNum w:abstractNumId="22">
    <w:nsid w:val="71F32454"/>
    <w:multiLevelType w:val="hybridMultilevel"/>
    <w:lvl w:ilvl="0">
      <w:lvlJc w:val="left"/>
      <w:lvlText w:val="(%1)"/>
      <w:numFmt w:val="lowerLetter"/>
      <w:start w:val="38"/>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4"/>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2021-02-19T15:27:09Z</dcterms:created>
  <dcterms:modified xsi:type="dcterms:W3CDTF">2021-02-19T15:27:09Z</dcterms:modified>
</cp:coreProperties>
</file>