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7047230" cy="4706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06620"/>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Chang Raymond Nobu</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720"/>
        <w:spacing w:after="0" w:line="341" w:lineRule="auto"/>
        <w:rPr>
          <w:sz w:val="20"/>
          <w:szCs w:val="20"/>
          <w:color w:val="auto"/>
        </w:rPr>
      </w:pPr>
      <w:r>
        <w:rPr>
          <w:rFonts w:ascii="Times New Roman" w:cs="Times New Roman" w:eastAsia="Times New Roman" w:hAnsi="Times New Roman"/>
          <w:sz w:val="16"/>
          <w:szCs w:val="16"/>
          <w:color w:val="0000FF"/>
        </w:rPr>
        <w:t>C/O AGRIFY CORPORATION 2468 INDUSTRIAL ROW DRIVE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Agrify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10/18/2024</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30"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92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92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7"/>
          <w:szCs w:val="17"/>
          <w:color w:val="0000FF"/>
        </w:rPr>
        <w:t>Chairman and CEO</w:t>
      </w:r>
    </w:p>
    <w:p>
      <w:pPr>
        <w:spacing w:after="0" w:line="405" w:lineRule="exact"/>
        <w:rPr>
          <w:sz w:val="24"/>
          <w:szCs w:val="24"/>
          <w:color w:val="auto"/>
        </w:rPr>
      </w:pPr>
    </w:p>
    <w:p>
      <w:pPr>
        <w:sectPr>
          <w:pgSz w:w="11900" w:h="16838" w:orient="portrait"/>
          <w:cols w:equalWidth="0" w:num="3">
            <w:col w:w="3180" w:space="720"/>
            <w:col w:w="3100" w:space="720"/>
            <w:col w:w="3360"/>
          </w:cols>
          <w:pgMar w:left="460" w:top="216" w:right="359" w:bottom="1440"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48084</w:t>
            </w:r>
          </w:p>
        </w:tc>
      </w:tr>
      <w:tr>
        <w:trPr>
          <w:trHeight w:val="147"/>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28"/>
        </w:trPr>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8"/>
        </w:trPr>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Convertible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w:t>
            </w:r>
          </w:p>
        </w:tc>
        <w:tc>
          <w:tcPr>
            <w:tcW w:w="700" w:type="dxa"/>
            <w:vAlign w:val="bottom"/>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08/14/2024</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92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3,000,000</w:t>
            </w:r>
            <w:r>
              <w:rPr>
                <w:rFonts w:ascii="Times New Roman" w:cs="Times New Roman" w:eastAsia="Times New Roman" w:hAnsi="Times New Roman"/>
                <w:sz w:val="21"/>
                <w:szCs w:val="21"/>
                <w:color w:val="008000"/>
                <w:vertAlign w:val="superscript"/>
              </w:rPr>
              <w:t>(1)</w:t>
            </w: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By CP</w:t>
            </w:r>
          </w:p>
        </w:tc>
        <w:tc>
          <w:tcPr>
            <w:tcW w:w="0" w:type="dxa"/>
            <w:vAlign w:val="bottom"/>
          </w:tcPr>
          <w:p>
            <w:pPr>
              <w:spacing w:after="0"/>
              <w:rPr>
                <w:sz w:val="1"/>
                <w:szCs w:val="1"/>
                <w:color w:val="auto"/>
              </w:rPr>
            </w:pPr>
          </w:p>
        </w:tc>
      </w:tr>
      <w:tr>
        <w:trPr>
          <w:trHeight w:val="77"/>
        </w:trPr>
        <w:tc>
          <w:tcPr>
            <w:tcW w:w="740" w:type="dxa"/>
            <w:vAlign w:val="bottom"/>
            <w:vMerge w:val="continue"/>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3.9495</w:t>
            </w:r>
          </w:p>
        </w:tc>
        <w:tc>
          <w:tcPr>
            <w:tcW w:w="108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10/18/2024</w:t>
            </w: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0000FF"/>
              </w:rPr>
              <w:t>0</w:t>
            </w:r>
          </w:p>
        </w:tc>
        <w:tc>
          <w:tcPr>
            <w:tcW w:w="920" w:type="dxa"/>
            <w:vAlign w:val="bottom"/>
            <w:vMerge w:val="continue"/>
          </w:tcPr>
          <w:p>
            <w:pPr>
              <w:spacing w:after="0"/>
              <w:rPr>
                <w:sz w:val="6"/>
                <w:szCs w:val="6"/>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07/01/2025</w:t>
            </w:r>
          </w:p>
        </w:tc>
        <w:tc>
          <w:tcPr>
            <w:tcW w:w="680" w:type="dxa"/>
            <w:vAlign w:val="bottom"/>
            <w:vMerge w:val="continue"/>
          </w:tcPr>
          <w:p>
            <w:pPr>
              <w:spacing w:after="0"/>
              <w:rPr>
                <w:sz w:val="6"/>
                <w:szCs w:val="6"/>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Acquisitions,</w:t>
            </w:r>
          </w:p>
        </w:tc>
        <w:tc>
          <w:tcPr>
            <w:tcW w:w="0" w:type="dxa"/>
            <w:vAlign w:val="bottom"/>
          </w:tcPr>
          <w:p>
            <w:pPr>
              <w:spacing w:after="0"/>
              <w:rPr>
                <w:sz w:val="1"/>
                <w:szCs w:val="1"/>
                <w:color w:val="auto"/>
              </w:rPr>
            </w:pPr>
          </w:p>
        </w:tc>
      </w:tr>
      <w:tr>
        <w:trPr>
          <w:trHeight w:val="77"/>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Note</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91"/>
        </w:trPr>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0" w:lineRule="exact"/>
        <w:rPr>
          <w:sz w:val="24"/>
          <w:szCs w:val="24"/>
          <w:color w:val="auto"/>
        </w:rPr>
      </w:pPr>
    </w:p>
    <w:p>
      <w:pPr>
        <w:ind w:left="40" w:right="260" w:firstLine="1"/>
        <w:spacing w:after="0" w:line="23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18, 2024, the Issuer and CP Acquisitions entered into an amendment (the "Junior Note Amendment") to that certain junior secured promissory note (the "Junior Note") in favor of CP Acquisitions, LLC ("CP Acquisitions") issued on August 14, 2024, pursuant to which the maximum principal sum of the Junior Note is increased from $1,500,000 to $3,000,000. The conversion price applicable to the Junior Note remains unchanged with an exercise price of $0.001 per share, in each case at a conversion price of $3.9495 (as may be adjusted per the Junior Note). The Junior Note bears interest at a rate of 10% per annum, will mature in full on July 1, 2025, and may be prepaid without any fee or penalty. The Junior Note is secured by the Issuer's assets and ranks junior to existing secured indebtedness of the Issuer. The Junior Note may be converted into common stock of the Company or, at CP's election, pre-funded warrants.</w:t>
      </w:r>
    </w:p>
    <w:p>
      <w:pPr>
        <w:spacing w:after="0" w:line="28" w:lineRule="exact"/>
        <w:rPr>
          <w:rFonts w:ascii="Times New Roman" w:cs="Times New Roman" w:eastAsia="Times New Roman" w:hAnsi="Times New Roman"/>
          <w:sz w:val="13"/>
          <w:szCs w:val="13"/>
          <w:color w:val="008000"/>
        </w:rPr>
      </w:pPr>
    </w:p>
    <w:p>
      <w:pPr>
        <w:jc w:val="both"/>
        <w:ind w:left="40" w:right="2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CP Acquisitions is an entity controlled by the reporting person, and the reported securities may be deemed to be indirectly beneficially owned by the reporting person.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Raymond Nobu Chang</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10/24/2024</w:t>
            </w:r>
          </w:p>
        </w:tc>
      </w:tr>
      <w:tr>
        <w:trPr>
          <w:trHeight w:val="20"/>
        </w:trPr>
        <w:tc>
          <w:tcPr>
            <w:tcW w:w="1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831402"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2024-10-24T19:57:06Z</dcterms:created>
  <dcterms:modified xsi:type="dcterms:W3CDTF">2024-10-24T19:57:06Z</dcterms:modified>
</cp:coreProperties>
</file>