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SCHEDULE 14A INFORMATION</w:t>
            </w:r>
          </w:p>
        </w:tc>
      </w:tr>
      <w:tr>
        <w:trPr>
          <w:trHeight w:val="223"/>
        </w:trPr>
        <w:tc>
          <w:tcPr>
            <w:tcW w:w="3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423"/>
        </w:trPr>
        <w:tc>
          <w:tcPr>
            <w:tcW w:w="3440" w:type="dxa"/>
            <w:vAlign w:val="bottom"/>
          </w:tcPr>
          <w:p>
            <w:pPr>
              <w:spacing w:after="0"/>
              <w:rPr>
                <w:sz w:val="24"/>
                <w:szCs w:val="24"/>
                <w:color w:val="auto"/>
              </w:rPr>
            </w:pPr>
          </w:p>
        </w:tc>
        <w:tc>
          <w:tcPr>
            <w:tcW w:w="39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Proxy Statement Pursuant to Section 14(a) of</w:t>
            </w:r>
          </w:p>
        </w:tc>
      </w:tr>
      <w:tr>
        <w:trPr>
          <w:trHeight w:val="238"/>
        </w:trPr>
        <w:tc>
          <w:tcPr>
            <w:tcW w:w="3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7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780" w:type="dxa"/>
            <w:vAlign w:val="bottom"/>
          </w:tcPr>
          <w:p>
            <w:pPr>
              <w:spacing w:after="0"/>
              <w:rPr>
                <w:sz w:val="24"/>
                <w:szCs w:val="24"/>
                <w:color w:val="auto"/>
              </w:rPr>
            </w:pPr>
          </w:p>
        </w:tc>
        <w:tc>
          <w:tcPr>
            <w:tcW w:w="3140" w:type="dxa"/>
            <w:vAlign w:val="bottom"/>
            <w:gridSpan w:val="2"/>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780" w:type="dxa"/>
            <w:vAlign w:val="bottom"/>
          </w:tcPr>
          <w:p>
            <w:pPr>
              <w:spacing w:after="0"/>
              <w:rPr>
                <w:sz w:val="24"/>
                <w:szCs w:val="24"/>
                <w:color w:val="auto"/>
              </w:rPr>
            </w:pPr>
          </w:p>
        </w:tc>
        <w:tc>
          <w:tcPr>
            <w:tcW w:w="3140" w:type="dxa"/>
            <w:vAlign w:val="bottom"/>
            <w:gridSpan w:val="2"/>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42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Agrify Corporation</w:t>
      </w:r>
    </w:p>
    <w:p>
      <w:pPr>
        <w:spacing w:after="0" w:line="2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278765</wp:posOffset>
            </wp:positionV>
            <wp:extent cx="4286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Row Drive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 TO 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ANNUAL MEETING OF STOCKHOLDERS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Explanatory Note</w:t>
      </w:r>
    </w:p>
    <w:p>
      <w:pPr>
        <w:spacing w:after="0" w:line="22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On December 18, 2023, Agrify Corporation (“we,” “us,” “Agrify” or the “Company”) filed its definitive proxy statement (the “Proxy Statement”) with the U.S. Securities and Exchange Commission relating to its Virtual Annual Meeting of Stockholders (the “Annual Meeting”), which will be held on Monday, January 8, 2024 at 10:00 a.m. Eastern Time, or at any adjournment or postponement thereof for the purpose of considering and acting upon the matters set forth therein.</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supplement is being filed solely to correct inadvertent errors in the Proxy Statement relating to (i) the description of the warrant issued to our former senior lender in connection with the proposal to approve the Reset Provision as described in Item 4 of the Proxy Statement, and (ii) the director nominee names listed in the questions and answers section of the Proxy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Corrections</w:t>
      </w:r>
    </w:p>
    <w:p>
      <w:pPr>
        <w:spacing w:after="0" w:line="225" w:lineRule="exact"/>
        <w:rPr>
          <w:sz w:val="20"/>
          <w:szCs w:val="20"/>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The corrections marked below, with deleted text in bold and strikethrough, are being made with respect to the above-referenced locations in the Proxy Statement.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Excerpt from Page 1 of the Proxy Statement:</w:t>
      </w:r>
    </w:p>
    <w:p>
      <w:pPr>
        <w:spacing w:after="0" w:line="225" w:lineRule="exact"/>
        <w:rPr>
          <w:sz w:val="20"/>
          <w:szCs w:val="20"/>
          <w:color w:val="auto"/>
        </w:rPr>
      </w:pPr>
    </w:p>
    <w:p>
      <w:pPr>
        <w:ind w:left="440" w:right="240" w:firstLine="207"/>
        <w:spacing w:after="0" w:line="282" w:lineRule="auto"/>
        <w:rPr>
          <w:sz w:val="20"/>
          <w:szCs w:val="20"/>
          <w:color w:val="auto"/>
        </w:rPr>
      </w:pPr>
      <w:r>
        <w:rPr>
          <w:rFonts w:ascii="Times New Roman" w:cs="Times New Roman" w:eastAsia="Times New Roman" w:hAnsi="Times New Roman"/>
          <w:sz w:val="18"/>
          <w:szCs w:val="18"/>
          <w:color w:val="auto"/>
        </w:rPr>
        <w:t xml:space="preserve">“Item 1 — The election of Raymond Chang, Max Holtzman, I-Tseng Jenny Chan, Timothy Mahoney, Leonard J. Sokolow, and Krishnan Varier </w:t>
      </w:r>
      <w:r>
        <w:rPr>
          <w:rFonts w:ascii="Times New Roman" w:cs="Times New Roman" w:eastAsia="Times New Roman" w:hAnsi="Times New Roman"/>
          <w:sz w:val="18"/>
          <w:szCs w:val="18"/>
          <w:b w:val="1"/>
          <w:bCs w:val="1"/>
          <w:color w:val="auto"/>
          <w:strike w:val="1"/>
        </w:rPr>
        <w:t>and Stuart Wilcox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Board of Directors;”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Excerpt from Page 34 of the Proxy Statement:</w:t>
      </w:r>
    </w:p>
    <w:p>
      <w:pPr>
        <w:spacing w:after="0" w:line="221" w:lineRule="exact"/>
        <w:rPr>
          <w:sz w:val="20"/>
          <w:szCs w:val="20"/>
          <w:color w:val="auto"/>
        </w:rPr>
      </w:pPr>
    </w:p>
    <w:p>
      <w:pPr>
        <w:ind w:left="440" w:firstLine="207"/>
        <w:spacing w:after="0" w:line="259" w:lineRule="auto"/>
        <w:rPr>
          <w:sz w:val="20"/>
          <w:szCs w:val="20"/>
          <w:color w:val="auto"/>
        </w:rPr>
      </w:pPr>
      <w:r>
        <w:rPr>
          <w:rFonts w:ascii="Times New Roman" w:cs="Times New Roman" w:eastAsia="Times New Roman" w:hAnsi="Times New Roman"/>
          <w:sz w:val="18"/>
          <w:szCs w:val="18"/>
          <w:color w:val="auto"/>
        </w:rPr>
        <w:t xml:space="preserve">“We are asking stockholders to approve </w:t>
      </w:r>
      <w:r>
        <w:rPr>
          <w:rFonts w:ascii="Times New Roman" w:cs="Times New Roman" w:eastAsia="Times New Roman" w:hAnsi="Times New Roman"/>
          <w:sz w:val="18"/>
          <w:szCs w:val="18"/>
          <w:b w:val="1"/>
          <w:bCs w:val="1"/>
          <w:color w:val="auto"/>
          <w:strike w:val="1"/>
        </w:rPr>
        <w:t>the issuance of up to 21,108,751 shares of our Common Stock upon the exercise of Warrants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in connection with the issuance of a senior secured note and the exchange of previously issued warrants in August 2022</w:t>
      </w:r>
      <w:r>
        <w:rPr>
          <w:rFonts w:ascii="Times New Roman" w:cs="Times New Roman" w:eastAsia="Times New Roman" w:hAnsi="Times New Roman"/>
          <w:sz w:val="18"/>
          <w:szCs w:val="18"/>
          <w:color w:val="auto"/>
        </w:rPr>
        <w:t>, as required by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Rule 5635(d), the increase in the number of shares of Common Stock underlying a warrant that is currently exercisable for up to</w:t>
      </w:r>
    </w:p>
    <w:p>
      <w:pPr>
        <w:ind w:left="440" w:right="520"/>
        <w:spacing w:after="0" w:line="260" w:lineRule="auto"/>
        <w:rPr>
          <w:sz w:val="20"/>
          <w:szCs w:val="20"/>
          <w:color w:val="auto"/>
        </w:rPr>
      </w:pPr>
      <w:r>
        <w:rPr>
          <w:rFonts w:ascii="Times New Roman" w:cs="Times New Roman" w:eastAsia="Times New Roman" w:hAnsi="Times New Roman"/>
          <w:sz w:val="18"/>
          <w:szCs w:val="18"/>
          <w:color w:val="auto"/>
        </w:rPr>
        <w:t>2,809,669 shares of Common Stock that were issued to our former senior lender (the “Former Lender”) in October 2023 (the “Warrant”) under certain circumstances, as described in more detail below.”</w:t>
      </w:r>
    </w:p>
    <w:p>
      <w:pPr>
        <w:spacing w:after="0" w:line="181"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color w:val="auto"/>
        </w:rPr>
        <w:t xml:space="preserve">Except as specifically revised by the information contained herein, this supplement does not modify, amend or otherwise affect any of the other information set forth in the Proxy Statement. In addition, this supplement does not reflect events occurring after the date of the Proxy Statement or modify or update such disclosure that may have been affected by subsequent events. </w:t>
      </w:r>
      <w:r>
        <w:rPr>
          <w:rFonts w:ascii="Times New Roman" w:cs="Times New Roman" w:eastAsia="Times New Roman" w:hAnsi="Times New Roman"/>
          <w:sz w:val="18"/>
          <w:szCs w:val="18"/>
          <w:b w:val="1"/>
          <w:bCs w:val="1"/>
          <w:color w:val="auto"/>
        </w:rPr>
        <w:t>YOU SHOULD READ THIS SUPPLEMENT IN CONJUNCTION</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color w:val="auto"/>
        </w:rPr>
        <w:t>WITH THE PROXY STATEMENT AND, FROM AND AFTER THE DATE OF THIS SUPPLEMENT, ANY REFERENCES TO THE “PROXY STATEMENT” SHALL BE DEEMED TO INCLUDE THE PROXY STATEMENT AS SUPPLEMENTED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2024-01-04T16:17:29Z</dcterms:created>
  <dcterms:modified xsi:type="dcterms:W3CDTF">2024-01-04T16:17:29Z</dcterms:modified>
</cp:coreProperties>
</file>