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17, 2022</w:t>
      </w:r>
    </w:p>
    <w:p>
      <w:pPr>
        <w:spacing w:after="0" w:line="31"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 Treble Cove Rd.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3, Unit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Raymond Chang, Chief Executive Officer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 Treble Cove 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3, Unit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Frank A. Segall,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A. Petitt,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Burns &amp; Levinson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High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345-3000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hereof.</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0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131" w:gutter="0" w:footer="0" w:header="0"/>
        </w:sectPr>
      </w:pPr>
    </w:p>
    <w:bookmarkStart w:id="1" w:name="page2"/>
    <w:bookmarkEnd w:id="1"/>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17, 2022</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156845</wp:posOffset>
            </wp:positionV>
            <wp:extent cx="105410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issue, in one or more series or classes, up to $200,000,000 in aggregate principal amount of our common stock, preferred stock, warrants, debt securities and/or units. We may offer these securities separately or together in units. We will specify in the accompanying prospectus supplement the terms of the securities being offered. We may sell these securities to or through underwriters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document and any prospectus supplement or amendment carefully before you invest in our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On June 17, 2022, the closing price for our Common Stock, as reported on The Nasdaq Capital Market, was $2.14 per share. Our principal executive offices are located at 76 Treble Cove Road, Building 3, Unit 3, Billerica, MA 01862.</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contained in this prospectus beginning on page 9 and any applicable prospectus supplement, and under similar headings in the other documents that are incorporated by reference into this prospectus.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ACCURATE, TRUTHFUL OR COMPLETE. ANY REPRESENTATION TO THE CONTRARY IS A CRIMINAL OFFENSE.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7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682"/>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2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RATIO OF FIXED CHARGES AND PREFERENCE DIVIDENDS TO EARNINGS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SECURITIES WE MAY OFFER</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utilizing a shelf registration process. Under the shelf registration process, we may offer shares of our common stock and preferred stock, warrants to purchase any of such securities, debt securities and units comprised of any such securities with a total value of up to $200,000,000 from time to time under this prospectus at prices and on terms to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spacing w:after="0" w:line="18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dividends or other payments,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settlement or sinking fund terms,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exchange or settlement prices or rates, if any, and, if applicable, any provisions for changes to or adjustments in the conversion, exchange or settlement prices or rates and in the securities or other property receivable upon conversion, exchange or settlement;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federal income tax considerations.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prospectus supplement may include a discussion of risks or other special considerations applicable to us or the offered securities. A prospectus supplement may also add, update or change information in this prospectus. If there is any inconsistency between the information in this prospectus and any applicable prospectus supplement, you must rely on the information in the prospectus supplement. Please carefully read both this prospectus and any applicable prospectus supplement together with the additional information described under the heading “Where You Can Find More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exhibits to the registration statement, provides additional information about us and the securities offered under this prospectus. The registration statement can be read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authorized any broker-dealer, salesperson or other person to give any information or to make any representation other than those contained or incorporated by reference in this prospectus and an accompanying supplement to this prospectus. You must not rely upon any information or representation not contained or incorporated by reference in this prospectus or an accompanying prospectus supplement. This prospectus and an accompanying supplement to this prospectus do not constitute an offer to sell or the solicitation of an offer to buy securities, nor do this prospectus and an accompanying supplement to this prospectus constitute an offer to sell or the solicitation of an offer to buy securities in any jurisdiction to any person to whom it is unlawful to make such offer or solicitation. The information contained in this prospectus and an accompanying prospectus supplement speaks only as of the date set forth on the applicable cover page and may not reflect subsequent changes in our business, financial condition, results of operations and prospects even though this prospectus and any accompanying prospectus supplement is delivered or securities are sold on a later date.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dealers or agents, we will include in any applicable prospectus supplement:</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dealers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861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 (the “Board”).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rapidly growing developer of proprietary hardware and software cultivation and extraction solutions for the cannabis and hemp industry. We believe we are passionately transforming cannabis cultivation and extraction methods through innovation. Our mission is to become the world’s most vertically integrated solution provider for the cannabis and hemp industry globally, while driving superior quality, consistency, and Return on Investment (“ROI”) for our valued customers. We currently have three primary areas of business focus:</w:t>
      </w:r>
    </w:p>
    <w:p>
      <w:pPr>
        <w:spacing w:after="0" w:line="180" w:lineRule="exact"/>
        <w:rPr>
          <w:sz w:val="20"/>
          <w:szCs w:val="20"/>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&amp; Building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do not cultivate, come in contact with, distribute, process, or dispense cannabis or hemp or any cannabis or hemp derivatives that are currently prohibited under United States federal law, our equipment and business solutions can be used within indoor grow and processing facilities by fully licensed cannabis and hemp cultivators and processors or in some cases, by individual processors for individual use in compliance with applicable law. We sell our proprietary cultivation solutions to independent licensed cultivators. The two primary products we sell are the Agrify Vertical Farming Unit and Agrify Insights SaaS (“Software-as-a-Service”)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 (“VFU”)</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proprietary VFU technology is the only product in the market that offers a modular, compartmentalized micro-climate growing system for indoor vertical farming. Our VFU system is designed for large-state and multi-state operators who are looking to consistently produce higher-quality crops at scale. The ideal facility size that we target in our sales process ranges from 20,000 square feet to 50,000 square feet. The VFU is an integrated hardware and software growing system. These units are designed to line up horizontally in rows, and they can be stacked vertically up to 3 units tall, taking advantage of unused indoor vertical space with the below advantages:</w:t>
      </w:r>
    </w:p>
    <w:p>
      <w:pPr>
        <w:spacing w:after="0" w:line="179" w:lineRule="exact"/>
        <w:rPr>
          <w:sz w:val="20"/>
          <w:szCs w:val="20"/>
          <w:color w:val="auto"/>
        </w:rPr>
      </w:pPr>
    </w:p>
    <w:p>
      <w:pPr>
        <w:ind w:left="660" w:right="20" w:hanging="331"/>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Superior Floor Space Utilization</w:t>
      </w:r>
      <w:r>
        <w:rPr>
          <w:rFonts w:ascii="Times New Roman" w:cs="Times New Roman" w:eastAsia="Times New Roman" w:hAnsi="Times New Roman"/>
          <w:sz w:val="18"/>
          <w:szCs w:val="18"/>
          <w:color w:val="auto"/>
        </w:rPr>
        <w:t>. Each VFU provides two growing rows. Our design introduces an open-room facility design approach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maximize available cultivation floor print while offering superior risk mitigation via individual compartmentalized cultivation chambers.</w:t>
      </w:r>
    </w:p>
    <w:p>
      <w:pPr>
        <w:spacing w:after="0" w:line="154"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 Each VFU has an environmental control unit that is integrated with our proprietary cultivation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Agrify Insights software. This integration allows for precise control and automation over light photoperiod and intensity, temperature, humidity, vapor pressure deficit (“VPD”), carbon dioxide, fertigation, and irrigation throughout the life cycle of the plants.</w:t>
      </w:r>
    </w:p>
    <w:p>
      <w:pPr>
        <w:spacing w:after="0" w:line="170" w:lineRule="exact"/>
        <w:rPr>
          <w:rFonts w:ascii="Times New Roman" w:cs="Times New Roman" w:eastAsia="Times New Roman" w:hAnsi="Times New Roman"/>
          <w:sz w:val="18"/>
          <w:szCs w:val="18"/>
          <w:b w:val="1"/>
          <w:bCs w:val="1"/>
          <w:i w:val="1"/>
          <w:iCs w:val="1"/>
          <w:color w:val="auto"/>
        </w:rPr>
      </w:pPr>
    </w:p>
    <w:p>
      <w:pPr>
        <w:ind w:left="660" w:right="20" w:hanging="331"/>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VFU is designed with proper loading to stack up to 3 units tall, sextupling production volume over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Each unit is designed to easily integrate with a mezzanine catwalk system.</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6" w:name="page7"/>
    <w:bookmarkEnd w:id="6"/>
    <w:p>
      <w:pPr>
        <w:jc w:val="both"/>
        <w:ind w:left="660" w:hanging="331"/>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724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Biosecurity and Risk Mitigation</w:t>
      </w:r>
      <w:r>
        <w:rPr>
          <w:rFonts w:ascii="Times New Roman" w:cs="Times New Roman" w:eastAsia="Times New Roman" w:hAnsi="Times New Roman"/>
          <w:sz w:val="18"/>
          <w:szCs w:val="18"/>
          <w:color w:val="auto"/>
        </w:rPr>
        <w:t>. The VFU has a motorized curtain on both sides of the unit that enclose the grow area to prevent light-leak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w:t>
      </w:r>
    </w:p>
    <w:p>
      <w:pPr>
        <w:spacing w:after="0" w:line="176"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w:t>
      </w:r>
      <w:r>
        <w:rPr>
          <w:rFonts w:ascii="Times New Roman" w:cs="Times New Roman" w:eastAsia="Times New Roman" w:hAnsi="Times New Roman"/>
          <w:sz w:val="18"/>
          <w:szCs w:val="18"/>
          <w:color w:val="auto"/>
        </w:rPr>
        <w:t>. The VFU’s working area is 8 feet tall, allowing easy access to both rows of plants within the unit. As the motorized curtains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lifted on either side, this also allows efficient ergonomics at arm’s length. Similarly, our Interlight LED technology is dimmed or turned-off when the curtains are raised for a more ambient working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Examples of VFU infrastructure versus traditional grows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further illustrate the benefit of going with the VFU infrastructure versus a more traditional indoor cultivation setup with conventional LED lights or conventional HPS lights, we have conducted a comparative analysis internally on an approximately 45,000 square foot facility.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upfront cost is more for the facility that is outfitted in VFUs, that is quickly offset by the fact that a VFU outfitted facility has the capacity to generate about 4x the amount of estimated annual revenue and over 4x the annual estimated EBITDA. In looking at the numerical values in the model, it becomes even more compelling when comparing the VFU facility to a facility with a traditional grow room. Assuming an initial investment of approximately $27.7 million for the 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VFU facility is far more attractive than either type of traditional facility given the financial upside is significantly higher and is a far more sophisticated way to grow crops.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modelled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 45,000 square foot facility). However, given the modular and stackable nature of the VFUs, we are able to help the customer achieve the same canopy square footage with 253 VFUs in a facility that is only 20,000 square feet, which is less than half the size of the traditional facility. While canopy square footage is basically identical for all of the different cultivation approaches we looked at in this particular simulation, the VFU setup requires a much smaller and theoretically much less expensive facility, and because the 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Agrify Insights SaaS Software Solution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individual VFU sold includes a license for Agrify Insights SaaS Software (“Agrify Insights software”), and a monthly SaaS subscription fee is charged, per VFU. The VFU cannot operate successfully without the use of Agrify Insights software, and we typically charge between $2,400 to $3,600 per VFU sold, per year. On average Agrify Insights SaaS Software license agreement is for a multi-year term, with an annual auto renewal.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Agrify Insights software is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software platform coupled with our VFU system is enabling our customers to transform their businesses and quality of the product they are cultivating.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58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The Agrify Insights software is focused around optimizing four key components:</w:t>
      </w:r>
    </w:p>
    <w:p>
      <w:pPr>
        <w:spacing w:after="0" w:line="225" w:lineRule="exact"/>
        <w:rPr>
          <w:sz w:val="20"/>
          <w:szCs w:val="20"/>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VFU unit level;</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225"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and providing insights through data collection and analysis, Agrify Insights software minimizes risk and increases operational efficiencies. Ultimately, our customers are seeking to produce the same consistent end product no matter where they are located.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Plant-Level Optimization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recording over 1.5 million data points per 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VFUs that are set to mimic the climate of different geographies to see where the varieties are suited to grow.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 - photoperiod and intensity/ temperature / humidity / VPD / CO2 / irrigation / fertilization) for each crop variety and cultivator as well as the schedule for completing, as applicable, “plant-hands-on” tasks such as bottoming, pruning, and harvest. Agrify Insights software ships to the customer with many pre-developed Grow Plans and customers can create their own Grow Plans, electing to share them with other customers or not.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 VFU Level Optimization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VFU hardware provides cultivation environmental control within the growth chamber. This hardware and its component valves, motors and sensors are directed and controlled by Agrify Insights software.</w:t>
      </w:r>
    </w:p>
    <w:p>
      <w:pPr>
        <w:spacing w:after="0" w:line="158" w:lineRule="exact"/>
        <w:rPr>
          <w:sz w:val="20"/>
          <w:szCs w:val="20"/>
          <w:color w:val="auto"/>
        </w:rPr>
      </w:pPr>
    </w:p>
    <w:p>
      <w:pPr>
        <w:ind w:left="660" w:right="20" w:hanging="331"/>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Monitor and Control Agrify Hardware</w:t>
      </w:r>
      <w:r>
        <w:rPr>
          <w:rFonts w:ascii="Times New Roman" w:cs="Times New Roman" w:eastAsia="Times New Roman" w:hAnsi="Times New Roman"/>
          <w:sz w:val="18"/>
          <w:szCs w:val="18"/>
          <w:color w:val="auto"/>
        </w:rPr>
        <w:t>. Agrify Insights software can either automatically or manually control our hardware. For example,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water-chilled fan coil can keep temperature in a range accurate to 1.5 degrees Fahrenheit.</w:t>
      </w:r>
    </w:p>
    <w:p>
      <w:pPr>
        <w:spacing w:after="0" w:line="154" w:lineRule="exact"/>
        <w:rPr>
          <w:rFonts w:ascii="Times New Roman" w:cs="Times New Roman" w:eastAsia="Times New Roman" w:hAnsi="Times New Roman"/>
          <w:sz w:val="18"/>
          <w:szCs w:val="18"/>
          <w:color w:val="auto"/>
        </w:rPr>
      </w:pPr>
    </w:p>
    <w:p>
      <w:pPr>
        <w:jc w:val="both"/>
        <w:ind w:left="660" w:hanging="331"/>
        <w:spacing w:after="0" w:line="25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software, users can view environmental charts that plot temperature, humidity,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carbon dioxide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1.5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software and why.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038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038850"/>
                    </a:xfrm>
                    <a:prstGeom prst="rect">
                      <a:avLst/>
                    </a:prstGeom>
                    <a:noFill/>
                  </pic:spPr>
                </pic:pic>
              </a:graphicData>
            </a:graphic>
          </wp:anchor>
        </w:drawing>
        <w:t>Facility Level Optimization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modular VFUs are deployed in scale at a customer’s facility with the smallest commercial operation deployment to date being 63 VFUs. Agrify Insights software is designed to operate these individual VFUs as a combined facility. Agrify Insights software features at the facility level include:</w:t>
      </w:r>
    </w:p>
    <w:p>
      <w:pPr>
        <w:spacing w:after="0" w:line="158" w:lineRule="exact"/>
        <w:rPr>
          <w:sz w:val="20"/>
          <w:szCs w:val="20"/>
          <w:color w:val="auto"/>
        </w:rPr>
      </w:pPr>
    </w:p>
    <w:p>
      <w:pPr>
        <w:jc w:val="both"/>
        <w:ind w:left="660" w:hanging="331"/>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 utilization by executing a “best-fit” scheduling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76"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Workforce Management</w:t>
      </w:r>
      <w:r>
        <w:rPr>
          <w:rFonts w:ascii="Times New Roman" w:cs="Times New Roman" w:eastAsia="Times New Roman" w:hAnsi="Times New Roman"/>
          <w:sz w:val="18"/>
          <w:szCs w:val="18"/>
          <w:color w:val="auto"/>
        </w:rPr>
        <w:t>. Agrify Insights software includes a workforce planning feature to assign tasks to staff. These tasks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automatically assigned based on user role or their knowledge, skills, and abilities. The calendar displays the estimated amount of time required to complete plant-touching tasks on any given day.</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Notification System</w:t>
      </w:r>
      <w:r>
        <w:rPr>
          <w:rFonts w:ascii="Times New Roman" w:cs="Times New Roman" w:eastAsia="Times New Roman" w:hAnsi="Times New Roman"/>
          <w:sz w:val="18"/>
          <w:szCs w:val="18"/>
          <w:color w:val="auto"/>
        </w:rPr>
        <w:t>. Users can select to subscribe to anomalous events, and users are notified in the order in which they are listed.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 user does not acknowledge the notification within the specified time frame, the next user in the list is notified, providing the business with 24/7 monitoring and notifications.</w:t>
      </w:r>
    </w:p>
    <w:p>
      <w:pPr>
        <w:spacing w:after="0" w:line="170"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 related tasks are contained, tracked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monitored within Agrify Insights software.</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software controls the irrigation on a facility level as well as connects with the water chilled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HVAC system and ambient lighting system, providing our customers a central piece of software for facility management.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Agrify Insights software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58" w:lineRule="exact"/>
        <w:rPr>
          <w:sz w:val="20"/>
          <w:szCs w:val="20"/>
          <w:color w:val="auto"/>
        </w:rPr>
      </w:pPr>
    </w:p>
    <w:p>
      <w:pPr>
        <w:jc w:val="both"/>
        <w:ind w:left="660" w:hanging="331"/>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 whose inventory will be reduced when the task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started. This feature can help customers manage supply levels and can automatically create purchase orders so that they never run out of required supplies.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Standard Operating Procedures (“SOPs’’) and Safety Datasheets</w:t>
      </w:r>
      <w:r>
        <w:rPr>
          <w:rFonts w:ascii="Times New Roman" w:cs="Times New Roman" w:eastAsia="Times New Roman" w:hAnsi="Times New Roman"/>
          <w:sz w:val="18"/>
          <w:szCs w:val="18"/>
          <w:color w:val="auto"/>
        </w:rPr>
        <w:t>. Agrify Insights software hosts digital copies of our included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Operating Procedures and datasheets, or users can upload their own via our content management system, ensuring that the most recent version of SOPs and forms are available to users.</w:t>
      </w:r>
    </w:p>
    <w:p>
      <w:pPr>
        <w:spacing w:after="0" w:line="170" w:lineRule="exact"/>
        <w:rPr>
          <w:rFonts w:ascii="Times New Roman" w:cs="Times New Roman" w:eastAsia="Times New Roman" w:hAnsi="Times New Roman"/>
          <w:sz w:val="18"/>
          <w:szCs w:val="18"/>
          <w:color w:val="auto"/>
        </w:rPr>
      </w:pPr>
    </w:p>
    <w:p>
      <w:pPr>
        <w:jc w:val="both"/>
        <w:ind w:left="660" w:hanging="331"/>
        <w:spacing w:after="0" w:line="26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Roles-Based Dashboards</w:t>
      </w:r>
      <w:r>
        <w:rPr>
          <w:rFonts w:ascii="Times New Roman" w:cs="Times New Roman" w:eastAsia="Times New Roman" w:hAnsi="Times New Roman"/>
          <w:sz w:val="18"/>
          <w:szCs w:val="18"/>
          <w:color w:val="auto"/>
        </w:rPr>
        <w:t>. Ability to obtain access to information specifically suited to your workforce’s various needs. Facility owners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4" w:right="459" w:bottom="1440" w:gutter="0" w:footer="0" w:header="0"/>
        </w:sectPr>
      </w:pPr>
    </w:p>
    <w:bookmarkStart w:id="9" w:name="page10"/>
    <w:bookmarkEnd w:id="9"/>
    <w:p>
      <w:pPr>
        <w:jc w:val="both"/>
        <w:ind w:left="660" w:right="20" w:hanging="331"/>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587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t>Data Collection</w:t>
      </w:r>
      <w:r>
        <w:rPr>
          <w:rFonts w:ascii="Times New Roman" w:cs="Times New Roman" w:eastAsia="Times New Roman" w:hAnsi="Times New Roman"/>
          <w:sz w:val="18"/>
          <w:szCs w:val="18"/>
          <w:color w:val="auto"/>
        </w:rPr>
        <w:t>. Agrify Insights software is a centralized repository for all data relating to the cultivation aspects of our clients’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research and development testing data, and the ability to capture and compare test results. By doing so, Agrify Insights software becomes a customers’ cultivation statement of record.</w:t>
      </w:r>
    </w:p>
    <w:p>
      <w:pPr>
        <w:spacing w:after="0" w:line="170" w:lineRule="exact"/>
        <w:rPr>
          <w:rFonts w:ascii="Times New Roman" w:cs="Times New Roman" w:eastAsia="Times New Roman" w:hAnsi="Times New Roman"/>
          <w:sz w:val="18"/>
          <w:szCs w:val="18"/>
          <w:color w:val="auto"/>
        </w:rPr>
      </w:pPr>
    </w:p>
    <w:p>
      <w:pPr>
        <w:jc w:val="both"/>
        <w:ind w:left="660" w:right="20" w:hanging="331"/>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Simulator / What If Scenarios</w:t>
      </w:r>
      <w:r>
        <w:rPr>
          <w:rFonts w:ascii="Times New Roman" w:cs="Times New Roman" w:eastAsia="Times New Roman" w:hAnsi="Times New Roman"/>
          <w:sz w:val="18"/>
          <w:szCs w:val="18"/>
          <w:color w:val="auto"/>
        </w:rPr>
        <w:t>. Our operating expenses (“OpEx”) calculator enables users to evaluate impacts to profitability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changing hundreds of attributes including, but not limited to, changes to costs in labor, electric, water, CO2, and growing media as well as potential volatility in yields and pricing.</w:t>
      </w:r>
    </w:p>
    <w:p>
      <w:pPr>
        <w:spacing w:after="0" w:line="170"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integrated our software with Metrc, a leading seed-to-harvest compliance management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tracking solution, which will enable our customers to handle most regulatory reporting directly through Agrify Insights software.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Solutions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United States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October 2021, we have been strategically focused on establishing ourselves as a global leader in the cannabis and hemp extraction equipment industry, complementing our cutting-edge cannabis and hemp cultivation solutions. Over a 5-month period, we acquired four of the top brand names in the industry:</w:t>
      </w:r>
    </w:p>
    <w:p>
      <w:pPr>
        <w:spacing w:after="0" w:line="172" w:lineRule="exact"/>
        <w:rPr>
          <w:sz w:val="20"/>
          <w:szCs w:val="20"/>
          <w:color w:val="auto"/>
        </w:rPr>
      </w:pPr>
    </w:p>
    <w:p>
      <w:pPr>
        <w:ind w:left="660" w:hanging="331"/>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Mass2Media, LLC, d/b/a PX2 Holdings, LLC, d/b/a Precision Extraction Solutions (“Precision”) - </w:t>
      </w:r>
      <w:r>
        <w:rPr>
          <w:rFonts w:ascii="Times New Roman" w:cs="Times New Roman" w:eastAsia="Times New Roman" w:hAnsi="Times New Roman"/>
          <w:sz w:val="18"/>
          <w:szCs w:val="18"/>
          <w:color w:val="auto"/>
        </w:rPr>
        <w:t>Market leader in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producing high-quality hydrocarbon extraction solutions was acquired by Agrify on October 1, 2021.</w:t>
      </w:r>
    </w:p>
    <w:p>
      <w:pPr>
        <w:spacing w:after="0" w:line="154" w:lineRule="exact"/>
        <w:rPr>
          <w:rFonts w:ascii="Times New Roman" w:cs="Times New Roman" w:eastAsia="Times New Roman" w:hAnsi="Times New Roman"/>
          <w:sz w:val="18"/>
          <w:szCs w:val="18"/>
          <w:color w:val="auto"/>
        </w:rPr>
      </w:pPr>
    </w:p>
    <w:p>
      <w:pPr>
        <w:ind w:left="660" w:hanging="331"/>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Cascade Sciences, LLC (“Cascade”)- </w:t>
      </w:r>
      <w:r>
        <w:rPr>
          <w:rFonts w:ascii="Times New Roman" w:cs="Times New Roman" w:eastAsia="Times New Roman" w:hAnsi="Times New Roman"/>
          <w:sz w:val="18"/>
          <w:szCs w:val="18"/>
          <w:color w:val="auto"/>
        </w:rPr>
        <w:t>Market leader in developing and producing high-quality vacuum purge ovens and decarboxylation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ovens was acquired by Agrify on October 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PurePressure, LLC (“PurePressure”) - </w:t>
      </w:r>
      <w:r>
        <w:rPr>
          <w:rFonts w:ascii="Times New Roman" w:cs="Times New Roman" w:eastAsia="Times New Roman" w:hAnsi="Times New Roman"/>
          <w:sz w:val="18"/>
          <w:szCs w:val="18"/>
          <w:color w:val="auto"/>
        </w:rPr>
        <w:t>Market leader in developing and producing high-quality solventless extraction solutions was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Agrify on December 31, 2021.</w:t>
      </w:r>
    </w:p>
    <w:p>
      <w:pPr>
        <w:spacing w:after="0" w:line="154" w:lineRule="exact"/>
        <w:rPr>
          <w:rFonts w:ascii="Times New Roman" w:cs="Times New Roman" w:eastAsia="Times New Roman" w:hAnsi="Times New Roman"/>
          <w:sz w:val="18"/>
          <w:szCs w:val="18"/>
          <w:color w:val="auto"/>
        </w:rPr>
      </w:pPr>
    </w:p>
    <w:p>
      <w:pPr>
        <w:ind w:left="660" w:right="20" w:hanging="331"/>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LS Holdings Corp. (“Lab Society”) - </w:t>
      </w:r>
      <w:r>
        <w:rPr>
          <w:rFonts w:ascii="Times New Roman" w:cs="Times New Roman" w:eastAsia="Times New Roman" w:hAnsi="Times New Roman"/>
          <w:sz w:val="18"/>
          <w:szCs w:val="18"/>
          <w:color w:val="auto"/>
        </w:rPr>
        <w:t>Market leader in developing and producing high-quality distillation and solvent separation extraction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was acquired by Agrify on February 1, 2022.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Combined, the four acquisitions listed above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industry. The extraction, post-processing and testing services are complementary and highly attractive areas of the supply chain.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2" w:right="45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24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6724650"/>
                    </a:xfrm>
                    <a:prstGeom prst="rect">
                      <a:avLst/>
                    </a:prstGeom>
                    <a:noFill/>
                  </pic:spPr>
                </pic:pic>
              </a:graphicData>
            </a:graphic>
          </wp:anchor>
        </w:drawing>
        <w:t>Our extraction division now offers cutting-edge technologies and end-to-end service solutions. Solutions from the extraction division include equipment, technology, facility and lab design,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acquisitions have greatly expanded our product and service offerings in the post-harvest segment of the supply chain, and believe we are positioning the Company as the most vertically integrated total solutions provider for our cannabis and hemp customers. The global cannabis extraction market is expected to potentially grow to $24 billion by 2028, and as the cannabis industry continues to experience rapid growth globally, we expect the sales of our extraction solutions to follow a similar growth trajectory.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Design &amp; Building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Agrify provides fully integrated architectural, engineering, and project management oversight of qualified General Contractors for its customers commercial cannabis facilities buildouts. Each custom commercial cannabis facility is specifically designed to maximize the production output of Agrify’s proprietary VFU’s and cannabis extraction product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76 Treble Cove Road, Building 3, Unit 3, Billerica, MA 01862, and our telephone number is (617) 896-5243.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highlight w:val="white"/>
        </w:rPr>
        <w:t>We have nine wholly-owned subsidiaries, AGM Service Corp LLC (formerly AGM Service Corp Inc.), TriGrow Systems, LLC (“TriGrow”, which acted as our exclusive distributor and which was acquired in January 2020 as TriGrow Systems, Inc. and converted to TriGrow Systems, LLC in May 2020), Harbor Mountain Holdings, LLC (“HMH”, which assembled and produced many of our products and which was acquired in July 2020), Ariafy Finance, LLC, Agxiom, LLC, Cascade Sciences, LLC, Precision Extraction NewCo, LLC, PurePressure LLC and Lab Society NewCo, LLC. We also own 50% of Teejan Podponics International LLC (“TPI”) since December 2018; 60% of Agrify-Valiant, LLC, formed in December 2019; and 75% of Agrify Brands, LLC (formerly TriGrow Brands, LLC, which was acquired as part of the January 2020 acquisition of TriGrow).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shares of our common stock from time to time. Holders of our common stock are entitled to one vote for each share held of record on all matters submitted to a vote of shareholders. Holders of our common stock have no preemptive, conversion or subscription rights, and there are no redemption or sinking fund provisions applicable to our common stock.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shares of our preferred stock from time to time, in one or more series. Under our Charter, our Board has the authority to issue, without further action by our stockholders, up to 3,000,000 shares of preferred stock, none of which are currently issued and outstanding. The Board has the authority to issue shares of preferred stock in one or more series and to fix the designations, powers, preferences and the rights of the shares of each series and any qualification, limitations and restrictions thereon, any or all of which may be greater than the rights of our common stock.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450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6450330"/>
                    </a:xfrm>
                    <a:prstGeom prst="rect">
                      <a:avLst/>
                    </a:prstGeom>
                    <a:noFill/>
                  </pic:spPr>
                </pic:pic>
              </a:graphicData>
            </a:graphic>
          </wp:anchor>
        </w:drawing>
        <w:t>If we issue preferred stock, we will fix the designations, powers, preferences and the rights, and any qualification, limitations and restrictions of the shares of each series that we sell under this prospectus and applicable prospectus supplements in the certificate of designations relating to that series. If we issue preferred stock, we will incorporate by reference into the registration statement of which this prospectus is a part the form of any certificate of designations that describes the terms of such series of preferred stock before the issuance thereof. We urge you to read any prospectus supplement related to any series of preferred stock we may offer, as well as the complete certificate of designations that contains the terms of the applicable series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warrants for the purchase of common stock, preferred stock, debt securities and/or units (as described below) in one or more series, from time to time. We may issue warrants independently or together with common stock and/or preferred stock, and the warrants may be attached to or separate from those securities.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issue warrants, they will be evidenced by warrant agreements or warrant certificates issued under one or more warrant agreements, which are contracts between us and an agent for the holders of the warrants. We urge you to read any prospectus supplement related to any series of warrants we may offer, as well as the complete warrant agreement and warrant certificate that contain the terms of the warrants. If we issue warrants, forms of warrant agreements and warrant certificates relating to such warrants will be incorporated by reference into the registration statement of which this prospectus is a part from other filings we would make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discussed below under the heading “The Securities We May Offer,” we may issue debt securities from time to time, in one or more series, as either senior or subordinated debt or as senior or subordinated convertible debt. Unless we give you different information in the applicable prospectus supplement, (i) the debt securities will be unsecured, (ii) the senior debt securities will be unsubordinated obligations and will rank equally with all of our other unsecured and unsubordinated indebtedness, and (iii) the subordinated debt securities will be subordinate and junior in right of payment, to the extent and in the manner described in the instrument governing the debt, to all or some portion of our indebtedness. Any convertible debt securities that we issue will be convertible into or exchangeable for our common stock or other securities of ours. Conversion may be mandatory or at your option and would be at prescribed conversion rates.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issue debt securities, they will be issued under one or more documents called indentures, which are contracts between us and a trustee for the holders of the debt securities. We urge you to read any prospectus supplement related to the series of debt securities being offered, as well as the complete indenture that contains the terms of the debt securities. If we issue debt securities, indentures and forms of debt securities containing the terms of such debt securities will be incorporated by reference into the registration statement of which this prospectus is a part from other filings we would make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below under the heading “Securities We May Offer,” we may issue units comprised of shares of common stock, shares of preferred stock, warrants and debt securities in any combination. We may issue units in such amounts and in as many distinct series as we wish.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issue units, they will be issued under one or more unit agreements to be entered into between us and a bank or other financial institution, as unit agent.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into the registration statement of which this prospectus is a part from other filings we would make with the SEC.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026"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Annual Report on Form 10-K for the fiscal year ended December 31, 2021, which was filed with the SEC on March 31, 2022 and is incorporated herein by reference and (ii) other documents we file with the SEC that are deemed incorporated by reference into this prospectus.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receive any proceeds in connection with this offering because we may be unable or choose not to issue and sell any securities covered by this prospectus.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provided in a supplement or amendment to this prospectus, we intend to use any net proceeds from this offering, together with other available funds, for working capital and for other general corporate purposes.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net proceeds of this offering in short-term, interest-bearing, investment-grade securities or certificates of deposit.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 Please see the discussion of the risks associated with our liquidity in the section “Risk Factors.”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OF FIXED CHARGES AND PREFERENCE DIVIDENDS TO EARNINGS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ratio of combined fixed charges and preference dividends to earnings for each of the five most recently completed fiscal years and any required interim periods will each be specified in a prospectus supplement or in a document that we file with the SEC and incorporate by reference pertaining to the issuance, if any, by us of preference securities in the future.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may be sold in one or more transactions at fixed prices, at prevailing market prices at the time of sale, at prices related to the prevailing market prices, at varying prices determined at the time of sale, or at negotiated prices. These sales may be effected at various times in one or more of the following transactions, or in other kinds of transactions:</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for resale to the public or investors;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the Nasdaq Capital Market or on any national securities exchange or U.S. inter-dealer system of a registered national securities association on which our common stock may be listed or quoted at the time of sale;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 and transactions otherwise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short sales of the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 and other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whether the options are listed on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writing of non-traded and exchange-traded call options, in hedge transactions and in settlement of other transactions in standardized or over-the-counter options;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our securities directly to one or more purchasers, or to or through underwriters, dealers or agents or through a combination of those methods.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prospectus supplement will set forth the terms of each offering, including:</w:t>
      </w:r>
    </w:p>
    <w:p>
      <w:pPr>
        <w:spacing w:after="0" w:line="20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agents, dealers, underwriters or investors who purchase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being offered and the proceeds we will receive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compensation, discounts, commissions or fees to be received by the underwriters, dealer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such securities may be listed;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indemnification provisions, including indemnification from liabilities under the federal securities laws;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transaction by an underwriter, dealer or agent during the offering that is intended to stabilize or maintain the market price of the securities.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any “at the market” offerings, unless we inform you otherwise in the prospectus supplement, the sales agent with respect to any such at-the-market offering will make all sales using commercially reasonable efforts consistent with its normal trading and sales practices and applicable laws, rules and regulations, on mutually agreeable terms between the sales agent and us. We will include in the prospectus supplement the amount of any compensation to be received by the sales agent.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securities covered by this prospectus that qualify for sale pursuant to Regulation S may be sold pursuant to Regulation S rather than pursuant to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 of our securities, underwriters may receive compensation from us or from purchasers of our securities in the form of discounts, concessions or commissions. Underwriters, dealers and agents that participate in the distribution of our securities may be deemed to be underwriters. Discounts or commissions they receive and any profit on their resale of our securities may be considered underwriting discounts and commissions under the Securities Act.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maximum consideration or discount to be received by any FINRA member or independent broker dealer may not exceed eight percent (8.0%) of the aggregate amount of the securities offered to this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agree to indemnify underwriters, dealers and agents who participate in the distribution of our securities against various liabilities, including liabilities under the Securities Act. We may also agree to contribute to payments that the underwriters, dealers or agents may be required to make in respect of these liabilities. We may authorize dealers or other persons who act as our agents to solicit offers by various institutions to purchase our securities from us under contracts that provide for payment and delivery on a future date. We may enter into these contracts with commercial and savings banks, insurance companies, pension funds, investment companies, educational and charitable institutions and others. If we enter into these agreements concerning any series of our securities, we will indicate that in the prospectus supplement or amendment.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 offering of our securities, underwriters may engage in transactions that stabilize, maintain or otherwise affect the price of our securities. Specifically, underwriters may over-allot in connection with the offering, creating a syndicate short position in our securities for their own account. In addition, underwriters may bid for, and purchase, our securities in the open market to cover short positions or to stabilize the price of our securities. Finally, underwriters may reclaim selling concessions allowed for distributing our securities in the offering if the underwriters repurchase previously distributed securities in transactions to cover short positions, in stabilization transactions or otherwise. Any of these activities may stabilize or maintain the market price of our securities above independent market levels. Underwriters are not required to engage in any of these activities and may end any of these activities at any time. Agents and underwriters may engage in transactions with, or perform services for, us and our affiliates in the ordinary course of business.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the material terms and provisions of the various types of securities that we may offer. We will describe in the applicable prospectus supplement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United States federal income tax considerations relating to the securities and the securities exchange, if any, on which the securities will be listed.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amended and restated certificate of incorporation and our bylaws, which are exhibits to the registration statement of which this prospectus forms a part, and by applicable law. The terms of our common stock and preferred stock may also be affected by Nevada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of incorporation authorizes the issuance of up to 50,000,000 shares of Common Stock, par value $0.001 per share, and 3,000,000 shares of preferred stock, par value $0.001 per share. The following description summarizes some of the terms of our certificate of incorporation and bylaws, but does not purport to be complete and is qualified in its entirety by the provisions of our certificate of incorporation and bylaws, copies of which have been filed as exhibits to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were 26,591,438 shares of Common Stock outstanding, warrants outstanding to purchase 10,111,798 shares of our Common Stock and 3,296,647 shares of Common Stock subject to outstanding options.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authorized to issue up to 3,000,000 shares of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in one or more series and determine the number of shares in the series and its rights and preferences is to eliminate delays associated with a shareholder vote on specific issuances. Examples of rights and preferences that the Board may fix are:</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may enable our Board to render more difficult or to discourage an attempt to obtain control of us by means of a merger, tender offer, proxy contest or otherwise. For example, if in the due exercise of its fiduciary obligations, our Board were to determine that a takeover proposal is not in the best interests of us or our stockholders, our Board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designations that describes the terms of the series of preferred stock we are offering. This description and the applicable prospectus supplement will include:</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have, or be subject to, any preemptive or similar rights.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may enter into a warrant agency agreement with a warrant agent, in which case we will indicate the name and address of the warrant agent in the applicable prospectus supplement relating to a particular series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225"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any premium or interest on, the debt securities purchasable upon exercise or to enforce covenants in the applicable indenture;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any dividends or payments upon our liquidation, dissolution or winding up or to exercise any voting rights.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New York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either us or the warrant agent, as applicable,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 upon exercise.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our office,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Rights By Holders of Warrants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or series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offer senior or subordinated debt securities. Each series of debt securities may have different terms. The senior debt securities will be issued under one or more senior indentures, dated as of a date prior to such issuance, between us and the trustee identified in the applicable prospectus supplement, as amended or supplemented from time to time. We will refer to any such indenture throughout this prospectus as the “senior indenture.” Any subordinated debt securities will be issued under one or more separate indentures, dated as of a date prior to such issuance, between us and the trustee identified in the applicable prospectus supplement, as amended or supplemented from time to time. We will refer to any such indenture throughout this prospectus as the “subordinated indenture” and to the trustee under the senior or subordinated indenture as the “trustee.” The senior indenture and the subordinated indenture are sometimes collectively referred to in this prospectus as the “indentures.” The indentures will be subject to and governed by the Trust Indenture Act of 1939, as amended, or the Trust Indenture Act. We included copies of the forms of the indentures as exhibits to our registration statement and they are incorporated into this prospectus by reference.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indentures and the debt securities,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issued by us under the indentures.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“Description of Debt Securities—Subordination” and in the applicable prospectus supplement.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Agrify or the method by which any such portion shall be determined;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328" w:hanging="328"/>
        <w:spacing w:after="0" w:line="282"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Agrify received on conversion;</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such dates will be determine;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premium or make-whole amount, and interest on, the debt securities will be payable;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times, prices and other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3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6" w:name="page27"/>
    <w:bookmarkEnd w:id="26"/>
    <w:p>
      <w:pPr>
        <w:ind w:left="328" w:right="20" w:hanging="328"/>
        <w:spacing w:after="0" w:line="282"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depositary for securities in registered form, if such series are to be issuable as a global security;</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debt securities in bearer form or in temporary global form shall be dated if other than the original issuance date of the first security of the series to be issued;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described in this prospectus or in the applicable indenture;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debt securities being offered are convertible into common stock or other securities of Agrify, as the case may be, including the conversion price or rate and the manner or calculation thereof;</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CUSIP numbers;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debt securities not inconsistent with the provisions of the applicable indenture.</w:t>
      </w: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Nevada Revised Statutes nor our governing instruments define the term “substantially all” as it relates to the sale of assets. Consequently, to determine whether a sale of “substantially all” of our assets has occurred, a holder of debt securities must review the financial and other information that we have disclosed to the public.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we give you different information in the applicable prospectus supplement, the principal of, and any premium or make-whole amount, and interest on, any series of the debt securities will be payable at 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Denomination, Interest, Registration and Transfer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the debt securities of any series will be issuable in denominations of $1,000 and integral multiples of $1,000.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them for registration of transfer or exchange at the corporate trust office of the applicable trustee or at the office of any transfer agent that we designate for such purpose.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we, nor any trustee, will be required to:</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Existence</w:t>
      </w:r>
      <w:r>
        <w:rPr>
          <w:rFonts w:ascii="Times New Roman" w:cs="Times New Roman" w:eastAsia="Times New Roman" w:hAnsi="Times New Roman"/>
          <w:sz w:val="18"/>
          <w:szCs w:val="18"/>
          <w:color w:val="auto"/>
        </w:rPr>
        <w:t>. Except as described under “—Merger, Consolidation or Sale of Assets,” the indentures require us to do or cause to be done all things necessary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Payment of taxes and other claims</w:t>
      </w:r>
      <w:r>
        <w:rPr>
          <w:rFonts w:ascii="Times New Roman" w:cs="Times New Roman" w:eastAsia="Times New Roman" w:hAnsi="Times New Roman"/>
          <w:sz w:val="18"/>
          <w:szCs w:val="18"/>
          <w:color w:val="auto"/>
        </w:rPr>
        <w:t>. The indentures require us to pay, discharge or cause to be paid or discharged, before they become delinquent (i)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assessments and governmental charges levied or imposed on us, our subsidiaries or our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Provision of financial information</w:t>
      </w:r>
      <w:r>
        <w:rPr>
          <w:rFonts w:ascii="Times New Roman" w:cs="Times New Roman" w:eastAsia="Times New Roman" w:hAnsi="Times New Roman"/>
          <w:sz w:val="18"/>
          <w:szCs w:val="18"/>
          <w:color w:val="auto"/>
        </w:rPr>
        <w:t>. The indentures require us to (i) within 15 days of each of the respective dates by which we are required to file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Additional covenants</w:t>
      </w:r>
      <w:r>
        <w:rPr>
          <w:rFonts w:ascii="Times New Roman" w:cs="Times New Roman" w:eastAsia="Times New Roman" w:hAnsi="Times New Roman"/>
          <w:sz w:val="18"/>
          <w:szCs w:val="18"/>
          <w:color w:val="auto"/>
        </w:rPr>
        <w:t>. The applicable prospectus supplement will set forth any additional covenants of Agrify relating to any series of debt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Notice and Waiver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30 days;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or make-whole amount on, any debt security of such series for five business days at its stated maturity;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making any sinking fund payment as required for any debt security of such series for five business days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any bond, debenture, note, mortgage, indenture or instrument: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aggregate principal amount of at least $30,000,000; or</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there may be issued, secured or evidenced any existing or later created indebtedness for money borrowed by us or our subsidiaries, if we are directly responsible or liable as obligor or guarantor,</w:t>
      </w:r>
    </w:p>
    <w:p>
      <w:pPr>
        <w:spacing w:after="0" w:line="162" w:lineRule="exact"/>
        <w:rPr>
          <w:sz w:val="20"/>
          <w:szCs w:val="20"/>
          <w:color w:val="auto"/>
        </w:rPr>
      </w:pPr>
    </w:p>
    <w:p>
      <w:pPr>
        <w:jc w:val="both"/>
        <w:ind w:left="720"/>
        <w:spacing w:after="0" w:line="258" w:lineRule="auto"/>
        <w:rPr>
          <w:sz w:val="20"/>
          <w:szCs w:val="20"/>
          <w:color w:val="auto"/>
        </w:rPr>
      </w:pPr>
      <w:r>
        <w:rPr>
          <w:rFonts w:ascii="Times New Roman" w:cs="Times New Roman" w:eastAsia="Times New Roman" w:hAnsi="Times New Roman"/>
          <w:sz w:val="18"/>
          <w:szCs w:val="18"/>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Agrify or any significant subsidiary of Agrify;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When we use the term “significant subsidiary,” we refer to the meaning ascribed to such term in Rule 1-02 of Regulation S-X promulgated under the Securities Act.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89" w:lineRule="exact"/>
        <w:rPr>
          <w:sz w:val="20"/>
          <w:szCs w:val="20"/>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or make-whole amount, have been cured or waived.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any premium or make-whole amount, or interest;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8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the Indentures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w:t>
      </w:r>
    </w:p>
    <w:p>
      <w:pPr>
        <w:spacing w:after="0" w:line="176"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premium or make-whole amount on, or any installment of principal of or interest on, any such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the rate or amount of interest on, or any premium or make-whole amount payable on redemption of, any such debt security;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coin or currency for payment of principal of, or any premium or make-whole amount, or interest on, any such debt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any such debt security;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and our respective trustee may make modifications and amendments of an indenture without the consent of any holder of debt securities for any of the following purposes:</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as obligor under such indenture;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of all or any series of debt securities or to surrender any right or power conferred upon us in such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certificated form, provided that such action shall not adversely affect the interests of the holders of the debt securities of any series in any material respect;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debt securities of any series;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acceptance of appointment by a successor trustee or facilitate the administration of the trusts under an indenture by more than one trustee;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76" w:lineRule="exact"/>
        <w:rPr>
          <w:sz w:val="20"/>
          <w:szCs w:val="20"/>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owned by us or any other obligor upon the debt securities or by any affiliate of ours or of such other obligor shall be disregarded.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80"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provided in the applicable prospectus supplement, subordinated debt securities will be subject to the following subordination provisions.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Agrify and its subsidiaries. As a result of these subordination provisions, in the event of a distribution of assets upon insolvency, holders of subordinated debt securities may recover less, ratably, than our general creditors.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Discharge, Defeasance and Covenant Defeasance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allow us to discharge our obligations to holders of any series of debt securities issued under any indenture when:</w:t>
      </w:r>
    </w:p>
    <w:p>
      <w:pPr>
        <w:spacing w:after="0" w:line="162" w:lineRule="exact"/>
        <w:rPr>
          <w:sz w:val="20"/>
          <w:szCs w:val="20"/>
          <w:color w:val="auto"/>
        </w:rPr>
      </w:pPr>
    </w:p>
    <w:p>
      <w:pPr>
        <w:jc w:val="both"/>
        <w:ind w:left="660" w:hanging="328"/>
        <w:spacing w:after="0" w:line="25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stating the conditions to discharging the debt securities have been satisfied has been delivered to the trustee.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obligations with respect to such debt securities;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“government obligations,” we mean securities that are:</w:t>
      </w:r>
    </w:p>
    <w:p>
      <w:pPr>
        <w:spacing w:after="0" w:line="225"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use the term “conversion event,” we mean the cessation of use of:</w:t>
      </w:r>
    </w:p>
    <w:p>
      <w:pPr>
        <w:spacing w:after="0" w:line="225" w:lineRule="exact"/>
        <w:rPr>
          <w:sz w:val="20"/>
          <w:szCs w:val="20"/>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Currency Unit both within the European Monetary System and for the settlement of transactions by public institutions of or within the European Communities;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Agrify will be set forth in the applicable prospectus supplement. The terms will include whether the debt securities are convertible into shares of common stock or other securities of Agrify,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relating to such series. Global securities, if any, issued in the United States are expected to be deposited with The Depository Trust Company, or DTC, as depository. We may issue global securities in either registered or bearer form and in either temporary or permanent form. We will describe the specific terms of the depository arrangement with respect to a series of debt securities in the applicable prospectus supplement relating to such series. We expect that unless the applicable prospectus supplement provides otherwise, the following provisions will apply to depository arrangements.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our sole discretion, subject to any limitations described in the applicable prospectus supplement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also be issued in whole or in part in the form of one or more bearer global securities that will be deposited with a depository, or with a nominee for such depository, identified in the applicable prospectus supplement.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Recourse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recourse under any obligation, covenant or agreement in the applicable indenture or with respect to any security against any of our or our successor’s past, present or future stockholders, employees, officers or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financial and other specific terms of your series will be described in the applicable prospectus supplement.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62"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225"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Nevada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 i.e., book-entry —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62" w:lineRule="exact"/>
        <w:rPr>
          <w:sz w:val="20"/>
          <w:szCs w:val="20"/>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660" w:hanging="328"/>
        <w:spacing w:after="0" w:line="25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Burns &amp; Levinson LLP, Boston, Massachusetts and Sherman &amp; Howard L.L.C., Las Vegas, Nevada. Any underwriters will also be advised about the validity of the securities and other legal matters by their own counsel, which will be named in the prospectus supplement.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financial statements at December 31, 2021 and 2020 as set forth in their report dated March 31, 2022. We have included our financial statements in the prospectus and elsewhere in the registration statement in reliance on Marcum LLP’s report, given on their authority as experts in accounting and auditing. The balance sheets of Cascade Sciences, LLC as of December 31, 2020 and 2019 and the related statements of income, members’ equity and cash flows for the years then ended, have been audited by Baker Tilly US LLP, independent registered public accounting firm, as stated in their report dated December 8, 2021, which is incorporated by reference herein. The consolidated balance sheets of Mass2Media, LLC dba PC2 Holdings, LLC and Affiliate as of December 31, 2020 and 2019 and the related consolidated statements of net loss, members’ equity (deficit) and cash flows for the years then ended, have been audited by Baker Tilly US LLP, independent registered public accounting firm, as stated in their report dated December 8, 2021, which is incorporated by reference herein.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have filed with the SEC. Certain information in the registration statement has been omitted from this prospectus in accordance with the rules of the SEC.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Agrify Corporation, 76 Treble Cove Road, Building 3, Unit 3, Billerica, MA 01862, or by telephone request to (617) 896-5243. Our website is located at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Information contained on our website is not incorporated by reference into this prospectus and, therefore, is not part of this prospectus or any applicable prospectus supplement. Our website address is included in this prospectus as an inactive textual reference only.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them, which means that we can disclose important information to you by referring you to those publicly available documents. The information incorporated by reference is an important part of this prospectus, and information that we file later with the SEC will automatically update and, where applicable, supersede the information already incorporated by reference. We are incorporating by reference the documents listed below:</w:t>
      </w:r>
    </w:p>
    <w:p>
      <w:pPr>
        <w:spacing w:after="0" w:line="180"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16, 2022;</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2021 from our definitive proxy statement on </w:t>
      </w:r>
      <w:hyperlink r:id="rId62">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29, 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auto"/>
          </w:rPr>
          <w:t xml:space="preserve">Our Current Reports on Form 8-K filed with the SEC </w:t>
        </w:r>
        <w:r>
          <w:rPr>
            <w:rFonts w:ascii="Times New Roman" w:cs="Times New Roman" w:eastAsia="Times New Roman" w:hAnsi="Times New Roman"/>
            <w:sz w:val="18"/>
            <w:szCs w:val="18"/>
            <w:u w:val="single" w:color="auto"/>
            <w:color w:val="0000EE"/>
          </w:rPr>
          <w:t>October 5, 2021</w:t>
        </w:r>
        <w:r>
          <w:rPr>
            <w:rFonts w:ascii="Times New Roman" w:cs="Times New Roman" w:eastAsia="Times New Roman" w:hAnsi="Times New Roman"/>
            <w:sz w:val="18"/>
            <w:szCs w:val="18"/>
            <w:color w:val="auto"/>
          </w:rPr>
          <w:t xml:space="preserve"> (and the amendment thereto filed with the SEC on </w:t>
        </w:r>
        <w:r>
          <w:rPr>
            <w:rFonts w:ascii="Times New Roman" w:cs="Times New Roman" w:eastAsia="Times New Roman" w:hAnsi="Times New Roman"/>
            <w:sz w:val="18"/>
            <w:szCs w:val="18"/>
            <w:u w:val="single" w:color="auto"/>
            <w:color w:val="0000EE"/>
          </w:rPr>
          <w:t>December 17,</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January 5, 2022</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5">
        <w:r>
          <w:rPr>
            <w:rFonts w:ascii="Times New Roman" w:cs="Times New Roman" w:eastAsia="Times New Roman" w:hAnsi="Times New Roman"/>
            <w:sz w:val="18"/>
            <w:szCs w:val="18"/>
            <w:u w:val="single" w:color="auto"/>
            <w:color w:val="0000EE"/>
          </w:rPr>
          <w:t>January 26, 2022</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February 2, 2022</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March 18, 2022</w:t>
        </w:r>
      </w:hyperlink>
      <w:hyperlink r:id="rId6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April 12, 2022</w:t>
        </w:r>
      </w:hyperlink>
      <w:hyperlink r:id="rId63">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June 9, 2022</w:t>
        </w:r>
      </w:hyperlink>
      <w:hyperlink r:id="rId63">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0">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26, 2021;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including all filings made after the date of the filing of this registration statement and prior to the effectiveness of this registration statement, prior to the termination of the offering of the underlying securities; provided, however, that we are not incorporating by reference any additional documents or information furnished and not filed with the SEC.</w:t>
      </w:r>
    </w:p>
    <w:p>
      <w:pPr>
        <w:spacing w:after="0" w:line="180"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76"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Telephone: (617) 896-5243</w:t>
      </w:r>
    </w:p>
    <w:p>
      <w:pPr>
        <w:spacing w:after="0" w:line="207"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71"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156845</wp:posOffset>
            </wp:positionV>
            <wp:extent cx="1054100" cy="788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0541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3140"/>
        <w:spacing w:after="0"/>
        <w:rPr>
          <w:sz w:val="20"/>
          <w:szCs w:val="20"/>
          <w:color w:val="auto"/>
        </w:rPr>
      </w:pPr>
      <w:r>
        <w:rPr>
          <w:rFonts w:ascii="Times New Roman" w:cs="Times New Roman" w:eastAsia="Times New Roman" w:hAnsi="Times New Roman"/>
          <w:sz w:val="18"/>
          <w:szCs w:val="18"/>
          <w:b w:val="1"/>
          <w:bCs w:val="1"/>
          <w:color w:val="auto"/>
        </w:rPr>
        <w:t>Part II—INFORMATION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expenses payable by Agrify Corporation (the “Registrant” or the “Company”) in connection with the issuance and distribution of the securities being registered (other than underwriting discounts and commissions, if any) are set forth below. Each item listed is estimated, except for the SEC registration fee.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trustee fees</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100" w:type="dxa"/>
            <w:vAlign w:val="bottom"/>
            <w:shd w:val="clear" w:color="auto" w:fill="CCEEFF"/>
          </w:tcPr>
          <w:p>
            <w:pPr>
              <w:spacing w:after="0"/>
              <w:rPr>
                <w:sz w:val="18"/>
                <w:szCs w:val="18"/>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Estimated expenses not presently known.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Nevada corporation and generally governed by the Nevada Private Corporations Code, Title 78 of the Nevada Revised Statutes, or NRS.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with this registration statement on Form S-3 is set forth on the Exhibit Index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1140" w:hanging="251"/>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660" w:hanging="220"/>
        <w:spacing w:after="0"/>
        <w:tabs>
          <w:tab w:leader="none" w:pos="1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440"/>
        <w:spacing w:after="0" w:line="255" w:lineRule="auto"/>
        <w:tabs>
          <w:tab w:leader="none" w:pos="16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440"/>
        <w:spacing w:after="0" w:line="258" w:lineRule="auto"/>
        <w:tabs>
          <w:tab w:leader="none" w:pos="17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(a)(l)(i), (a)(l)(ii) and (a)(l)(iii)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3"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5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firstLine="1440"/>
        <w:spacing w:after="0" w:line="282" w:lineRule="auto"/>
        <w:tabs>
          <w:tab w:leader="none" w:pos="16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1440"/>
        <w:spacing w:after="0" w:line="253" w:lineRule="auto"/>
        <w:tabs>
          <w:tab w:leader="none" w:pos="17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jc w:val="both"/>
        <w:ind w:firstLine="889"/>
        <w:spacing w:after="0" w:line="258" w:lineRule="auto"/>
        <w:tabs>
          <w:tab w:leader="none" w:pos="113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680" w:hanging="240"/>
        <w:spacing w:after="0"/>
        <w:tabs>
          <w:tab w:leader="none" w:pos="16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color w:val="auto"/>
        </w:rPr>
      </w:pPr>
    </w:p>
    <w:p>
      <w:pPr>
        <w:ind w:firstLine="1440"/>
        <w:spacing w:after="0" w:line="282" w:lineRule="auto"/>
        <w:tabs>
          <w:tab w:leader="none" w:pos="169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1440"/>
        <w:spacing w:after="0" w:line="282" w:lineRule="auto"/>
        <w:tabs>
          <w:tab w:leader="none" w:pos="176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889"/>
        <w:spacing w:after="0" w:line="258" w:lineRule="auto"/>
        <w:tabs>
          <w:tab w:leader="none" w:pos="11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and</w:t>
      </w:r>
    </w:p>
    <w:p>
      <w:pPr>
        <w:spacing w:after="0" w:line="183"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firstLine="889"/>
        <w:spacing w:after="0" w:line="266" w:lineRule="auto"/>
        <w:tabs>
          <w:tab w:leader="none" w:pos="11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62" w:lineRule="exact"/>
        <w:rPr>
          <w:sz w:val="20"/>
          <w:szCs w:val="20"/>
          <w:color w:val="auto"/>
        </w:rPr>
      </w:pPr>
    </w:p>
    <w:p>
      <w:pPr>
        <w:jc w:val="both"/>
        <w:ind w:firstLine="926"/>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Town of Billerica, Commonwealth of Massachusetts, on June 17, 2022.</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BE THESE PRESENTS, that each person whose signature appears below hereby constitutes and appoints each of Raymond Chang and Timothy R. Oakes as such person’s true and lawful attorney-in-fact and agent,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or substitutes of them, may lawfully do or cause to be done by virtue hereof.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1"/>
                <w:szCs w:val="21"/>
                <w:color w:val="auto"/>
              </w:rPr>
            </w:pPr>
          </w:p>
        </w:tc>
        <w:tc>
          <w:tcPr>
            <w:tcW w:w="540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R. Oakes</w:t>
            </w: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Timothy R. Oakes</w:t>
            </w: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Massie</w:t>
            </w: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President, COO and 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Thomas Massie</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Leonard J. Sokolow</w:t>
            </w: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Leonard J. Sokolow</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Stuart Wilcox</w:t>
            </w: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17, 2022</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Stuart Wilcox</w:t>
            </w:r>
          </w:p>
        </w:tc>
        <w:tc>
          <w:tcPr>
            <w:tcW w:w="2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20" w:type="dxa"/>
            <w:vAlign w:val="bottom"/>
            <w:gridSpan w:val="7"/>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620" w:type="dxa"/>
            <w:vAlign w:val="bottom"/>
            <w:gridSpan w:val="7"/>
          </w:tcPr>
          <w:p>
            <w:pPr>
              <w:ind w:left="2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Agreement and Plan of Merger dated January 22, 2020 between the Registrant and TriGrow Systems, Inc. (incorporated by reference to</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Exhibit 2.1 to the Registrant’s Registration Statement on Form S-1 filed with the Securities and Exchange Commission on December 22,</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2020)</w:t>
              </w:r>
            </w:hyperlink>
          </w:p>
        </w:tc>
        <w:tc>
          <w:tcPr>
            <w:tcW w:w="3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Plan of Merger and Equity Purchase Agreement, dated as of September 29, 2021, among the Registrant, Sinclair Scientific, LLC,</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Mass2Media, LLC dba PX2 Holdings, LLC, and each of the equity holders of Sinclair Scientific, LLC named therein (incorporated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reference to Exhibit 2.1 to the Registrant’s Current Report on Form 8-K filed with the Securities and Exchange Commission on October 5,</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2021)</w:t>
              </w:r>
            </w:hyperlink>
          </w:p>
        </w:tc>
        <w:tc>
          <w:tcPr>
            <w:tcW w:w="3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Membership Interest Purchase Agreement, dated as of December 31, 2021, among the Registrant, PurePressure, LLC, Benjamin Britton as</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Member Representative, and each of the equity holders of PurePressure, LLC named therein (incorporated by reference to Exhibit 2.1 to the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Registrant’s Current Report on Form 8-K filed with the Securities and Exchange Commission on January 5,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8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 †</w:t>
            </w:r>
          </w:p>
        </w:tc>
        <w:tc>
          <w:tcPr>
            <w:tcW w:w="10100" w:type="dxa"/>
            <w:vAlign w:val="bottom"/>
            <w:tcBorders>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Merger Agreement, dated as of February 1, 2022, among the Registrant, LS Holdings Corp., Lab Society NewCo, LLC, Michael S.</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60" w:type="dxa"/>
            <w:vAlign w:val="bottom"/>
            <w:tcBorders>
              <w:right w:val="single" w:sz="8" w:color="CCEEFF"/>
            </w:tcBorders>
            <w:gridSpan w:val="2"/>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Maibach Jr. as Owner Representative, and each of the Owners named therein (incorporated by reference to Exhibit 2.1 to the Registrant’s</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Current Report on Form 8-K filed with the Securities and Exchange Commission on February 2,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8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Articles of Incorporation of the Registrant (incorporated by reference to Exhibit 3.1 to the Registrant’s Amendment No. 1 to Registration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Statement on Form S-1 filed with the Securities and Exchange Commission on January 13,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8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Commission on January 13,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Amended and Restated Bylaws of the Registrant (incorporated by reference to Exhibit 3.3 to the Registrant’s Amendment No. 2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Registration Statement on Form S-1 filed with the Securities and Exchange Commission on January 26,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8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 for senior debt securities and the related form of senior debt security</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8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 for subordinated debt securities and the related form of subordinated debt security</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38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Form of any certificate of designation with respect to any preferred stock issued hereunder and the related form of preferred stock</w:t>
            </w: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any warrant agreement with respect to each particular series of warrants issued hereunder</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any unit agreement with respect to any unit issued hereunder</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Common Stock Certificate (incorporated by reference to Exhibit 4.1 to the Registrant’s Amendment No. 2 to Registration</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EE"/>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Statement on Form S-1 filed with the Securities and Exchange Commission on January 26,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38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10100" w:type="dxa"/>
            <w:vAlign w:val="bottom"/>
            <w:gridSpan w:val="10"/>
            <w:shd w:val="clear" w:color="auto" w:fill="CCEEFF"/>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Senior Secured Note (incorporated by reference to Exhibit 4.2 to the Registrant’s Current Report on Form 8-K filed with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Securities and Exchange Commission on March 18, 2022)</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Burns &amp; Levinson LLP</w:t>
            </w:r>
          </w:p>
        </w:tc>
      </w:tr>
      <w:tr>
        <w:trPr>
          <w:trHeight w:val="216"/>
        </w:trPr>
        <w:tc>
          <w:tcPr>
            <w:tcW w:w="114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Sherman &amp; Howard L.L.C.</w:t>
            </w:r>
          </w:p>
        </w:tc>
      </w:tr>
      <w:tr>
        <w:trPr>
          <w:trHeight w:val="216"/>
        </w:trPr>
        <w:tc>
          <w:tcPr>
            <w:tcW w:w="114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216"/>
        </w:trPr>
        <w:tc>
          <w:tcPr>
            <w:tcW w:w="1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Baker Tilly US LLP,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Burns &amp; Levinson LLP (included in Exhibit 5.1)</w:t>
            </w:r>
          </w:p>
        </w:tc>
      </w:tr>
      <w:tr>
        <w:trPr>
          <w:trHeight w:val="216"/>
        </w:trPr>
        <w:tc>
          <w:tcPr>
            <w:tcW w:w="114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Sherman &amp; Howard L.L.C. (included in Exhibit 5.2)</w:t>
            </w:r>
          </w:p>
        </w:tc>
      </w:tr>
      <w:tr>
        <w:trPr>
          <w:trHeight w:val="216"/>
        </w:trPr>
        <w:tc>
          <w:tcPr>
            <w:tcW w:w="114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in signature page)</w:t>
            </w:r>
          </w:p>
        </w:tc>
      </w:tr>
      <w:tr>
        <w:trPr>
          <w:trHeight w:val="216"/>
        </w:trPr>
        <w:tc>
          <w:tcPr>
            <w:tcW w:w="114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senior indenture under the Trust Indenture Act of 1939</w:t>
            </w:r>
          </w:p>
        </w:tc>
      </w:tr>
      <w:tr>
        <w:trPr>
          <w:trHeight w:val="216"/>
        </w:trPr>
        <w:tc>
          <w:tcPr>
            <w:tcW w:w="1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25.2**</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subordinated indenture under the Trust Indenture Act of 1939</w:t>
            </w:r>
          </w:p>
        </w:tc>
      </w:tr>
    </w:tbl>
    <w:p>
      <w:pPr>
        <w:spacing w:after="0" w:line="198" w:lineRule="exact"/>
        <w:rPr>
          <w:sz w:val="20"/>
          <w:szCs w:val="20"/>
          <w:color w:val="auto"/>
        </w:rPr>
      </w:pPr>
    </w:p>
    <w:p>
      <w:pPr>
        <w:ind w:left="1140" w:hanging="1132"/>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by amendment or as an exhibit to a document to be incorporated or deemed to be incorporated by reference in this registration statement, including a Current Report on Form 8-K.</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be filed by amendment pursuant to Section 305(b)(2) of the Trust Indenture Act of 1939.</w:t>
      </w:r>
    </w:p>
    <w:p>
      <w:pPr>
        <w:spacing w:after="0" w:line="225" w:lineRule="exact"/>
        <w:rPr>
          <w:sz w:val="20"/>
          <w:szCs w:val="20"/>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480"/>
        <w:spacing w:after="0"/>
        <w:tabs>
          <w:tab w:leader="none" w:pos="5240" w:val="left"/>
        </w:tabs>
        <w:rPr>
          <w:sz w:val="20"/>
          <w:szCs w:val="20"/>
          <w:color w:val="auto"/>
        </w:rPr>
      </w:pPr>
      <w:r>
        <w:rPr>
          <w:rFonts w:ascii="Times New Roman" w:cs="Times New Roman" w:eastAsia="Times New Roman" w:hAnsi="Times New Roman"/>
          <w:sz w:val="18"/>
          <w:szCs w:val="18"/>
          <w:color w:val="auto"/>
        </w:rPr>
        <w:t>Dated as of</w:t>
      </w:r>
      <w:r>
        <w:rPr>
          <w:sz w:val="20"/>
          <w:szCs w:val="20"/>
          <w:color w:val="auto"/>
        </w:rPr>
        <w:tab/>
      </w:r>
      <w:r>
        <w:rPr>
          <w:rFonts w:ascii="Times New Roman" w:cs="Times New Roman" w:eastAsia="Times New Roman" w:hAnsi="Times New Roman"/>
          <w:sz w:val="17"/>
          <w:szCs w:val="17"/>
          <w:color w:val="auto"/>
        </w:rPr>
        <w:t>, 20</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840105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02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TABLE OF CONTENTS</w:t>
            </w:r>
          </w:p>
        </w:tc>
        <w:tc>
          <w:tcPr>
            <w:tcW w:w="980" w:type="dxa"/>
            <w:vAlign w:val="bottom"/>
          </w:tcPr>
          <w:p>
            <w:pPr>
              <w:spacing w:after="0"/>
              <w:rPr>
                <w:sz w:val="20"/>
                <w:szCs w:val="20"/>
                <w:color w:val="auto"/>
              </w:rPr>
            </w:pPr>
          </w:p>
        </w:tc>
      </w:tr>
      <w:tr>
        <w:trPr>
          <w:trHeight w:val="453"/>
        </w:trPr>
        <w:tc>
          <w:tcPr>
            <w:tcW w:w="102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ONE - DEFINITIONS AND OTHER PROVISIONS OF GENERAL APPLICATION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101.Definitions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102.Compliance Certificates and Opinions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103.Form of Documents Delivered to Trustee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104.Acts of Holders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105.Notices, etc., to Trustee and Company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106.Notice to Holders; Waiver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107.Counterparts; Effect of Headings and Table of Contents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108.Successors and Assigns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109.Severability Clause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110.Benefits of Indenture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111.Governing Law</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112.Legal Holidays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113.Limited Liability; Immunity of Stockholders, Directors, Officers and Agents of the Company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114.Conflict with Trust Indenture Act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TWO - SECURITIES FORMS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201.Forms of Securities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202.Form of Trustee’s Certificate of Authentication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203.Securities Issuable in Global 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ARTICLE THREE - THE SECURITIES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301.Amount Unlimited; Issuable in Series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302.Denominations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303.Execution, Authentication, Delivery and Dating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304.Temporary Securities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305.Registration, Registration of Transfer, Conversion and Exchange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306.Mutilated, Destroyed, Lost and Stolen Securities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307.Payment of Interest; Interest Rights Preserved</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308.Persons Deemed Owners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309.Cancellation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310.Computation of Interest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311.CUSIP Numbers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0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FOUR - SATISFACTION AND DISCHARGE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401.Satisfaction and Discharge of Indenture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402.Application of Trust Funds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FIVE - REMEDIES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501.Events of Default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502.Acceleration of Maturity; Rescission and Annulment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503.Collection of Indebtedness and Suits for Enforcement by Trustee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504.Trustee May File Proofs of Claim</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505.Trustee May Enforce Claims Without Possession of Securities or Coupons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506.Application of Money Collected</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507.Limitation on Suits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508.Unconditional Right of Holders to Receive Principal, Premium or Make-Whole Amount, if any, and Interest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509.Restoration of Rights and Remedies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510.Rights and Remedies Cumulative</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511.Delay or Omission Not Waiver</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512.Control by Holders of Securities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513.Waiver of Past Defaults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514.Waiver of Usury, Stay or Extension Laws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515.Undertaking for Costs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ARTICLE SIX - THE TRUSTEE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601.Notice of Defaults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602.Certain Rights of Trustee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603.Not Responsible for Recitals or Issuance of Securities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604.May Hold Securities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605.Money Held in Trust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606.Compensation and Reimbursement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607.Corporate Trustee Required; Eligibility; Conflicting Interests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608.Resignation and Removal; Appointment of Successor</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609.Acceptance of Appointment by Successor</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610.Merger, Conversion, Consolidation or Succession to Business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611.Appointment of Authenticating Agent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612.Certain Duties and Responsibilities of the Trustee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ARTICLE SEVEN - HOLDERS’ LISTS AND REPORTS BY TRUSTEE AND COMPANY</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701.Disclosure of Names and Addresses of Holders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702.Reports by Trustee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703.Reports by Company</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0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704.Company to Furnish Trustee Names and Addresses of Holders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EIGHT - CONSOLIDATION, MERGER, SALE, LEASE OR CONVEYANCE</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55</w:t>
            </w:r>
          </w:p>
        </w:tc>
      </w:tr>
      <w:tr>
        <w:trPr>
          <w:trHeight w:val="198"/>
        </w:trPr>
        <w:tc>
          <w:tcPr>
            <w:tcW w:w="10060" w:type="dxa"/>
            <w:vAlign w:val="bottom"/>
            <w:gridSpan w:val="2"/>
          </w:tcPr>
          <w:p>
            <w:pPr>
              <w:ind w:left="540"/>
              <w:spacing w:after="0" w:line="198" w:lineRule="exact"/>
              <w:rPr>
                <w:sz w:val="20"/>
                <w:szCs w:val="20"/>
                <w:color w:val="auto"/>
              </w:rPr>
            </w:pPr>
            <w:r>
              <w:rPr>
                <w:rFonts w:ascii="Times New Roman" w:cs="Times New Roman" w:eastAsia="Times New Roman" w:hAnsi="Times New Roman"/>
                <w:sz w:val="18"/>
                <w:szCs w:val="18"/>
                <w:color w:val="auto"/>
              </w:rPr>
              <w:t>SECTION 801. Consolidations and Mergers of Company and Sales, Leases and Conveyances Permitted Subject to Certain</w:t>
            </w:r>
          </w:p>
        </w:tc>
        <w:tc>
          <w:tcPr>
            <w:tcW w:w="1180" w:type="dxa"/>
            <w:vAlign w:val="bottom"/>
          </w:tcPr>
          <w:p>
            <w:pPr>
              <w:spacing w:after="0"/>
              <w:rPr>
                <w:sz w:val="17"/>
                <w:szCs w:val="17"/>
                <w:color w:val="auto"/>
              </w:rPr>
            </w:pPr>
          </w:p>
        </w:tc>
      </w:tr>
      <w:tr>
        <w:trPr>
          <w:trHeight w:val="234"/>
        </w:trPr>
        <w:tc>
          <w:tcPr>
            <w:tcW w:w="172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802.</w:t>
            </w:r>
          </w:p>
        </w:tc>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Rights and Duties of Successor Corporation</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803.</w:t>
            </w:r>
          </w:p>
        </w:tc>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Officers’ Certificate and Opinion of Counsel</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060" w:type="dxa"/>
            <w:vAlign w:val="bottom"/>
            <w:gridSpan w:val="2"/>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NINE - SUPPLEMENTAL INDENTURES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901.</w:t>
            </w:r>
          </w:p>
        </w:tc>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902.</w:t>
            </w:r>
          </w:p>
        </w:tc>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903.</w:t>
            </w:r>
          </w:p>
        </w:tc>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904.</w:t>
            </w:r>
          </w:p>
        </w:tc>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905.</w:t>
            </w:r>
          </w:p>
        </w:tc>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906.</w:t>
            </w:r>
          </w:p>
        </w:tc>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060" w:type="dxa"/>
            <w:vAlign w:val="bottom"/>
            <w:gridSpan w:val="2"/>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TEN - COVENANTS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1001.Payment of Principal, Premium or Make-Whole Amount, if any; and Interest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1002.Maintenance of Office or Agency</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1003.Money for Securities Payments to Be Held in Trust</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1004.Existence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1005.Maintenance of Properties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1006.Insurance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1007.Payment of Taxes and Other Claims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1008.Statement as to Compliance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1009.Waiver of Certain Covenants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0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ELEVEN - REDEMPTION OF SECURITIES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1101.Applicability of Article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1102.Election to Redeem; Notice to Trustee</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1103.Selection by Trustee of Securities to Be Redeemed</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1104.Notice of Redemption</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1105.Deposit of Redemption Price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1106.Securities Payable on Redemption Date</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1107.Securities Redeemed in Part</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060" w:type="dxa"/>
            <w:vAlign w:val="bottom"/>
            <w:gridSpan w:val="2"/>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TWELVE - SINKING FUNDS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1201.Applicability of Article</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1202.Satisfaction of Sinking Fund Payments with Securities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1203.Redemption of Securities for Sinking Fund</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0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1301.Applicability of Article</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1302.Repayment of Securities</w:t>
            </w:r>
          </w:p>
        </w:tc>
        <w:tc>
          <w:tcPr>
            <w:tcW w:w="11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0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SECTION 1303.Exercise of Option</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69</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1304.When Securities Presented for Repayment Become Due and Payable</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1305.Securities Repaid in Part</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8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1401.Applicability of Article; Company’s Option to Effect Defeasance or Covenant Defeasance</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1402.Defeasance and Discharge</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1403.Covenant Defeasance</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1404.Conditions to Defeasance or Covenant Defeasance</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1405.Deposited Money and Government Obligations to Be Held in Trust; Other Miscellaneous Provisions</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1501.Purposes for Which Meetings May Be Called</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1502.Call, Notice and Place of Meetings</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1503.Persons Entitled to Vote at Meetings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1504.Quorum; Action</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1505.Determination of Voting Rights; Conduct and Adjournment of Meetings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1506.Counting Votes and Recording Action of Meetings</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8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9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SIXTEEN - CONVERSION OF SECURITIES</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1601.Applicability of Article; Conversion Privilege and Conversion Price</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1602.Exercise of Conversion Privilege</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1603.Fractions of Shares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1604.Adjustment of Conversion Price</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1605.Notice of Adjustments of Conversion Price</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1606.Notice of Certain Corporate Action</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1607.Company to Reserve Common Stock</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1608.Taxes on Conversion</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1609.Covenants as to Common Stock</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1610.Cancellation of Converted Securities</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1611.Provisions in Case of Consolidation, Merger or Sale of Assets; Special Distributions</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1612.Trustee Adjustment Disclaimer; Company Determination Final</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1613.When No Adjustment Required</w:t>
            </w:r>
          </w:p>
        </w:tc>
        <w:tc>
          <w:tcPr>
            <w:tcW w:w="14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1614.Equivalent Adjustments</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900" w:right="20" w:hanging="251"/>
        <w:spacing w:after="0" w:line="282" w:lineRule="auto"/>
        <w:rPr>
          <w:sz w:val="20"/>
          <w:szCs w:val="20"/>
          <w:color w:val="auto"/>
        </w:rPr>
      </w:pPr>
      <w:r>
        <w:rPr>
          <w:rFonts w:ascii="Times New Roman" w:cs="Times New Roman" w:eastAsia="Times New Roman" w:hAnsi="Times New Roman"/>
          <w:sz w:val="18"/>
          <w:szCs w:val="18"/>
          <w:color w:val="auto"/>
        </w:rPr>
        <w:t>Reconciliation and tie between the Trust Indenture Act of 1939, as amended (the “Trust Indenture Act” or “TIA”) and the Indenture, dated as of , 20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Trust Indenture</w:t>
            </w:r>
          </w:p>
        </w:tc>
        <w:tc>
          <w:tcPr>
            <w:tcW w:w="5160" w:type="dxa"/>
            <w:vAlign w:val="bottom"/>
          </w:tcPr>
          <w:p>
            <w:pPr>
              <w:spacing w:after="0"/>
              <w:rPr>
                <w:sz w:val="18"/>
                <w:szCs w:val="18"/>
                <w:color w:val="auto"/>
              </w:rPr>
            </w:pPr>
          </w:p>
        </w:tc>
      </w:t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 Section</w:t>
            </w:r>
          </w:p>
        </w:tc>
        <w:tc>
          <w:tcPr>
            <w:tcW w:w="51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Indenture Section</w:t>
            </w:r>
          </w:p>
        </w:tc>
      </w:tr>
      <w:tr>
        <w:trPr>
          <w:trHeight w:val="34"/>
        </w:trPr>
        <w:tc>
          <w:tcPr>
            <w:tcW w:w="5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310(a)(1)</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607, 608</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312(c)</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313(a)</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314(a)</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(a)(4)</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(c)(1)</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(c)(2)</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315(b)</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316(a) (last sentence)</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101(“Outstanding”)</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(a)(1)(A)</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502, 512</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(a)(1)(B)</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317(a)(1)</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318(a)</w:t>
            </w:r>
          </w:p>
        </w:tc>
        <w:tc>
          <w:tcPr>
            <w:tcW w:w="51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51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ind w:firstLine="648"/>
        <w:spacing w:after="0" w:line="266" w:lineRule="auto"/>
        <w:rPr>
          <w:sz w:val="20"/>
          <w:szCs w:val="20"/>
          <w:color w:val="auto"/>
        </w:rPr>
      </w:pPr>
      <w:r>
        <w:rPr>
          <w:rFonts w:ascii="Times New Roman" w:cs="Times New Roman" w:eastAsia="Times New Roman" w:hAnsi="Times New Roman"/>
          <w:sz w:val="18"/>
          <w:szCs w:val="18"/>
          <w:color w:val="auto"/>
        </w:rPr>
        <w:t>INDENTURE, dated as of , 20 , AGRIFY CORPORATION, a corporation organized under the laws of the State of Nevada (hereinafter called the “Company”), having its principal office at 76 Treble Cove Road, Building 3, Billerica, MA 01862 and , as Trustee hereunder (hereinafter called the “Trustee”), having a Corporate Trust Office at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things necessary to make this Indenture a valid and legally binding agreement of the Company, in accordance with its terms, have been done.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ONE - DEFINITIONS AND OTHER PROVISIONS OF GENERAL APPLICATION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 requires:</w:t>
      </w:r>
    </w:p>
    <w:p>
      <w:pPr>
        <w:spacing w:after="0" w:line="225" w:lineRule="exact"/>
        <w:rPr>
          <w:sz w:val="20"/>
          <w:szCs w:val="20"/>
          <w:color w:val="auto"/>
        </w:rPr>
      </w:pPr>
    </w:p>
    <w:p>
      <w:pPr>
        <w:ind w:left="1560" w:hanging="256"/>
        <w:spacing w:after="0"/>
        <w:tabs>
          <w:tab w:leader="none" w:pos="1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“Article” or a “Section” refers to an Article or Section, as the case may be, of this Indenture;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ind w:left="660" w:firstLine="644"/>
        <w:spacing w:after="0" w:line="282" w:lineRule="auto"/>
        <w:tabs>
          <w:tab w:leader="none" w:pos="158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means any Person authorized by the Trustee pursuant to Section 611 hereof to act on behalf of the Trustee to authenticate Securities of one or more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Newspaper</w:t>
      </w:r>
      <w:r>
        <w:rPr>
          <w:rFonts w:ascii="Times New Roman" w:cs="Times New Roman" w:eastAsia="Times New Roman" w:hAnsi="Times New Roman"/>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Bearer Security</w:t>
      </w:r>
      <w:r>
        <w:rPr>
          <w:rFonts w:ascii="Times New Roman" w:cs="Times New Roman" w:eastAsia="Times New Roman" w:hAnsi="Times New Roman"/>
          <w:sz w:val="18"/>
          <w:szCs w:val="18"/>
          <w:color w:val="auto"/>
        </w:rPr>
        <w:t>” means any Security established pursuant to Section 201 which is payable to the bearer.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Luxembourg, société anonyme, or its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closing price of a share of Common Stock of the Company as reported on the OTCQB tier of the OTC Market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Depository</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has the meaning specified in Section 1611.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has the meaning specified in Section 1601.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office of the Trustee at which, at administered, which office at the date hereof is located at [</w:t>
      </w:r>
    </w:p>
    <w:p>
      <w:pPr>
        <w:spacing w:after="0" w:line="20" w:lineRule="exact"/>
        <w:rPr>
          <w:sz w:val="20"/>
          <w:szCs w:val="20"/>
          <w:color w:val="auto"/>
        </w:rPr>
      </w:pPr>
      <w:r>
        <w:rPr>
          <w:sz w:val="20"/>
          <w:szCs w:val="20"/>
          <w:color w:val="auto"/>
        </w:rPr>
        <w:br w:type="column"/>
      </w:r>
    </w:p>
    <w:p>
      <w:pPr>
        <w:ind w:firstLine="73"/>
        <w:spacing w:after="0" w:line="261" w:lineRule="auto"/>
        <w:rPr>
          <w:sz w:val="20"/>
          <w:szCs w:val="20"/>
          <w:color w:val="auto"/>
        </w:rPr>
      </w:pPr>
      <w:r>
        <w:rPr>
          <w:rFonts w:ascii="Times New Roman" w:cs="Times New Roman" w:eastAsia="Times New Roman" w:hAnsi="Times New Roman"/>
          <w:sz w:val="18"/>
          <w:szCs w:val="18"/>
          <w:color w:val="auto"/>
        </w:rPr>
        <w:t>any particular time, its corporate trust business shall be principally ].</w:t>
      </w:r>
    </w:p>
    <w:p>
      <w:pPr>
        <w:spacing w:after="0" w:line="423" w:lineRule="exact"/>
        <w:rPr>
          <w:sz w:val="20"/>
          <w:szCs w:val="20"/>
          <w:color w:val="auto"/>
        </w:rPr>
      </w:pPr>
    </w:p>
    <w:p>
      <w:pPr>
        <w:sectPr>
          <w:pgSz w:w="11900" w:h="16838" w:orient="portrait"/>
          <w:cols w:equalWidth="0" w:num="2">
            <w:col w:w="6020" w:space="0"/>
            <w:col w:w="5220"/>
          </w:cols>
          <w:pgMar w:left="320" w:top="877" w:right="339" w:bottom="1440" w:gutter="0" w:footer="0" w:header="0"/>
        </w:sect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includes corporations, associations, companies and business trusts.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coupon</w:t>
      </w:r>
      <w:r>
        <w:rPr>
          <w:rFonts w:ascii="Times New Roman" w:cs="Times New Roman" w:eastAsia="Times New Roman" w:hAnsi="Times New Roman"/>
          <w:sz w:val="18"/>
          <w:szCs w:val="18"/>
          <w:color w:val="auto"/>
        </w:rPr>
        <w:t>” means any interest coupon appertaining to a Bearer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specified in Section 1403.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has the meaning specified in Section 1402.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Record Date</w:t>
      </w:r>
      <w:r>
        <w:rPr>
          <w:rFonts w:ascii="Times New Roman" w:cs="Times New Roman" w:eastAsia="Times New Roman" w:hAnsi="Times New Roman"/>
          <w:sz w:val="18"/>
          <w:szCs w:val="18"/>
          <w:color w:val="auto"/>
        </w:rPr>
        <w:t>” has the meaning specified in Section 1611.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or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a dollar or other equivalent unit in such coin or currency of the United States of America as at the time of payment is legal tender for the payment of public and private debts.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ECU</w:t>
      </w:r>
      <w:r>
        <w:rPr>
          <w:rFonts w:ascii="Times New Roman" w:cs="Times New Roman" w:eastAsia="Times New Roman" w:hAnsi="Times New Roman"/>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the operator of the Euroclear System.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Communities</w:t>
      </w:r>
      <w:r>
        <w:rPr>
          <w:rFonts w:ascii="Times New Roman" w:cs="Times New Roman" w:eastAsia="Times New Roman" w:hAnsi="Times New Roman"/>
          <w:sz w:val="18"/>
          <w:szCs w:val="18"/>
          <w:color w:val="auto"/>
        </w:rPr>
        <w:t>” means the European Economic Community, the European Coal and Steel Community and the European Atomic Energy Community.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Monetary System</w:t>
      </w:r>
      <w:r>
        <w:rPr>
          <w:rFonts w:ascii="Times New Roman" w:cs="Times New Roman" w:eastAsia="Times New Roman" w:hAnsi="Times New Roman"/>
          <w:sz w:val="18"/>
          <w:szCs w:val="18"/>
          <w:color w:val="auto"/>
        </w:rPr>
        <w:t>” means the European Monetary System established by the Resolution of December 5, 1978 of the Council of the European Communities.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Article Five.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Securities Exchange Act of 1934, as amended, as in force at the date as of which this Indenture was executed;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Exchange Act is amended after such date, “Exchange Act” means to the extent required by any such amendment, the Exchange Act as so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1" w:name="page62"/>
    <w:bookmarkEnd w:id="61"/>
    <w:p>
      <w:pPr>
        <w:ind w:firstLine="70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except as otherwise provided herein, generally accepted accounting principles, as in effect from time to time, as used in the United States applied on a consistent basis.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Security</w:t>
      </w:r>
      <w:r>
        <w:rPr>
          <w:rFonts w:ascii="Times New Roman" w:cs="Times New Roman" w:eastAsia="Times New Roman" w:hAnsi="Times New Roman"/>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Obligations</w:t>
      </w:r>
      <w:r>
        <w:rPr>
          <w:rFonts w:ascii="Times New Roman" w:cs="Times New Roman" w:eastAsia="Times New Roman" w:hAnsi="Times New Roman"/>
          <w:sz w:val="18"/>
          <w:szCs w:val="18"/>
          <w:color w:val="auto"/>
        </w:rPr>
        <w:t>” means (i) securities which are (A) direct obligations of the United States of America or the government which issued the Foreign Currency in which the Securities of a particular series are payable, for the payment of which its full faith and credit is pledged or</w:t>
      </w:r>
    </w:p>
    <w:p>
      <w:pPr>
        <w:jc w:val="both"/>
        <w:ind w:firstLine="8"/>
        <w:spacing w:after="0" w:line="251" w:lineRule="auto"/>
        <w:tabs>
          <w:tab w:leader="none" w:pos="3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shall mean interest payable after Maturity.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 of the Distribution</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 or who may be an employee of or other counsel for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Discount Security</w:t>
      </w:r>
      <w:r>
        <w:rPr>
          <w:rFonts w:ascii="Times New Roman" w:cs="Times New Roman" w:eastAsia="Times New Roman" w:hAnsi="Times New Roman"/>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3" w:name="page64"/>
    <w:bookmarkEnd w:id="63"/>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xml:space="preserve">,” when used with respect to Securities, means, as of the date of determination, all Securities theretofore authenticated and delivered under this Indenture,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160" w:hanging="208"/>
        <w:spacing w:after="0"/>
        <w:tabs>
          <w:tab w:leader="none" w:pos="2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Securities are to be redeemed, notice of such redemption has been duly given pursuant to this Indenture or provision therefor satisfactory to the Trustee has been made;</w:t>
      </w:r>
    </w:p>
    <w:p>
      <w:pPr>
        <w:spacing w:after="0" w:line="183" w:lineRule="exact"/>
        <w:rPr>
          <w:rFonts w:ascii="Times New Roman" w:cs="Times New Roman" w:eastAsia="Times New Roman" w:hAnsi="Times New Roman"/>
          <w:sz w:val="18"/>
          <w:szCs w:val="18"/>
          <w:color w:val="auto"/>
        </w:rPr>
      </w:pPr>
    </w:p>
    <w:p>
      <w:pPr>
        <w:ind w:left="1300" w:firstLine="652"/>
        <w:spacing w:after="0" w:line="282" w:lineRule="auto"/>
        <w:tabs>
          <w:tab w:leader="none" w:pos="229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Sections 1402 and 1403, with respect to which the Company has effected Defeasance and/or Covenant Defeasance as provided in Article Fourteen; and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(and premium or Make-Whole Amount, if any) or interest on any Securities or coupons on behalf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Security to be redeemed, in whole or in part, means the date fixed for such redemption by or pursuant to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Security</w:t>
      </w:r>
      <w:r>
        <w:rPr>
          <w:rFonts w:ascii="Times New Roman" w:cs="Times New Roman" w:eastAsia="Times New Roman" w:hAnsi="Times New Roman"/>
          <w:sz w:val="18"/>
          <w:szCs w:val="18"/>
          <w:color w:val="auto"/>
        </w:rPr>
        <w:t>” shall mean any Security which is registered in the Security Register.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means, when used with respect to any Security to be repaid at the option of the Holder, the date fixed for such repayment by or pursuant to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Price</w:t>
      </w:r>
      <w:r>
        <w:rPr>
          <w:rFonts w:ascii="Times New Roman" w:cs="Times New Roman" w:eastAsia="Times New Roman" w:hAnsi="Times New Roman"/>
          <w:sz w:val="18"/>
          <w:szCs w:val="18"/>
          <w:color w:val="auto"/>
        </w:rPr>
        <w:t>” means, when used with respect to any Security to be repaid at the option of the Holder, the price at which it is to be repaid by or pursuant to this Indenture.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Record Date</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has the meaning stated in the first recital of this Indenture and, more particularly, means any Security or Securities authenticated and delivered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of Securities means all securities denoted as part of the same series authorized by or pursuant to a particular Board Resolution.</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Term Rights</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which is a “significant subsidiary” (as defined in Article I, Rule 1-02 of Regulation S-X, promulgated under the Securities Act of 1933, as amended)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for the payment of any Defaulted Interest on the Registered Securities of or within any series means a date fixed by the Company pursuant to Section 307.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entity of which a majority of</w:t>
      </w:r>
    </w:p>
    <w:p>
      <w:pPr>
        <w:spacing w:after="0" w:line="27" w:lineRule="exact"/>
        <w:rPr>
          <w:sz w:val="20"/>
          <w:szCs w:val="20"/>
          <w:color w:val="auto"/>
        </w:rPr>
      </w:pPr>
    </w:p>
    <w:p>
      <w:pPr>
        <w:jc w:val="both"/>
        <w:ind w:firstLine="8"/>
        <w:spacing w:after="0" w:line="255"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OTCQB tier of the OTC Market Group is open for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means the Trust Indenture Act of 1939, as amended and as in force at the date as of which this Indenture was executed, except as provided in Section 905.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there is more than one such Person, “Trustee” as used with respect to the Securities of any series shall mean only the Trustee with respect to Securities of that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Distribution</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to Maturity</w:t>
      </w:r>
      <w:r>
        <w:rPr>
          <w:rFonts w:ascii="Times New Roman" w:cs="Times New Roman" w:eastAsia="Times New Roman" w:hAnsi="Times New Roman"/>
          <w:sz w:val="18"/>
          <w:szCs w:val="18"/>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ind w:firstLine="648"/>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(including certificates delivered pursuant to Section 1008) shall include:</w:t>
      </w:r>
    </w:p>
    <w:p>
      <w:pPr>
        <w:spacing w:after="0" w:line="162" w:lineRule="exact"/>
        <w:rPr>
          <w:sz w:val="20"/>
          <w:szCs w:val="20"/>
          <w:color w:val="auto"/>
        </w:rPr>
      </w:pPr>
    </w:p>
    <w:p>
      <w:pPr>
        <w:ind w:left="660" w:firstLine="644"/>
        <w:spacing w:after="0" w:line="282" w:lineRule="auto"/>
        <w:tabs>
          <w:tab w:leader="none" w:pos="15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condition or covenant and the definitions herein relating thereto;</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ind w:left="6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1304"/>
        <w:spacing w:after="0" w:line="253" w:lineRule="auto"/>
        <w:tabs>
          <w:tab w:leader="none" w:pos="15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7"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87" w:lineRule="exact"/>
        <w:rPr>
          <w:rFonts w:ascii="Times New Roman" w:cs="Times New Roman" w:eastAsia="Times New Roman" w:hAnsi="Times New Roman"/>
          <w:sz w:val="18"/>
          <w:szCs w:val="18"/>
          <w:color w:val="auto"/>
        </w:rPr>
      </w:pPr>
    </w:p>
    <w:p>
      <w:pPr>
        <w:ind w:left="-20" w:firstLine="1304"/>
        <w:spacing w:after="0" w:line="282" w:lineRule="auto"/>
        <w:tabs>
          <w:tab w:leader="none" w:pos="16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5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77" w:right="339" w:bottom="1440" w:gutter="0" w:footer="0" w:header="0"/>
        </w:sectPr>
      </w:pPr>
    </w:p>
    <w:bookmarkStart w:id="69" w:name="page70"/>
    <w:bookmarkEnd w:id="69"/>
    <w:p>
      <w:pPr>
        <w:jc w:val="both"/>
        <w:ind w:firstLine="1304"/>
        <w:spacing w:after="0" w:line="253" w:lineRule="auto"/>
        <w:tabs>
          <w:tab w:leader="none" w:pos="15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and Company</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Trustee by any Holder or by the Company shall be sufficient for every purpose hereunder if made, given, furnished or filed in</w:t>
      </w:r>
    </w:p>
    <w:p>
      <w:pPr>
        <w:spacing w:after="0" w:line="27"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writing to or with the Trustee at [ ] or at any other address previously furnished in writing to the Company by the Trustee, Attention: [ ]; or</w:t>
      </w:r>
    </w:p>
    <w:p>
      <w:pPr>
        <w:spacing w:after="0" w:line="200" w:lineRule="exact"/>
        <w:rPr>
          <w:sz w:val="20"/>
          <w:szCs w:val="20"/>
          <w:color w:val="auto"/>
        </w:rPr>
      </w:pPr>
    </w:p>
    <w:p>
      <w:pPr>
        <w:spacing w:after="0" w:line="214" w:lineRule="exact"/>
        <w:rPr>
          <w:sz w:val="20"/>
          <w:szCs w:val="20"/>
          <w:color w:val="auto"/>
        </w:rPr>
      </w:pPr>
    </w:p>
    <w:p>
      <w:pPr>
        <w:jc w:val="both"/>
        <w:ind w:left="660" w:firstLine="644"/>
        <w:spacing w:after="0" w:line="261" w:lineRule="auto"/>
        <w:tabs>
          <w:tab w:leader="none" w:pos="158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w:t>
      </w:r>
    </w:p>
    <w:tbl>
      <w:tblPr>
        <w:tblLayout w:type="fixed"/>
        <w:tblInd w:w="0" w:type="dxa"/>
        <w:tblCellMar>
          <w:top w:w="0" w:type="dxa"/>
          <w:left w:w="0" w:type="dxa"/>
          <w:bottom w:w="0" w:type="dxa"/>
          <w:right w:w="0" w:type="dxa"/>
        </w:tblCellMar>
      </w:tblPr>
      <w:tr>
        <w:trPr>
          <w:trHeight w:val="198"/>
        </w:trPr>
        <w:tc>
          <w:tcPr>
            <w:tcW w:w="1064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first paragraph of this Indenture or at any other address previously furnished in writing to the Trustee by the Company, Attention: [</w:t>
            </w:r>
          </w:p>
        </w:tc>
        <w:tc>
          <w:tcPr>
            <w:tcW w:w="6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or</w:t>
            </w:r>
          </w:p>
        </w:tc>
        <w:tc>
          <w:tcPr>
            <w:tcW w:w="600" w:type="dxa"/>
            <w:vAlign w:val="bottom"/>
          </w:tcPr>
          <w:p>
            <w:pPr>
              <w:spacing w:after="0"/>
              <w:rPr>
                <w:sz w:val="20"/>
                <w:szCs w:val="20"/>
                <w:color w:val="auto"/>
              </w:rPr>
            </w:pPr>
          </w:p>
        </w:tc>
      </w:tr>
      <w:tr>
        <w:trPr>
          <w:trHeight w:val="655"/>
        </w:trPr>
        <w:tc>
          <w:tcPr>
            <w:tcW w:w="10640" w:type="dxa"/>
            <w:vAlign w:val="bottom"/>
            <w:tcBorders>
              <w:bottom w:val="single" w:sz="8" w:color="auto"/>
            </w:tcBorders>
          </w:tcPr>
          <w:p>
            <w:pPr>
              <w:jc w:val="right"/>
              <w:ind w:right="4830"/>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70" w:name="page71"/>
    <w:bookmarkEnd w:id="70"/>
    <w:p>
      <w:pPr>
        <w:jc w:val="both"/>
        <w:ind w:left="660" w:firstLine="644"/>
        <w:spacing w:after="0" w:line="261" w:lineRule="auto"/>
        <w:tabs>
          <w:tab w:leader="none" w:pos="15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w:t>
      </w:r>
    </w:p>
    <w:p>
      <w:pPr>
        <w:ind w:left="660"/>
        <w:spacing w:after="0"/>
        <w:tabs>
          <w:tab w:leader="none" w:pos="2900" w:val="left"/>
          <w:tab w:leader="none" w:pos="7140" w:val="left"/>
        </w:tabs>
        <w:rPr>
          <w:sz w:val="20"/>
          <w:szCs w:val="20"/>
          <w:color w:val="auto"/>
        </w:rPr>
      </w:pPr>
      <w:r>
        <w:rPr>
          <w:rFonts w:ascii="Times New Roman" w:cs="Times New Roman" w:eastAsia="Times New Roman" w:hAnsi="Times New Roman"/>
          <w:sz w:val="18"/>
          <w:szCs w:val="18"/>
          <w:color w:val="auto"/>
        </w:rPr>
        <w:t>facsimile number [</w:t>
      </w:r>
      <w:r>
        <w:rPr>
          <w:sz w:val="20"/>
          <w:szCs w:val="20"/>
          <w:color w:val="auto"/>
        </w:rPr>
        <w:tab/>
      </w:r>
      <w:r>
        <w:rPr>
          <w:rFonts w:ascii="Times New Roman" w:cs="Times New Roman" w:eastAsia="Times New Roman" w:hAnsi="Times New Roman"/>
          <w:sz w:val="18"/>
          <w:szCs w:val="18"/>
          <w:color w:val="auto"/>
        </w:rPr>
        <w:t>]; and if to the Company at facsimile number [</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Counterparts; Effect of Headings and Table of Contents</w:t>
      </w:r>
      <w:r>
        <w:rPr>
          <w:rFonts w:ascii="Times New Roman" w:cs="Times New Roman" w:eastAsia="Times New Roman" w:hAnsi="Times New Roman"/>
          <w:sz w:val="18"/>
          <w:szCs w:val="18"/>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Indenture by the Company shall bind its successors and assigns, whether so expressed or not.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 Clause</w:t>
      </w:r>
      <w:r>
        <w:rPr>
          <w:rFonts w:ascii="Times New Roman" w:cs="Times New Roman" w:eastAsia="Times New Roman" w:hAnsi="Times New Roman"/>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Limited Liability; Immunity of Stockholders, Directors, Officers and Agents of the Company</w:t>
      </w:r>
      <w:r>
        <w:rPr>
          <w:rFonts w:ascii="Times New Roman" w:cs="Times New Roman" w:eastAsia="Times New Roman" w:hAnsi="Times New Roman"/>
          <w:sz w:val="18"/>
          <w:szCs w:val="18"/>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TWO - SECURITIES FORMS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of Securities</w:t>
      </w:r>
      <w:r>
        <w:rPr>
          <w:rFonts w:ascii="Times New Roman" w:cs="Times New Roman" w:eastAsia="Times New Roman" w:hAnsi="Times New Roman"/>
          <w:sz w:val="18"/>
          <w:szCs w:val="18"/>
          <w:color w:val="auto"/>
        </w:rPr>
        <w:t xml:space="preserve">. The Registered Securities, if any, of each series and the Bearer Securities, if any, of each series and related coupons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as contemplated by Section 301, Bearer Securities shall have interest coupons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Subject to Section 611, the Trustee’s certificate of authentication shall be in substantially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25"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Securities Issuable in Global Form</w:t>
      </w:r>
      <w:r>
        <w:rPr>
          <w:rFonts w:ascii="Times New Roman" w:cs="Times New Roman" w:eastAsia="Times New Roman" w:hAnsi="Times New Roman"/>
          <w:sz w:val="18"/>
          <w:szCs w:val="18"/>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THREE - THE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which may be authenticated and delivered under this Indenture is unlimited.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76" w:lineRule="exact"/>
        <w:rPr>
          <w:sz w:val="20"/>
          <w:szCs w:val="20"/>
          <w:color w:val="auto"/>
        </w:rPr>
      </w:pPr>
    </w:p>
    <w:p>
      <w:pPr>
        <w:ind w:left="660" w:right="20" w:firstLine="644"/>
        <w:spacing w:after="0" w:line="282" w:lineRule="auto"/>
        <w:tabs>
          <w:tab w:leader="none" w:pos="15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including “CUSIP” numbers (which shall distinguish the Securities of such series from all other series of Securities);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Preferred Stock or the method by which any such portion shall be determined;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5" w:name="page76"/>
    <w:bookmarkEnd w:id="75"/>
    <w:p>
      <w:pPr>
        <w:ind w:left="-460" w:firstLine="644"/>
        <w:spacing w:after="0" w:line="282"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on which the principal of such Securities will be payable;</w:t>
      </w:r>
    </w:p>
    <w:p>
      <w:pPr>
        <w:spacing w:after="0" w:line="225" w:lineRule="exact"/>
        <w:rPr>
          <w:rFonts w:ascii="Times New Roman" w:cs="Times New Roman" w:eastAsia="Times New Roman" w:hAnsi="Times New Roman"/>
          <w:sz w:val="18"/>
          <w:szCs w:val="18"/>
          <w:color w:val="auto"/>
        </w:rPr>
      </w:pPr>
    </w:p>
    <w:p>
      <w:pPr>
        <w:ind w:left="-460" w:firstLine="644"/>
        <w:spacing w:after="0" w:line="282"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or the method by which such rate or rates shall be determined, at which such Securities will bear interest, if any;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Make-Whole Amount, if any, or method for determining the Make-Whole Amount, if any, payable with respect to such Securities, and the terms upon which such amount, if any, will be payable;</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5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5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76" w:name="page77"/>
    <w:bookmarkEnd w:id="76"/>
    <w:p>
      <w:pPr>
        <w:jc w:val="both"/>
        <w:ind w:firstLine="644"/>
        <w:spacing w:after="0" w:line="261" w:lineRule="auto"/>
        <w:tabs>
          <w:tab w:leader="none" w:pos="10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9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88" w:lineRule="exact"/>
        <w:rPr>
          <w:rFonts w:ascii="Times New Roman" w:cs="Times New Roman" w:eastAsia="Times New Roman" w:hAnsi="Times New Roman"/>
          <w:sz w:val="18"/>
          <w:szCs w:val="18"/>
          <w:color w:val="auto"/>
        </w:rPr>
      </w:pPr>
    </w:p>
    <w:p>
      <w:pPr>
        <w:ind w:left="1000" w:hanging="356"/>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w:t>
      </w:r>
    </w:p>
    <w:p>
      <w:pPr>
        <w:spacing w:after="0" w:line="206" w:lineRule="exact"/>
        <w:rPr>
          <w:rFonts w:ascii="Times New Roman" w:cs="Times New Roman" w:eastAsia="Times New Roman" w:hAnsi="Times New Roman"/>
          <w:sz w:val="18"/>
          <w:szCs w:val="18"/>
          <w:color w:val="auto"/>
        </w:rPr>
      </w:pPr>
    </w:p>
    <w:p>
      <w:pPr>
        <w:ind w:firstLine="644"/>
        <w:spacing w:after="0" w:line="282" w:lineRule="auto"/>
        <w:tabs>
          <w:tab w:leader="none" w:pos="9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0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75" w:lineRule="exact"/>
        <w:rPr>
          <w:rFonts w:ascii="Times New Roman" w:cs="Times New Roman" w:eastAsia="Times New Roman" w:hAnsi="Times New Roman"/>
          <w:sz w:val="18"/>
          <w:szCs w:val="18"/>
          <w:color w:val="auto"/>
        </w:rPr>
      </w:pPr>
    </w:p>
    <w:p>
      <w:pPr>
        <w:jc w:val="both"/>
        <w:ind w:firstLine="644"/>
        <w:spacing w:after="0" w:line="254" w:lineRule="auto"/>
        <w:tabs>
          <w:tab w:leader="none" w:pos="99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877" w:right="339" w:bottom="1440" w:gutter="0" w:footer="0" w:header="0"/>
        </w:sectPr>
      </w:pPr>
    </w:p>
    <w:bookmarkStart w:id="77" w:name="page78"/>
    <w:bookmarkEnd w:id="77"/>
    <w:p>
      <w:pPr>
        <w:ind w:left="660" w:right="20" w:firstLine="644"/>
        <w:spacing w:after="0" w:line="282" w:lineRule="auto"/>
        <w:tabs>
          <w:tab w:leader="none" w:pos="166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5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that the manner of determining such Person or making such payment shall be acceptable to the Trustee (as not imposing on it any undue administrative burden or risk of liability);</w:t>
      </w:r>
    </w:p>
    <w:p>
      <w:pPr>
        <w:spacing w:after="0" w:line="188"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of Article Fourteen hereof to the Securities of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6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this Indenture).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connection with its original issuance, no Bearer Security shall be mailed or otherwise delivered to any location in the United States;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83" w:lineRule="exact"/>
        <w:rPr>
          <w:sz w:val="20"/>
          <w:szCs w:val="20"/>
          <w:color w:val="auto"/>
        </w:rPr>
      </w:pPr>
    </w:p>
    <w:p>
      <w:pPr>
        <w:ind w:left="2160" w:hanging="208"/>
        <w:spacing w:after="0"/>
        <w:tabs>
          <w:tab w:leader="none" w:pos="21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w:t>
      </w:r>
    </w:p>
    <w:p>
      <w:pPr>
        <w:spacing w:after="0" w:line="225" w:lineRule="exact"/>
        <w:rPr>
          <w:rFonts w:ascii="Times New Roman" w:cs="Times New Roman" w:eastAsia="Times New Roman" w:hAnsi="Times New Roman"/>
          <w:sz w:val="18"/>
          <w:szCs w:val="18"/>
          <w:color w:val="auto"/>
        </w:rPr>
      </w:pPr>
    </w:p>
    <w:p>
      <w:pPr>
        <w:ind w:left="1960" w:right="20" w:firstLine="640"/>
        <w:spacing w:after="0" w:line="282" w:lineRule="auto"/>
        <w:tabs>
          <w:tab w:leader="none" w:pos="286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such Securities and any coupons have been established in conformity with the provisions of this Indenture;</w:t>
      </w:r>
    </w:p>
    <w:p>
      <w:pPr>
        <w:spacing w:after="0" w:line="161" w:lineRule="exact"/>
        <w:rPr>
          <w:rFonts w:ascii="Times New Roman" w:cs="Times New Roman" w:eastAsia="Times New Roman" w:hAnsi="Times New Roman"/>
          <w:sz w:val="18"/>
          <w:szCs w:val="18"/>
          <w:color w:val="auto"/>
        </w:rPr>
      </w:pPr>
    </w:p>
    <w:p>
      <w:pPr>
        <w:ind w:left="1960" w:firstLine="640"/>
        <w:spacing w:after="0" w:line="282" w:lineRule="auto"/>
        <w:tabs>
          <w:tab w:leader="none" w:pos="289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Securities and any coupons have been established in conformity with the provisions of this Indenture; and</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55" w:lineRule="auto"/>
        <w:tabs>
          <w:tab w:leader="none" w:pos="288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89" w:lineRule="exact"/>
        <w:rPr>
          <w:sz w:val="20"/>
          <w:szCs w:val="20"/>
          <w:color w:val="auto"/>
        </w:rPr>
      </w:pPr>
    </w:p>
    <w:p>
      <w:pPr>
        <w:jc w:val="both"/>
        <w:ind w:left="1300" w:firstLine="652"/>
        <w:spacing w:after="0" w:line="266" w:lineRule="auto"/>
        <w:tabs>
          <w:tab w:leader="none" w:pos="2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Registered Security shall be dated the date of its authentication and each Bearer Security shall be dated as of the date specified as contemplated by Section 301.</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definitive Bearer Security shall be delivered in exchange for a temporary Registered Security;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1" w:name="page82"/>
    <w:bookmarkEnd w:id="81"/>
    <w:p>
      <w:pPr>
        <w:jc w:val="both"/>
        <w:ind w:firstLine="1304"/>
        <w:spacing w:after="0" w:line="258" w:lineRule="auto"/>
        <w:tabs>
          <w:tab w:leader="none" w:pos="157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 as may be established pursuant to Section 301;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definitive Bearer Securities shall be delivered in exchange for a portion of a temporary Global Security only in compliance with the requirements of Section 303.</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3" w:name="page84"/>
    <w:bookmarkEnd w:id="8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Conversion and Exchange</w:t>
      </w:r>
      <w:r>
        <w:rPr>
          <w:rFonts w:ascii="Times New Roman" w:cs="Times New Roman" w:eastAsia="Times New Roman" w:hAnsi="Times New Roman"/>
          <w:sz w:val="18"/>
          <w:szCs w:val="18"/>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4" w:name="page85"/>
    <w:bookmarkEnd w:id="8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5" w:name="page86"/>
    <w:bookmarkEnd w:id="8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w:t>
      </w:r>
    </w:p>
    <w:p>
      <w:pPr>
        <w:spacing w:after="0" w:line="3" w:lineRule="exact"/>
        <w:rPr>
          <w:sz w:val="20"/>
          <w:szCs w:val="20"/>
          <w:color w:val="auto"/>
        </w:rPr>
      </w:pPr>
    </w:p>
    <w:p>
      <w:pPr>
        <w:jc w:val="both"/>
        <w:ind w:firstLine="8"/>
        <w:spacing w:after="0" w:line="253" w:lineRule="auto"/>
        <w:tabs>
          <w:tab w:leader="none" w:pos="28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6" w:name="page87"/>
    <w:bookmarkEnd w:id="8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Interest Rights Preserved</w:t>
      </w:r>
      <w:r>
        <w:rPr>
          <w:rFonts w:ascii="Times New Roman" w:cs="Times New Roman" w:eastAsia="Times New Roman" w:hAnsi="Times New Roman"/>
          <w:sz w:val="18"/>
          <w:szCs w:val="18"/>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8" w:name="page89"/>
    <w:bookmarkEnd w:id="8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80" w:lineRule="exact"/>
        <w:rPr>
          <w:sz w:val="20"/>
          <w:szCs w:val="20"/>
          <w:color w:val="auto"/>
        </w:rPr>
      </w:pPr>
    </w:p>
    <w:p>
      <w:pPr>
        <w:jc w:val="both"/>
        <w:ind w:left="660" w:firstLine="644"/>
        <w:spacing w:after="0" w:line="251" w:lineRule="auto"/>
        <w:tabs>
          <w:tab w:leader="none" w:pos="15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9" w:name="page90"/>
    <w:bookmarkEnd w:id="89"/>
    <w:p>
      <w:pPr>
        <w:jc w:val="both"/>
        <w:ind w:left="660" w:firstLine="644"/>
        <w:spacing w:after="0" w:line="261" w:lineRule="auto"/>
        <w:tabs>
          <w:tab w:leader="none" w:pos="156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0" w:name="page91"/>
    <w:bookmarkEnd w:id="9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xml:space="preserve">. 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ARTICLE FOUR - SATISFACTION AND DISCHARGE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83" w:lineRule="exact"/>
        <w:rPr>
          <w:sz w:val="20"/>
          <w:szCs w:val="20"/>
          <w:color w:val="auto"/>
        </w:rPr>
      </w:pPr>
    </w:p>
    <w:p>
      <w:pPr>
        <w:ind w:left="1560" w:hanging="256"/>
        <w:spacing w:after="0"/>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and all coupons, if any, appertaining thereto (other than</w:t>
      </w:r>
    </w:p>
    <w:p>
      <w:pPr>
        <w:spacing w:after="0" w:line="27"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88" w:lineRule="exact"/>
        <w:rPr>
          <w:rFonts w:ascii="Times New Roman" w:cs="Times New Roman" w:eastAsia="Times New Roman" w:hAnsi="Times New Roman"/>
          <w:sz w:val="18"/>
          <w:szCs w:val="18"/>
          <w:color w:val="auto"/>
        </w:rPr>
      </w:pPr>
    </w:p>
    <w:p>
      <w:pPr>
        <w:ind w:left="1300" w:firstLine="652"/>
        <w:spacing w:after="0" w:line="282" w:lineRule="auto"/>
        <w:tabs>
          <w:tab w:leader="none" w:pos="223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and, in the case of (i) or (ii) below, any coupons appertaining thereto not theretofore delivered to the Trustee for cancellation</w:t>
      </w:r>
    </w:p>
    <w:p>
      <w:pPr>
        <w:spacing w:after="0" w:line="162" w:lineRule="exact"/>
        <w:rPr>
          <w:sz w:val="20"/>
          <w:szCs w:val="20"/>
          <w:color w:val="auto"/>
        </w:rPr>
      </w:pPr>
    </w:p>
    <w:p>
      <w:pPr>
        <w:ind w:left="2160" w:hanging="208"/>
        <w:spacing w:after="0"/>
        <w:tabs>
          <w:tab w:leader="none" w:pos="2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2" w:name="page93"/>
    <w:bookmarkEnd w:id="92"/>
    <w:p>
      <w:pPr>
        <w:ind w:left="1560" w:hanging="256"/>
        <w:spacing w:after="0"/>
        <w:tabs>
          <w:tab w:leader="none" w:pos="15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9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Application of Trust Funds</w:t>
      </w:r>
      <w:r>
        <w:rPr>
          <w:rFonts w:ascii="Times New Roman" w:cs="Times New Roman" w:eastAsia="Times New Roman" w:hAnsi="Times New Roman"/>
          <w:sz w:val="18"/>
          <w:szCs w:val="18"/>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FIVE - REMEDIES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left="660" w:firstLine="644"/>
        <w:spacing w:after="0" w:line="282" w:lineRule="auto"/>
        <w:tabs>
          <w:tab w:leader="none" w:pos="158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9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or Make-Whole Amount, if any, on) any Security of that series when it becomes due and payable at its Maturity;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3" w:name="page94"/>
    <w:bookmarkEnd w:id="93"/>
    <w:p>
      <w:pPr>
        <w:ind w:left="-460" w:right="20" w:firstLine="644"/>
        <w:spacing w:after="0" w:line="282" w:lineRule="auto"/>
        <w:tabs>
          <w:tab w:leader="none" w:pos="4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to the extent applicable to such series of Securities, when and as due by the terms of any Security of that series; or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87"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 or</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94" w:name="page95"/>
    <w:bookmarkEnd w:id="94"/>
    <w:p>
      <w:pPr>
        <w:ind w:left="2240" w:hanging="288"/>
        <w:spacing w:after="0"/>
        <w:tabs>
          <w:tab w:leader="none" w:pos="22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Significant Subsidiary in an involuntary case,</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Significant Subsidiary or for all or substantially all of either of its property, or</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3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or any Significant Subsidiary, and the order or decree remains unstayed and in effect for 90 days;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80" w:lineRule="exact"/>
        <w:rPr>
          <w:sz w:val="20"/>
          <w:szCs w:val="20"/>
          <w:color w:val="auto"/>
        </w:rPr>
      </w:pPr>
    </w:p>
    <w:p>
      <w:pPr>
        <w:ind w:left="660" w:firstLine="644"/>
        <w:spacing w:after="0" w:line="282" w:lineRule="auto"/>
        <w:tabs>
          <w:tab w:leader="none" w:pos="157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on all Outstanding Securities of that series and any related coupons,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5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5" w:name="page96"/>
    <w:bookmarkEnd w:id="95"/>
    <w:p>
      <w:pPr>
        <w:ind w:left="1300" w:right="20" w:firstLine="652"/>
        <w:spacing w:after="0" w:line="282" w:lineRule="auto"/>
        <w:tabs>
          <w:tab w:leader="none" w:pos="224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installments of interest at the rate or rates borne by or provided for in such Securities, and</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8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 The Company covenants that if:</w:t>
      </w:r>
    </w:p>
    <w:p>
      <w:pPr>
        <w:spacing w:after="0" w:line="225" w:lineRule="exact"/>
        <w:rPr>
          <w:sz w:val="20"/>
          <w:szCs w:val="20"/>
          <w:color w:val="auto"/>
        </w:rPr>
      </w:pPr>
    </w:p>
    <w:p>
      <w:pPr>
        <w:ind w:left="660" w:firstLine="644"/>
        <w:spacing w:after="0" w:line="282" w:lineRule="auto"/>
        <w:tabs>
          <w:tab w:leader="none" w:pos="156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or Make-Whole Amount, if any, on) any Security of any series at its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6" w:name="page97"/>
    <w:bookmarkEnd w:id="9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87" w:lineRule="exact"/>
        <w:rPr>
          <w:sz w:val="20"/>
          <w:szCs w:val="20"/>
          <w:color w:val="auto"/>
        </w:rPr>
      </w:pPr>
    </w:p>
    <w:p>
      <w:pPr>
        <w:jc w:val="both"/>
        <w:ind w:left="1300" w:firstLine="652"/>
        <w:spacing w:after="0" w:line="258" w:lineRule="auto"/>
        <w:tabs>
          <w:tab w:leader="none" w:pos="21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83"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7" w:name="page98"/>
    <w:bookmarkEnd w:id="9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Trustee May Enforce Claims Without Possession of Securities or Coupons</w:t>
      </w:r>
      <w:r>
        <w:rPr>
          <w:rFonts w:ascii="Times New Roman" w:cs="Times New Roman" w:eastAsia="Times New Roman" w:hAnsi="Times New Roman"/>
          <w:sz w:val="18"/>
          <w:szCs w:val="18"/>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and any predecessor Trustee under Section 606;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such Holder has previously given written notice to the Trustee of a continuing Event of Default with respect to the Securities of that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left="660" w:firstLine="644"/>
        <w:spacing w:after="0" w:line="282" w:lineRule="auto"/>
        <w:tabs>
          <w:tab w:leader="none" w:pos="15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reasonably satisfactory to the Trustee against the costs, expenses and liabilities to be incurred in compliance with such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ind w:left="1560" w:hanging="256"/>
        <w:spacing w:after="0"/>
        <w:tabs>
          <w:tab w:leader="none" w:pos="1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8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Unconditional Right of Holders to Receive Principal, Premium or Make-Whole Amount, if any, and Interest</w:t>
      </w:r>
      <w:r>
        <w:rPr>
          <w:rFonts w:ascii="Times New Roman" w:cs="Times New Roman" w:eastAsia="Times New Roman" w:hAnsi="Times New Roman"/>
          <w:sz w:val="18"/>
          <w:szCs w:val="18"/>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Control by Holders of Securities</w:t>
      </w:r>
      <w:r>
        <w:rPr>
          <w:rFonts w:ascii="Times New Roman" w:cs="Times New Roman" w:eastAsia="Times New Roman" w:hAnsi="Times New Roman"/>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ind w:left="1560" w:hanging="256"/>
        <w:spacing w:after="0"/>
        <w:tabs>
          <w:tab w:leader="none" w:pos="1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which might involve it in personal liability or be unduly prejudicial to the Holders of Securities of such series not joining therein.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Nothing in this Indenture shall impair the right of the Trustee in its discretion to take any action deemed proper by the Trustee and which is not inconsistent with such direction by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76" w:lineRule="exact"/>
        <w:rPr>
          <w:sz w:val="20"/>
          <w:szCs w:val="20"/>
          <w:color w:val="auto"/>
        </w:rPr>
      </w:pPr>
    </w:p>
    <w:p>
      <w:pPr>
        <w:ind w:left="660" w:firstLine="644"/>
        <w:spacing w:after="0" w:line="282" w:lineRule="auto"/>
        <w:tabs>
          <w:tab w:leader="none" w:pos="15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Make-Whole Amount, if any) or interest on any Security of such series or any related coupons,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Nine cannot be modified or amended without the consent of the Holder of each Outstanding Security of such series affected;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Waiver of Usury, Stay or Extension Laws</w:t>
      </w:r>
      <w:r>
        <w:rPr>
          <w:rFonts w:ascii="Times New Roman" w:cs="Times New Roman" w:eastAsia="Times New Roman" w:hAnsi="Times New Roman"/>
          <w:sz w:val="18"/>
          <w:szCs w:val="18"/>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0" w:name="page101"/>
    <w:bookmarkEnd w:id="10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SIX - THE TRUSTEE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 Subject to the provisions of TIA Section 315(a) through 315(d):</w:t>
      </w:r>
    </w:p>
    <w:p>
      <w:pPr>
        <w:spacing w:after="0" w:line="225" w:lineRule="exact"/>
        <w:rPr>
          <w:sz w:val="20"/>
          <w:szCs w:val="20"/>
          <w:color w:val="auto"/>
        </w:rPr>
      </w:pPr>
    </w:p>
    <w:p>
      <w:pPr>
        <w:jc w:val="both"/>
        <w:ind w:firstLine="644"/>
        <w:spacing w:after="0" w:line="261" w:lineRule="auto"/>
        <w:tabs>
          <w:tab w:leader="none" w:pos="9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90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1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90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79" w:lineRule="exact"/>
        <w:rPr>
          <w:rFonts w:ascii="Times New Roman" w:cs="Times New Roman" w:eastAsia="Times New Roman" w:hAnsi="Times New Roman"/>
          <w:sz w:val="18"/>
          <w:szCs w:val="18"/>
          <w:color w:val="auto"/>
        </w:rPr>
      </w:pPr>
    </w:p>
    <w:p>
      <w:pPr>
        <w:jc w:val="both"/>
        <w:ind w:firstLine="644"/>
        <w:spacing w:after="0" w:line="253" w:lineRule="auto"/>
        <w:tabs>
          <w:tab w:leader="none" w:pos="92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309" w:right="339" w:bottom="1440" w:gutter="0" w:footer="0" w:header="0"/>
        </w:sectPr>
      </w:pPr>
    </w:p>
    <w:bookmarkStart w:id="102" w:name="page103"/>
    <w:bookmarkEnd w:id="102"/>
    <w:p>
      <w:pPr>
        <w:jc w:val="both"/>
        <w:ind w:left="660" w:firstLine="644"/>
        <w:spacing w:after="0" w:line="266" w:lineRule="auto"/>
        <w:tabs>
          <w:tab w:leader="none" w:pos="156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9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 or power available to the Trustee under this Indenture or any supplement hereto shall not be construed to be a mandatory duty or obligation;</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charged with knowledge of any matter (including any default, other than as described in Section 501(1),</w:t>
      </w:r>
    </w:p>
    <w:p>
      <w:pPr>
        <w:spacing w:after="0" w:line="27" w:lineRule="exact"/>
        <w:rPr>
          <w:rFonts w:ascii="Times New Roman" w:cs="Times New Roman" w:eastAsia="Times New Roman" w:hAnsi="Times New Roman"/>
          <w:sz w:val="18"/>
          <w:szCs w:val="18"/>
          <w:color w:val="auto"/>
        </w:rPr>
      </w:pPr>
    </w:p>
    <w:p>
      <w:pPr>
        <w:ind w:left="660" w:right="20" w:hanging="4"/>
        <w:spacing w:after="0" w:line="260" w:lineRule="auto"/>
        <w:tabs>
          <w:tab w:leader="none" w:pos="9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(3)) unless and except to the extent actually known to a Responsible Officer of the Trustee or to the extent written notice thereof is received by the Trustee at the Corporate Trust Office;</w:t>
      </w:r>
    </w:p>
    <w:p>
      <w:pPr>
        <w:spacing w:after="0" w:line="181" w:lineRule="exact"/>
        <w:rPr>
          <w:rFonts w:ascii="Times New Roman" w:cs="Times New Roman" w:eastAsia="Times New Roman" w:hAnsi="Times New Roman"/>
          <w:sz w:val="18"/>
          <w:szCs w:val="18"/>
          <w:color w:val="auto"/>
        </w:rPr>
      </w:pPr>
    </w:p>
    <w:p>
      <w:pPr>
        <w:ind w:left="660" w:firstLine="644"/>
        <w:spacing w:after="0" w:line="282" w:lineRule="auto"/>
        <w:tabs>
          <w:tab w:leader="none" w:pos="164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9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7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 The Company agrees:</w:t>
      </w:r>
    </w:p>
    <w:p>
      <w:pPr>
        <w:spacing w:after="0" w:line="225" w:lineRule="exact"/>
        <w:rPr>
          <w:sz w:val="20"/>
          <w:szCs w:val="20"/>
          <w:color w:val="auto"/>
        </w:rPr>
      </w:pPr>
    </w:p>
    <w:p>
      <w:pPr>
        <w:ind w:left="660" w:right="20" w:firstLine="644"/>
        <w:spacing w:after="0" w:line="282" w:lineRule="auto"/>
        <w:tabs>
          <w:tab w:leader="none" w:pos="15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Trustee Required; Eligibility; Conflicting Interests</w:t>
      </w:r>
      <w:r>
        <w:rPr>
          <w:rFonts w:ascii="Times New Roman" w:cs="Times New Roman" w:eastAsia="Times New Roman" w:hAnsi="Times New Roman"/>
          <w:sz w:val="18"/>
          <w:szCs w:val="18"/>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5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ind w:left="1300"/>
        <w:spacing w:after="0"/>
        <w:rPr>
          <w:sz w:val="20"/>
          <w:szCs w:val="20"/>
          <w:color w:val="auto"/>
        </w:rPr>
      </w:pPr>
      <w:r>
        <w:rPr>
          <w:rFonts w:ascii="Times New Roman" w:cs="Times New Roman" w:eastAsia="Times New Roman" w:hAnsi="Times New Roman"/>
          <w:sz w:val="18"/>
          <w:szCs w:val="18"/>
          <w:color w:val="auto"/>
        </w:rPr>
        <w:t>(d) If at any time:</w:t>
      </w:r>
    </w:p>
    <w:p>
      <w:pPr>
        <w:spacing w:after="0" w:line="225" w:lineRule="exact"/>
        <w:rPr>
          <w:sz w:val="20"/>
          <w:szCs w:val="20"/>
          <w:color w:val="auto"/>
        </w:rPr>
      </w:pPr>
    </w:p>
    <w:p>
      <w:pPr>
        <w:ind w:left="660" w:firstLine="644"/>
        <w:spacing w:after="0" w:line="282" w:lineRule="auto"/>
        <w:tabs>
          <w:tab w:leader="none" w:pos="157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0" w:lineRule="exact"/>
        <w:rPr>
          <w:sz w:val="20"/>
          <w:szCs w:val="20"/>
          <w:color w:val="auto"/>
        </w:rPr>
      </w:pPr>
    </w:p>
    <w:p>
      <w:pPr>
        <w:jc w:val="both"/>
        <w:ind w:firstLine="1304"/>
        <w:spacing w:after="0" w:line="253" w:lineRule="auto"/>
        <w:tabs>
          <w:tab w:leader="none" w:pos="167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64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7" w:name="page108"/>
    <w:bookmarkEnd w:id="10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8" w:name="page109"/>
    <w:bookmarkEnd w:id="10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0660" w:type="dxa"/>
            <w:vAlign w:val="bottom"/>
            <w:gridSpan w:val="3"/>
          </w:tcPr>
          <w:p>
            <w:pPr>
              <w:jc w:val="right"/>
              <w:ind w:right="281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tc>
      </w:tr>
      <w:tr>
        <w:trPr>
          <w:trHeight w:val="432"/>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Trustee,</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040" w:type="dxa"/>
            <w:vAlign w:val="bottom"/>
          </w:tcPr>
          <w:p>
            <w:pPr>
              <w:spacing w:after="0"/>
              <w:rPr>
                <w:sz w:val="24"/>
                <w:szCs w:val="24"/>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8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040" w:type="dxa"/>
            <w:vAlign w:val="bottom"/>
          </w:tcPr>
          <w:p>
            <w:pPr>
              <w:spacing w:after="0"/>
              <w:rPr>
                <w:sz w:val="24"/>
                <w:szCs w:val="24"/>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80" w:type="dxa"/>
            <w:vAlign w:val="bottom"/>
          </w:tcPr>
          <w:p>
            <w:pPr>
              <w:spacing w:after="0"/>
              <w:rPr>
                <w:sz w:val="20"/>
                <w:szCs w:val="20"/>
                <w:color w:val="auto"/>
              </w:rPr>
            </w:pPr>
          </w:p>
        </w:tc>
        <w:tc>
          <w:tcPr>
            <w:tcW w:w="404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r>
        <w:trPr>
          <w:trHeight w:val="853"/>
        </w:trPr>
        <w:tc>
          <w:tcPr>
            <w:tcW w:w="580" w:type="dxa"/>
            <w:vAlign w:val="bottom"/>
            <w:tcBorders>
              <w:bottom w:val="single" w:sz="8" w:color="auto"/>
            </w:tcBorders>
          </w:tcPr>
          <w:p>
            <w:pPr>
              <w:spacing w:after="0"/>
              <w:rPr>
                <w:sz w:val="24"/>
                <w:szCs w:val="24"/>
                <w:color w:val="auto"/>
              </w:rPr>
            </w:pPr>
          </w:p>
        </w:tc>
        <w:tc>
          <w:tcPr>
            <w:tcW w:w="10660" w:type="dxa"/>
            <w:vAlign w:val="bottom"/>
            <w:tcBorders>
              <w:bottom w:val="single" w:sz="8" w:color="auto"/>
            </w:tcBorders>
            <w:gridSpan w:val="3"/>
          </w:tcPr>
          <w:p>
            <w:pPr>
              <w:jc w:val="right"/>
              <w:ind w:right="5430"/>
              <w:spacing w:after="0"/>
              <w:rPr>
                <w:sz w:val="20"/>
                <w:szCs w:val="20"/>
                <w:color w:val="auto"/>
              </w:rPr>
            </w:pPr>
            <w:r>
              <w:rPr>
                <w:rFonts w:ascii="Times New Roman" w:cs="Times New Roman" w:eastAsia="Times New Roman" w:hAnsi="Times New Roman"/>
                <w:sz w:val="18"/>
                <w:szCs w:val="18"/>
                <w:color w:val="auto"/>
              </w:rPr>
              <w:t>52</w:t>
            </w:r>
          </w:p>
        </w:tc>
      </w:tr>
    </w:tbl>
    <w:p>
      <w:pPr>
        <w:sectPr>
          <w:pgSz w:w="11900" w:h="16838" w:orient="portrait"/>
          <w:cols w:equalWidth="0" w:num="1">
            <w:col w:w="11240"/>
          </w:cols>
          <w:pgMar w:left="320" w:top="877"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Certain Duties and Responsibilities of the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With respect to the Securities of any series, except during the continuance of an Event of Default with respect to the Securities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left="660" w:firstLine="644"/>
        <w:spacing w:after="0" w:line="282" w:lineRule="auto"/>
        <w:tabs>
          <w:tab w:leader="none" w:pos="158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3" w:lineRule="exact"/>
        <w:rPr>
          <w:sz w:val="20"/>
          <w:szCs w:val="20"/>
          <w:color w:val="auto"/>
        </w:rPr>
      </w:pPr>
    </w:p>
    <w:p>
      <w:pPr>
        <w:jc w:val="both"/>
        <w:ind w:firstLine="1304"/>
        <w:spacing w:after="0" w:line="266" w:lineRule="auto"/>
        <w:tabs>
          <w:tab w:leader="none" w:pos="15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left="1560" w:hanging="256"/>
        <w:spacing w:after="0"/>
        <w:tabs>
          <w:tab w:leader="none" w:pos="1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ind w:firstLine="1304"/>
        <w:spacing w:after="0" w:line="282" w:lineRule="auto"/>
        <w:tabs>
          <w:tab w:leader="none" w:pos="155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6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SEVEN - HOLDERS’ LISTS AND REPORTS BY TRUSTEE AND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Disclosure of Names and Addresses of Holders</w:t>
      </w:r>
      <w:r>
        <w:rPr>
          <w:rFonts w:ascii="Times New Roman" w:cs="Times New Roman" w:eastAsia="Times New Roman" w:hAnsi="Times New Roman"/>
          <w:sz w:val="18"/>
          <w:szCs w:val="18"/>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 20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Company</w:t>
      </w:r>
      <w:r>
        <w:rPr>
          <w:rFonts w:ascii="Times New Roman" w:cs="Times New Roman" w:eastAsia="Times New Roman" w:hAnsi="Times New Roman"/>
          <w:sz w:val="18"/>
          <w:szCs w:val="18"/>
          <w:color w:val="auto"/>
        </w:rPr>
        <w:t>. The Company will:</w:t>
      </w:r>
    </w:p>
    <w:p>
      <w:pPr>
        <w:spacing w:after="0" w:line="225" w:lineRule="exact"/>
        <w:rPr>
          <w:sz w:val="20"/>
          <w:szCs w:val="20"/>
          <w:color w:val="auto"/>
        </w:rPr>
      </w:pPr>
    </w:p>
    <w:p>
      <w:pPr>
        <w:jc w:val="both"/>
        <w:ind w:left="660" w:firstLine="644"/>
        <w:spacing w:after="0" w:line="254" w:lineRule="auto"/>
        <w:tabs>
          <w:tab w:leader="none" w:pos="15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1" w:name="page112"/>
    <w:bookmarkEnd w:id="111"/>
    <w:p>
      <w:pPr>
        <w:jc w:val="both"/>
        <w:ind w:left="660" w:firstLine="644"/>
        <w:spacing w:after="0" w:line="266" w:lineRule="auto"/>
        <w:tabs>
          <w:tab w:leader="none" w:pos="157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 Trustee:</w:t>
      </w:r>
    </w:p>
    <w:p>
      <w:pPr>
        <w:spacing w:after="0" w:line="225" w:lineRule="exact"/>
        <w:rPr>
          <w:sz w:val="20"/>
          <w:szCs w:val="20"/>
          <w:color w:val="auto"/>
        </w:rPr>
      </w:pPr>
    </w:p>
    <w:p>
      <w:pPr>
        <w:jc w:val="both"/>
        <w:ind w:firstLine="1304"/>
        <w:spacing w:after="0" w:line="261" w:lineRule="auto"/>
        <w:tabs>
          <w:tab w:leader="none" w:pos="15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the Trustee is the Security Registrar, no such list shall be required to be furnished.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EIGHT - CONSOLIDATION, MERGER, SALE, LEASE OR CONVEYANCE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Consolidations and Mergers of Company and Sales, Leases and Conveyances Permitted Subject to Certain Conditions</w:t>
      </w:r>
      <w:r>
        <w:rPr>
          <w:rFonts w:ascii="Times New Roman" w:cs="Times New Roman" w:eastAsia="Times New Roman" w:hAnsi="Times New Roman"/>
          <w:sz w:val="18"/>
          <w:szCs w:val="18"/>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2" w:name="page113"/>
    <w:bookmarkEnd w:id="1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and Duties of Successor Corporation</w:t>
      </w:r>
      <w:r>
        <w:rPr>
          <w:rFonts w:ascii="Times New Roman" w:cs="Times New Roman" w:eastAsia="Times New Roman" w:hAnsi="Times New Roman"/>
          <w:sz w:val="18"/>
          <w:szCs w:val="18"/>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Officers’ Certificate and Opinion of Counsel</w:t>
      </w:r>
      <w:r>
        <w:rPr>
          <w:rFonts w:ascii="Times New Roman" w:cs="Times New Roman" w:eastAsia="Times New Roman" w:hAnsi="Times New Roman"/>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NINE - SUPPLEMENTAL INDENTURES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76" w:lineRule="exact"/>
        <w:rPr>
          <w:sz w:val="20"/>
          <w:szCs w:val="20"/>
          <w:color w:val="auto"/>
        </w:rPr>
      </w:pPr>
    </w:p>
    <w:p>
      <w:pPr>
        <w:ind w:left="660" w:right="20" w:firstLine="644"/>
        <w:spacing w:after="0" w:line="282" w:lineRule="auto"/>
        <w:tabs>
          <w:tab w:leader="none" w:pos="15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contained herein and in the Securities;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jc w:val="both"/>
        <w:ind w:firstLine="644"/>
        <w:spacing w:after="0" w:line="266" w:lineRule="auto"/>
        <w:tabs>
          <w:tab w:leader="none" w:pos="9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75" w:lineRule="exact"/>
        <w:rPr>
          <w:rFonts w:ascii="Times New Roman" w:cs="Times New Roman" w:eastAsia="Times New Roman" w:hAnsi="Times New Roman"/>
          <w:sz w:val="18"/>
          <w:szCs w:val="18"/>
          <w:color w:val="auto"/>
        </w:rPr>
      </w:pPr>
    </w:p>
    <w:p>
      <w:pPr>
        <w:jc w:val="both"/>
        <w:ind w:firstLine="644"/>
        <w:spacing w:after="0" w:line="255" w:lineRule="auto"/>
        <w:tabs>
          <w:tab w:leader="none" w:pos="91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88" w:lineRule="exact"/>
        <w:rPr>
          <w:rFonts w:ascii="Times New Roman" w:cs="Times New Roman" w:eastAsia="Times New Roman" w:hAnsi="Times New Roman"/>
          <w:sz w:val="18"/>
          <w:szCs w:val="18"/>
          <w:color w:val="auto"/>
        </w:rPr>
      </w:pPr>
    </w:p>
    <w:p>
      <w:pPr>
        <w:jc w:val="both"/>
        <w:ind w:firstLine="644"/>
        <w:spacing w:after="0" w:line="258" w:lineRule="auto"/>
        <w:tabs>
          <w:tab w:leader="none" w:pos="92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any series or any related coupons in any material respect; or</w:t>
      </w:r>
    </w:p>
    <w:p>
      <w:pPr>
        <w:spacing w:after="0" w:line="183" w:lineRule="exact"/>
        <w:rPr>
          <w:rFonts w:ascii="Times New Roman" w:cs="Times New Roman" w:eastAsia="Times New Roman" w:hAnsi="Times New Roman"/>
          <w:sz w:val="18"/>
          <w:szCs w:val="18"/>
          <w:color w:val="auto"/>
        </w:rPr>
      </w:pPr>
    </w:p>
    <w:p>
      <w:pPr>
        <w:jc w:val="both"/>
        <w:ind w:firstLine="644"/>
        <w:spacing w:after="0" w:line="266" w:lineRule="auto"/>
        <w:tabs>
          <w:tab w:leader="none" w:pos="91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or</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and any related coupons as permitted or contemplated by Sections 201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 or</w:t>
      </w:r>
    </w:p>
    <w:p>
      <w:pPr>
        <w:spacing w:after="0" w:line="206" w:lineRule="exact"/>
        <w:rPr>
          <w:rFonts w:ascii="Times New Roman" w:cs="Times New Roman" w:eastAsia="Times New Roman" w:hAnsi="Times New Roman"/>
          <w:sz w:val="18"/>
          <w:szCs w:val="18"/>
          <w:color w:val="auto"/>
        </w:rPr>
      </w:pPr>
    </w:p>
    <w:p>
      <w:pPr>
        <w:jc w:val="both"/>
        <w:ind w:firstLine="644"/>
        <w:spacing w:after="0" w:line="266" w:lineRule="auto"/>
        <w:tabs>
          <w:tab w:leader="none" w:pos="91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93" w:right="339" w:bottom="1440" w:gutter="0" w:footer="0" w:header="0"/>
        </w:sectPr>
      </w:pPr>
    </w:p>
    <w:bookmarkStart w:id="114" w:name="page115"/>
    <w:bookmarkEnd w:id="114"/>
    <w:p>
      <w:pPr>
        <w:jc w:val="both"/>
        <w:ind w:left="660" w:firstLine="644"/>
        <w:spacing w:after="0" w:line="261" w:lineRule="auto"/>
        <w:tabs>
          <w:tab w:leader="none" w:pos="15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provisions shall not adversely affect the interests of the Holders of Securities of any series or any related coupons in any material respect;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and any related coupons or any other series of Securities in any material respect; or</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Holders’ rights of conversion with respect to any series of Securities pursuant to Article Sixteen.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affected thereby:</w:t>
      </w:r>
    </w:p>
    <w:p>
      <w:pPr>
        <w:spacing w:after="0" w:line="187" w:lineRule="exact"/>
        <w:rPr>
          <w:sz w:val="20"/>
          <w:szCs w:val="20"/>
          <w:color w:val="auto"/>
        </w:rPr>
      </w:pPr>
    </w:p>
    <w:p>
      <w:pPr>
        <w:jc w:val="both"/>
        <w:ind w:left="660" w:firstLine="644"/>
        <w:spacing w:after="0" w:line="253" w:lineRule="auto"/>
        <w:tabs>
          <w:tab w:leader="none" w:pos="157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jc w:val="both"/>
        <w:ind w:left="660" w:firstLine="644"/>
        <w:spacing w:after="0" w:line="258" w:lineRule="auto"/>
        <w:tabs>
          <w:tab w:leader="none" w:pos="157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ARTICLE TEN - COVENANTS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Payment of Principal, Premium or Make-Whole Amount, if any; and Interest</w:t>
      </w:r>
      <w:r>
        <w:rPr>
          <w:rFonts w:ascii="Times New Roman" w:cs="Times New Roman" w:eastAsia="Times New Roman" w:hAnsi="Times New Roman"/>
          <w:sz w:val="18"/>
          <w:szCs w:val="18"/>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w:t>
      </w:r>
    </w:p>
    <w:p>
      <w:pPr>
        <w:spacing w:after="0" w:line="1" w:lineRule="exact"/>
        <w:rPr>
          <w:sz w:val="20"/>
          <w:szCs w:val="20"/>
          <w:color w:val="auto"/>
        </w:rPr>
      </w:pPr>
    </w:p>
    <w:p>
      <w:pPr>
        <w:jc w:val="both"/>
        <w:ind w:firstLine="8"/>
        <w:spacing w:after="0" w:line="251" w:lineRule="auto"/>
        <w:tabs>
          <w:tab w:leader="none" w:pos="29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62" w:lineRule="exact"/>
        <w:rPr>
          <w:sz w:val="20"/>
          <w:szCs w:val="20"/>
          <w:color w:val="auto"/>
        </w:rPr>
      </w:pPr>
    </w:p>
    <w:p>
      <w:pPr>
        <w:ind w:left="660" w:firstLine="644"/>
        <w:spacing w:after="0" w:line="282" w:lineRule="auto"/>
        <w:tabs>
          <w:tab w:leader="none" w:pos="157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Subject to Article Eight, the Company will do or cause to be done all things necessary to preserve and keep in full force and effect its corporate existence, all material rights (by certificate of incorporation, by-laws and statute) and material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The Company will cause all of its material properties used or useful in the conduct of its business 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its Subsidiaries shall not be prevented from (i) 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will cause each of its and its Subsidiaries’ insurable properties to be insured against loss or damage in an amount deemed reasonable by the Board of Directors with insurers of recognized responsibility.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Payment of Taxes and Other Claims</w:t>
      </w:r>
      <w:r>
        <w:rPr>
          <w:rFonts w:ascii="Times New Roman" w:cs="Times New Roman" w:eastAsia="Times New Roman" w:hAnsi="Times New Roman"/>
          <w:sz w:val="18"/>
          <w:szCs w:val="18"/>
          <w:color w:val="auto"/>
        </w:rPr>
        <w:t xml:space="preserve">. The Company will pay 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Statement as to Compliance</w:t>
      </w:r>
      <w:r>
        <w:rPr>
          <w:rFonts w:ascii="Times New Roman" w:cs="Times New Roman" w:eastAsia="Times New Roman" w:hAnsi="Times New Roman"/>
          <w:sz w:val="18"/>
          <w:szCs w:val="18"/>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Waiver of Certain Covenants</w:t>
      </w:r>
      <w:r>
        <w:rPr>
          <w:rFonts w:ascii="Times New Roman" w:cs="Times New Roman" w:eastAsia="Times New Roman" w:hAnsi="Times New Roman"/>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ELEVEN - REDEMPTION OF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225" w:lineRule="exact"/>
        <w:rPr>
          <w:sz w:val="20"/>
          <w:szCs w:val="20"/>
          <w:color w:val="auto"/>
        </w:rPr>
      </w:pPr>
    </w:p>
    <w:p>
      <w:pPr>
        <w:ind w:left="1560" w:hanging="256"/>
        <w:spacing w:after="0"/>
        <w:tabs>
          <w:tab w:leader="none" w:pos="15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accrued interest to the Redemption Date payable as provided in Section 1106, if 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2" w:name="page123"/>
    <w:bookmarkEnd w:id="122"/>
    <w:p>
      <w:pPr>
        <w:jc w:val="both"/>
        <w:ind w:left="660" w:right="20" w:firstLine="644"/>
        <w:spacing w:after="0" w:line="266" w:lineRule="auto"/>
        <w:tabs>
          <w:tab w:leader="none" w:pos="15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such Security, if any,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3" w:name="page124"/>
    <w:bookmarkEnd w:id="12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color w:val="auto"/>
        </w:rPr>
        <w:t>ARTICLE TWELVE - SINKING FUNDS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Repayment of Securities</w:t>
      </w:r>
      <w:r>
        <w:rPr>
          <w:rFonts w:ascii="Times New Roman" w:cs="Times New Roman" w:eastAsia="Times New Roman" w:hAnsi="Times New Roman"/>
          <w:sz w:val="18"/>
          <w:szCs w:val="18"/>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6" w:name="page127"/>
    <w:bookmarkEnd w:id="1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When Securities Presented for Repayment Become Due and Payable</w:t>
      </w:r>
      <w:r>
        <w:rPr>
          <w:rFonts w:ascii="Times New Roman" w:cs="Times New Roman" w:eastAsia="Times New Roman" w:hAnsi="Times New Roman"/>
          <w:sz w:val="18"/>
          <w:szCs w:val="18"/>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7" w:name="page128"/>
    <w:bookmarkEnd w:id="1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Securities Repaid in Part</w:t>
      </w:r>
      <w:r>
        <w:rPr>
          <w:rFonts w:ascii="Times New Roman" w:cs="Times New Roman" w:eastAsia="Times New Roman" w:hAnsi="Times New Roman"/>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Applicability of Article; Company’s Option to Effect Defeasance or Covenant Defeasance</w:t>
      </w:r>
      <w:r>
        <w:rPr>
          <w:rFonts w:ascii="Times New Roman" w:cs="Times New Roman" w:eastAsia="Times New Roman" w:hAnsi="Times New Roman"/>
          <w:sz w:val="18"/>
          <w:szCs w:val="18"/>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  The following shall be the conditions to application of Section 1402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1403 to any Outstanding Securities of or within a series and any coupons appertaining thereto:</w:t>
      </w:r>
    </w:p>
    <w:p>
      <w:pPr>
        <w:spacing w:after="0" w:line="207" w:lineRule="exact"/>
        <w:rPr>
          <w:sz w:val="20"/>
          <w:szCs w:val="20"/>
          <w:color w:val="auto"/>
        </w:rPr>
      </w:pPr>
    </w:p>
    <w:p>
      <w:pPr>
        <w:jc w:val="both"/>
        <w:ind w:firstLine="656"/>
        <w:spacing w:after="0" w:line="252" w:lineRule="auto"/>
        <w:tabs>
          <w:tab w:leader="none" w:pos="90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ind w:firstLine="656"/>
        <w:spacing w:after="0" w:line="282" w:lineRule="auto"/>
        <w:tabs>
          <w:tab w:leader="none" w:pos="91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1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01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0" w:name="page131"/>
    <w:bookmarkEnd w:id="130"/>
    <w:p>
      <w:pPr>
        <w:jc w:val="both"/>
        <w:ind w:firstLine="656"/>
        <w:spacing w:after="0" w:line="256" w:lineRule="auto"/>
        <w:tabs>
          <w:tab w:leader="none" w:pos="11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04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amounts payable to the Trustee pursuant to this Indenture shall be paid or provided for to the reasonable satisfaction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Deposited Money and Government Obligations to Be Held in Trust; Other Miscellaneous Provisions</w:t>
      </w:r>
      <w:r>
        <w:rPr>
          <w:rFonts w:ascii="Times New Roman" w:cs="Times New Roman" w:eastAsia="Times New Roman" w:hAnsi="Times New Roman"/>
          <w:sz w:val="18"/>
          <w:szCs w:val="18"/>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with respect to any Security pursuant to Section 301, if, after a deposit referred to in Section 1404(a) has been made,</w:t>
      </w:r>
    </w:p>
    <w:p>
      <w:pPr>
        <w:spacing w:after="0" w:line="27" w:lineRule="exact"/>
        <w:rPr>
          <w:sz w:val="20"/>
          <w:szCs w:val="20"/>
          <w:color w:val="auto"/>
        </w:rPr>
      </w:pPr>
    </w:p>
    <w:p>
      <w:pPr>
        <w:jc w:val="both"/>
        <w:ind w:firstLine="8"/>
        <w:spacing w:after="0" w:line="251" w:lineRule="auto"/>
        <w:tabs>
          <w:tab w:leader="none" w:pos="25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1" w:name="page132"/>
    <w:bookmarkEnd w:id="1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Call, Notice and 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3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2" w:name="page133"/>
    <w:bookmarkEnd w:id="1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Persons Entitled to Vote at Meetings</w:t>
      </w:r>
      <w:r>
        <w:rPr>
          <w:rFonts w:ascii="Times New Roman" w:cs="Times New Roman" w:eastAsia="Times New Roman" w:hAnsi="Times New Roman"/>
          <w:sz w:val="18"/>
          <w:szCs w:val="18"/>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Quorum; Action</w:t>
      </w:r>
      <w:r>
        <w:rPr>
          <w:rFonts w:ascii="Times New Roman" w:cs="Times New Roman" w:eastAsia="Times New Roman" w:hAnsi="Times New Roman"/>
          <w:sz w:val="18"/>
          <w:szCs w:val="18"/>
          <w:color w:val="auto"/>
        </w:rPr>
        <w:t xml:space="preserve">. 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3" w:name="page134"/>
    <w:bookmarkEnd w:id="1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0" w:lineRule="exact"/>
        <w:rPr>
          <w:sz w:val="20"/>
          <w:szCs w:val="20"/>
          <w:color w:val="auto"/>
        </w:rPr>
      </w:pPr>
    </w:p>
    <w:p>
      <w:pPr>
        <w:ind w:left="2160" w:hanging="208"/>
        <w:spacing w:after="0"/>
        <w:tabs>
          <w:tab w:leader="none" w:pos="21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4" w:name="page135"/>
    <w:bookmarkEnd w:id="134"/>
    <w:p>
      <w:pPr>
        <w:jc w:val="both"/>
        <w:ind w:firstLine="1304"/>
        <w:spacing w:after="0" w:line="266" w:lineRule="auto"/>
        <w:tabs>
          <w:tab w:leader="none" w:pos="157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SIXTEEN - CONVERSION OF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Applicability of Article; Conversion Privilege and Conversion Price</w:t>
      </w:r>
      <w:r>
        <w:rPr>
          <w:rFonts w:ascii="Times New Roman" w:cs="Times New Roman" w:eastAsia="Times New Roman" w:hAnsi="Times New Roman"/>
          <w:sz w:val="18"/>
          <w:szCs w:val="18"/>
          <w:color w:val="auto"/>
        </w:rPr>
        <w:t>. Securities of any series which are convertible shall be 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1604.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5" w:name="page136"/>
    <w:bookmarkEnd w:id="13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case the Company shall, by dividend or otherwise, declare or make a distribution on its Common Stock referred to in paragraph (4) of Section 1604, the Holder of each Security, upon the conversion thereof pursuant to this Article Sixteen subsequent to the close of business on the date fixed for the determination of stockholders entitled to receive such distribution and prior to the effectiveness of the Conversion Price adjustment in respect of such distribution pursuant to paragraph (4) of Section 1604, shall be entitled to receive for each share of Common Stock into which such Security is converted, the portion of the evidence of indebtedness, shares of Capital Stock or assets so distributed applicable to one share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Exercise of Conversion Privilege</w:t>
      </w:r>
      <w:r>
        <w:rPr>
          <w:rFonts w:ascii="Times New Roman" w:cs="Times New Roman" w:eastAsia="Times New Roman" w:hAnsi="Times New Roman"/>
          <w:sz w:val="18"/>
          <w:szCs w:val="18"/>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6" w:name="page137"/>
    <w:bookmarkEnd w:id="1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1603.</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u w:val="single" w:color="auto"/>
          <w:color w:val="auto"/>
        </w:rPr>
        <w:t>Fractions of Shares</w:t>
      </w:r>
      <w:r>
        <w:rPr>
          <w:rFonts w:ascii="Times New Roman" w:cs="Times New Roman" w:eastAsia="Times New Roman" w:hAnsi="Times New Roman"/>
          <w:sz w:val="18"/>
          <w:szCs w:val="18"/>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Adjustment of Conversion Price</w:t>
      </w:r>
      <w:r>
        <w:rPr>
          <w:rFonts w:ascii="Times New Roman" w:cs="Times New Roman" w:eastAsia="Times New Roman" w:hAnsi="Times New Roman"/>
          <w:sz w:val="18"/>
          <w:szCs w:val="18"/>
          <w:color w:val="auto"/>
        </w:rPr>
        <w:t>. The Conversion Price shall be subject to adjustment from time to time as follows:</w:t>
      </w:r>
    </w:p>
    <w:p>
      <w:pPr>
        <w:spacing w:after="0" w:line="225" w:lineRule="exact"/>
        <w:rPr>
          <w:sz w:val="20"/>
          <w:szCs w:val="20"/>
          <w:color w:val="auto"/>
        </w:rPr>
      </w:pPr>
    </w:p>
    <w:p>
      <w:pPr>
        <w:jc w:val="both"/>
        <w:ind w:left="660" w:firstLine="644"/>
        <w:spacing w:after="0" w:line="253" w:lineRule="auto"/>
        <w:tabs>
          <w:tab w:leader="none" w:pos="156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7" w:name="page138"/>
    <w:bookmarkEnd w:id="137"/>
    <w:p>
      <w:pPr>
        <w:jc w:val="both"/>
        <w:ind w:left="-460" w:firstLine="644"/>
        <w:spacing w:after="0" w:line="252" w:lineRule="auto"/>
        <w:tabs>
          <w:tab w:leader="none" w:pos="47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1604,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1604) of the Common Stock of the Company on the Rights Record Date.</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138" w:name="page139"/>
    <w:bookmarkEnd w:id="138"/>
    <w:p>
      <w:pPr>
        <w:jc w:val="both"/>
        <w:ind w:left="-460" w:firstLine="644"/>
        <w:spacing w:after="0" w:line="252" w:lineRule="auto"/>
        <w:tabs>
          <w:tab w:leader="none" w:pos="46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1604. In the event that, with respect to any distribution to which this paragraph (4) of Section 1604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shall not be required to, make such reductions in the Conversion Price, in addition to those required by paragraphs (1), (2), (3), and (4) of this Section 1604,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4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1604 not be deemed issued or distributed until the occurrence of the earliest Trigger Event. Each share of Common Stock issued upon conversion of Securities pursuant to this Article Sixteen shall be entitled to receive the appropriate number of Common Stock purchase rights (the “Rights”), if any, and the certificates representing the Common Stock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139" w:name="page140"/>
    <w:bookmarkEnd w:id="139"/>
    <w:p>
      <w:pPr>
        <w:jc w:val="both"/>
        <w:ind w:left="4" w:firstLine="644"/>
        <w:spacing w:after="0" w:line="266" w:lineRule="auto"/>
        <w:tabs>
          <w:tab w:leader="none" w:pos="93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under paragraph (2), (4) or (5) of this Section 1604,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1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in the Conversion Price shall be required unless such adjustment would require an increase or decrease of at least 1% in the Conversion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adjustments which by reason of this paragraph (8) are not required to be made shall be carried forward and taken into account in any subsequent adjustment. All calculations under this Article Sixteen shall be made to the nearest cent or to the nearest one-hundredth of a share of Common Stock, as the case may be.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1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00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1604,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79" w:lineRule="exact"/>
        <w:rPr>
          <w:rFonts w:ascii="Times New Roman" w:cs="Times New Roman" w:eastAsia="Times New Roman" w:hAnsi="Times New Roman"/>
          <w:sz w:val="18"/>
          <w:szCs w:val="18"/>
          <w:color w:val="auto"/>
        </w:rPr>
      </w:pPr>
    </w:p>
    <w:p>
      <w:pPr>
        <w:ind w:left="984" w:hanging="336"/>
        <w:spacing w:after="0"/>
        <w:tabs>
          <w:tab w:leader="none" w:pos="98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Article Sixteen requires adjustments to the Conversion Price under more than one of paragraphs (1), (2), (3) or</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5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 (1) of this Section 1604, third, the provisions of paragraph (4) of this Section 1604 and, fourth, the provisions of paragraph (2) of this Section 1604. Anything herein to the contrary notwithstanding, no single event shall require or result in duplicative adjustments in 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Sixteen with respect to the Common Stock in this Article Sixteen.</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u w:val="single" w:color="auto"/>
          <w:color w:val="auto"/>
        </w:rPr>
        <w:t>Notice of Adjustments of Conversion Price</w:t>
      </w:r>
      <w:r>
        <w:rPr>
          <w:rFonts w:ascii="Times New Roman" w:cs="Times New Roman" w:eastAsia="Times New Roman" w:hAnsi="Times New Roman"/>
          <w:sz w:val="18"/>
          <w:szCs w:val="18"/>
          <w:color w:val="auto"/>
        </w:rPr>
        <w:t>. Whenever the Conversion Price is adjusted as herein provided:</w:t>
      </w:r>
    </w:p>
    <w:p>
      <w:pPr>
        <w:spacing w:after="0" w:line="225" w:lineRule="exact"/>
        <w:rPr>
          <w:sz w:val="20"/>
          <w:szCs w:val="20"/>
          <w:color w:val="auto"/>
        </w:rPr>
      </w:pPr>
    </w:p>
    <w:p>
      <w:pPr>
        <w:jc w:val="both"/>
        <w:ind w:firstLine="644"/>
        <w:spacing w:after="0" w:line="261" w:lineRule="auto"/>
        <w:tabs>
          <w:tab w:leader="none" w:pos="92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93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Notice of Certain Corporate Action</w:t>
      </w:r>
      <w:r>
        <w:rPr>
          <w:rFonts w:ascii="Times New Roman" w:cs="Times New Roman" w:eastAsia="Times New Roman" w:hAnsi="Times New Roman"/>
          <w:sz w:val="18"/>
          <w:szCs w:val="18"/>
          <w:color w:val="auto"/>
        </w:rPr>
        <w:t>. In case:</w:t>
      </w:r>
    </w:p>
    <w:p>
      <w:pPr>
        <w:spacing w:after="0" w:line="225" w:lineRule="exact"/>
        <w:rPr>
          <w:sz w:val="20"/>
          <w:szCs w:val="20"/>
          <w:color w:val="auto"/>
        </w:rPr>
      </w:pPr>
    </w:p>
    <w:p>
      <w:pPr>
        <w:ind w:left="900" w:hanging="256"/>
        <w:spacing w:after="0"/>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any action that would require a Conversion Price adjustment pursuant to Section 1604 or Section 1611; or</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94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75" w:lineRule="exact"/>
        <w:rPr>
          <w:rFonts w:ascii="Times New Roman" w:cs="Times New Roman" w:eastAsia="Times New Roman" w:hAnsi="Times New Roman"/>
          <w:sz w:val="18"/>
          <w:szCs w:val="18"/>
          <w:color w:val="auto"/>
        </w:rPr>
      </w:pPr>
    </w:p>
    <w:p>
      <w:pPr>
        <w:jc w:val="both"/>
        <w:ind w:firstLine="644"/>
        <w:spacing w:after="0" w:line="254" w:lineRule="auto"/>
        <w:tabs>
          <w:tab w:leader="none" w:pos="90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877" w:right="339" w:bottom="1440" w:gutter="0" w:footer="0" w:header="0"/>
        </w:sectPr>
      </w:pPr>
    </w:p>
    <w:bookmarkStart w:id="141" w:name="page142"/>
    <w:bookmarkEnd w:id="1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1607. </w:t>
      </w:r>
      <w:r>
        <w:rPr>
          <w:rFonts w:ascii="Times New Roman" w:cs="Times New Roman" w:eastAsia="Times New Roman" w:hAnsi="Times New Roman"/>
          <w:sz w:val="18"/>
          <w:szCs w:val="18"/>
          <w:u w:val="single" w:color="auto"/>
          <w:color w:val="auto"/>
        </w:rPr>
        <w:t>Company to Reserve Common Stock</w:t>
      </w:r>
      <w:r>
        <w:rPr>
          <w:rFonts w:ascii="Times New Roman" w:cs="Times New Roman" w:eastAsia="Times New Roman" w:hAnsi="Times New Roman"/>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1608. </w:t>
      </w:r>
      <w:r>
        <w:rPr>
          <w:rFonts w:ascii="Times New Roman" w:cs="Times New Roman" w:eastAsia="Times New Roman" w:hAnsi="Times New Roman"/>
          <w:sz w:val="18"/>
          <w:szCs w:val="18"/>
          <w:u w:val="single" w:color="auto"/>
          <w:color w:val="auto"/>
        </w:rPr>
        <w:t>Taxes on Conversion</w:t>
      </w:r>
      <w:r>
        <w:rPr>
          <w:rFonts w:ascii="Times New Roman" w:cs="Times New Roman" w:eastAsia="Times New Roman" w:hAnsi="Times New Roman"/>
          <w:sz w:val="18"/>
          <w:szCs w:val="18"/>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Covenants as to Common Stock</w:t>
      </w:r>
      <w:r>
        <w:rPr>
          <w:rFonts w:ascii="Times New Roman" w:cs="Times New Roman" w:eastAsia="Times New Roman" w:hAnsi="Times New Roman"/>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u w:val="single" w:color="auto"/>
          <w:color w:val="auto"/>
        </w:rPr>
        <w:t>Cancellation of Converted Securities</w:t>
      </w:r>
      <w:r>
        <w:rPr>
          <w:rFonts w:ascii="Times New Roman" w:cs="Times New Roman" w:eastAsia="Times New Roman" w:hAnsi="Times New Roman"/>
          <w:sz w:val="18"/>
          <w:szCs w:val="18"/>
          <w:color w:val="auto"/>
        </w:rPr>
        <w:t>. All Securities delivered for conversion shall be delivered to the Trustee to be cancelled by or at the direction of the Trustee, which shall dispose of the same as provided in Section 309.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2" w:name="page143"/>
    <w:bookmarkEnd w:id="142"/>
    <w:p>
      <w:pPr>
        <w:ind w:left="660"/>
        <w:spacing w:after="0"/>
        <w:tabs>
          <w:tab w:leader="none" w:pos="8540" w:val="left"/>
        </w:tabs>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u w:val="single" w:color="auto"/>
          <w:color w:val="auto"/>
        </w:rPr>
        <w:t>Provisions in Case of Consolidation, Merger or Sale of Assets; Special Distributions</w:t>
      </w:r>
      <w:r>
        <w:rPr>
          <w:rFonts w:ascii="Times New Roman" w:cs="Times New Roman" w:eastAsia="Times New Roman" w:hAnsi="Times New Roman"/>
          <w:sz w:val="18"/>
          <w:szCs w:val="18"/>
          <w:color w:val="auto"/>
        </w:rPr>
        <w:t>.</w:t>
        <w:tab/>
        <w:t>If any of the following shall occur,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namely: (i) any reclassification or change of outstanding shares of Common Stock issuable upon conversion of Securities (other than a change in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from par value to no par value, or from no par value to par value, or as a result of a subdivision or combination), (ii) any consolidation or merger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Company is a party other than a merger in which the Company is the continuing corporation and which does not result in any reclassification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change (other than a change in name, or par value, or from par value to no par value, or from no par value to par value or as a result of a subdivision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in, outstanding shares of Common Stock or (iii) any sale or conveyance of all or substantially all of the property or business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entirety, then the Person formed by such consolidation or resulting from such merger or which acquires such properties or assets,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as a condition precedent to such transaction execute and deliver to the Trustee a supplemental indenture providing that the Holder of each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outstanding shall have the right thereafter, during the period such Security shall be convertible as specified in Section 1601, to convert such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only into the kind and amount of securities, cash and other property receivable, if any, upon such consolidation, merger, sale, transfer or lease by a holder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of the Company into which such Security might have been converted immediately prior to such consolidation,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sale, transfer or lease; provided that the kind and amount of securities, cash and other property so receivable shall be determined on the basis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assumptions. The holder of Common Stock referred to in the foregoing sentence:</w:t>
      </w:r>
    </w:p>
    <w:p>
      <w:pPr>
        <w:spacing w:after="0" w:line="207" w:lineRule="exact"/>
        <w:rPr>
          <w:sz w:val="20"/>
          <w:szCs w:val="20"/>
          <w:color w:val="auto"/>
        </w:rPr>
      </w:pPr>
    </w:p>
    <w:p>
      <w:pPr>
        <w:jc w:val="both"/>
        <w:ind w:left="660" w:firstLine="644"/>
        <w:spacing w:after="0" w:line="266" w:lineRule="auto"/>
        <w:tabs>
          <w:tab w:leader="none" w:pos="157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Common Stock).</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1611 shall similarly apply to successive consolidations, mergers, sales, transfers or leases.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3" w:name="page144"/>
    <w:bookmarkEnd w:id="1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the Company shall execute a supplemental indenture pursuant to this Section 1611,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makes a distribution to all holders of its Common Stock that constitutes an Unadjusted Distribution pursuant to the last sentence of paragraph (4) of Section 1604,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1612. </w:t>
      </w:r>
      <w:r>
        <w:rPr>
          <w:rFonts w:ascii="Times New Roman" w:cs="Times New Roman" w:eastAsia="Times New Roman" w:hAnsi="Times New Roman"/>
          <w:sz w:val="18"/>
          <w:szCs w:val="18"/>
          <w:u w:val="single" w:color="auto"/>
          <w:color w:val="auto"/>
        </w:rPr>
        <w:t>Trustee Adjustment Disclaimer; Company Determination Final</w:t>
      </w:r>
      <w:r>
        <w:rPr>
          <w:rFonts w:ascii="Times New Roman" w:cs="Times New Roman" w:eastAsia="Times New Roman" w:hAnsi="Times New Roman"/>
          <w:sz w:val="18"/>
          <w:szCs w:val="18"/>
          <w:color w:val="auto"/>
        </w:rPr>
        <w:t>. The Trustee has no duty to determine when an adjustment 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 Article Sixteen is conclusive,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4" w:name="page145"/>
    <w:bookmarkEnd w:id="1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1613. </w:t>
      </w:r>
      <w:r>
        <w:rPr>
          <w:rFonts w:ascii="Times New Roman" w:cs="Times New Roman" w:eastAsia="Times New Roman" w:hAnsi="Times New Roman"/>
          <w:sz w:val="18"/>
          <w:szCs w:val="18"/>
          <w:u w:val="single" w:color="auto"/>
          <w:color w:val="auto"/>
        </w:rPr>
        <w:t>When No Adjustment Required</w:t>
      </w:r>
      <w:r>
        <w:rPr>
          <w:rFonts w:ascii="Times New Roman" w:cs="Times New Roman" w:eastAsia="Times New Roman" w:hAnsi="Times New Roman"/>
          <w:sz w:val="18"/>
          <w:szCs w:val="18"/>
          <w:color w:val="auto"/>
        </w:rPr>
        <w:t>. Except as expressly set forth in Section 1604,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0" w:lineRule="exact"/>
        <w:rPr>
          <w:sz w:val="20"/>
          <w:szCs w:val="20"/>
          <w:color w:val="auto"/>
        </w:rPr>
      </w:pPr>
    </w:p>
    <w:p>
      <w:pPr>
        <w:jc w:val="both"/>
        <w:ind w:left="660" w:firstLine="644"/>
        <w:spacing w:after="0" w:line="261" w:lineRule="auto"/>
        <w:tabs>
          <w:tab w:leader="none" w:pos="157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1614. </w:t>
      </w:r>
      <w:r>
        <w:rPr>
          <w:rFonts w:ascii="Times New Roman" w:cs="Times New Roman" w:eastAsia="Times New Roman" w:hAnsi="Times New Roman"/>
          <w:sz w:val="18"/>
          <w:szCs w:val="18"/>
          <w:u w:val="single" w:color="auto"/>
          <w:color w:val="auto"/>
        </w:rPr>
        <w:t>Equivalent Adjustments</w:t>
      </w:r>
      <w:r>
        <w:rPr>
          <w:rFonts w:ascii="Times New Roman" w:cs="Times New Roman" w:eastAsia="Times New Roman" w:hAnsi="Times New Roman"/>
          <w:sz w:val="18"/>
          <w:szCs w:val="18"/>
          <w:color w:val="auto"/>
        </w:rPr>
        <w:t>. In the event that, as a result of an adjustment made pursuant to Section 1604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Sixteen.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00" w:lineRule="exact"/>
        <w:rPr>
          <w:sz w:val="20"/>
          <w:szCs w:val="20"/>
          <w:color w:val="auto"/>
        </w:rPr>
      </w:pPr>
    </w:p>
    <w:p>
      <w:pPr>
        <w:spacing w:after="0" w:line="2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as Trustee</w:t>
      </w:r>
    </w:p>
    <w:p>
      <w:pPr>
        <w:spacing w:after="0" w:line="200" w:lineRule="exact"/>
        <w:rPr>
          <w:sz w:val="20"/>
          <w:szCs w:val="20"/>
          <w:color w:val="auto"/>
        </w:rPr>
      </w:pPr>
    </w:p>
    <w:p>
      <w:pPr>
        <w:spacing w:after="0" w:line="2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980" w:top="877" w:right="101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REDEEMABLE OR NON-REDEEMABLE SENIOR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Holder of this Security (as indicated below) is The Depository Trust Company (“DTC”) or a nominee of DTC, this Security is a Global Security and the following two legends apply:</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this Security is an Original Issue Discount Security, insert</w:t>
      </w:r>
      <w:r>
        <w:rPr>
          <w:rFonts w:ascii="Times New Roman" w:cs="Times New Roman" w:eastAsia="Times New Roman" w:hAnsi="Times New Roman"/>
          <w:sz w:val="18"/>
          <w:szCs w:val="18"/>
          <w:color w:val="auto"/>
        </w:rPr>
        <w:t xml:space="preserve"> — FOR PURPOSES OF SECTION 1273 and 1275 OF THE UNITED STATES INTERNAL REVENUE CODE, THE AMOUNT OF ORIGINAL ISSUE DISCOUNT ON THIS SECURITY IS % OF ITS PRINCIPAL AMOUNT, THE ISSUE</w:t>
      </w:r>
    </w:p>
    <w:p>
      <w:pPr>
        <w:spacing w:after="0" w:line="260" w:lineRule="auto"/>
        <w:rPr>
          <w:sz w:val="20"/>
          <w:szCs w:val="20"/>
          <w:color w:val="auto"/>
        </w:rPr>
      </w:pPr>
      <w:r>
        <w:rPr>
          <w:rFonts w:ascii="Times New Roman" w:cs="Times New Roman" w:eastAsia="Times New Roman" w:hAnsi="Times New Roman"/>
          <w:sz w:val="18"/>
          <w:szCs w:val="18"/>
          <w:color w:val="auto"/>
        </w:rPr>
        <w:t>DATE IS , 20 , AND THE YIELD TO MATURITY IS %. THE METHOD USED TO DETERMINE THE AMOUNT OF ORIGINAL ISSUE DISCOUNT APPLICABLE TO THE SHORT ACCRUAL PERIOD OF , 20 TO , 20 , IS % OF THE PRINCIPAL AMOUNT OF THIS SECURITY.]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[Designation of Series]</w:t>
      </w:r>
    </w:p>
    <w:p>
      <w:pPr>
        <w:sectPr>
          <w:pgSz w:w="11900" w:h="16838" w:orient="portrait"/>
          <w:cols w:equalWidth="0" w:num="1">
            <w:col w:w="11240"/>
          </w:cols>
          <w:pgMar w:left="320" w:top="87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0200" w:space="720"/>
            <w:col w:w="320"/>
          </w:cols>
          <w:pgMar w:left="320" w:top="87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w:t>
      </w:r>
    </w:p>
    <w:p>
      <w:pPr>
        <w:sectPr>
          <w:pgSz w:w="11900" w:h="16838" w:orient="portrait"/>
          <w:cols w:equalWidth="0" w:num="1">
            <w:col w:w="11240"/>
          </w:cols>
          <w:pgMar w:left="320" w:top="877"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 a Nevada corporation (herein referred to as the “Company,” which term includes any successor corporation under the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Indenture referred to on the reverse hereof), for value received, hereby promises to pay to</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 registered assigns the principal sum of</w:t>
            </w:r>
          </w:p>
        </w:tc>
      </w:tr>
      <w:tr>
        <w:trPr>
          <w:trHeight w:val="194"/>
        </w:trPr>
        <w:tc>
          <w:tcPr>
            <w:tcW w:w="1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Dollars on</w:t>
            </w:r>
          </w:p>
        </w:tc>
        <w:tc>
          <w:tcPr>
            <w:tcW w:w="9940" w:type="dxa"/>
            <w:vAlign w:val="bottom"/>
            <w:gridSpan w:val="3"/>
          </w:tcPr>
          <w:p>
            <w:pPr>
              <w:ind w:left="520"/>
              <w:spacing w:after="0" w:line="194" w:lineRule="exact"/>
              <w:rPr>
                <w:sz w:val="20"/>
                <w:szCs w:val="20"/>
                <w:color w:val="auto"/>
              </w:rPr>
            </w:pPr>
            <w:r>
              <w:rPr>
                <w:rFonts w:ascii="Times New Roman" w:cs="Times New Roman" w:eastAsia="Times New Roman" w:hAnsi="Times New Roman"/>
                <w:sz w:val="18"/>
                <w:szCs w:val="18"/>
                <w:color w:val="auto"/>
              </w:rPr>
              <w:t>(the “Stated Maturity Date”)  [or insert date fixed for earlier redemption (the “Redemption Date,” and together with the Stated</w:t>
            </w:r>
          </w:p>
        </w:tc>
      </w:tr>
      <w:tr>
        <w:trPr>
          <w:trHeight w:val="20"/>
        </w:trPr>
        <w:tc>
          <w:tcPr>
            <w:tcW w:w="4320" w:type="dxa"/>
            <w:vAlign w:val="bottom"/>
            <w:gridSpan w:val="2"/>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37"/>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Maturity Date with respect to principal repayable on such date, the “Maturity Date.”)]</w:t>
            </w:r>
          </w:p>
        </w:tc>
        <w:tc>
          <w:tcPr>
            <w:tcW w:w="4060" w:type="dxa"/>
            <w:vAlign w:val="bottom"/>
          </w:tcPr>
          <w:p>
            <w:pPr>
              <w:spacing w:after="0"/>
              <w:rPr>
                <w:sz w:val="20"/>
                <w:szCs w:val="20"/>
                <w:color w:val="auto"/>
              </w:rPr>
            </w:pPr>
          </w:p>
        </w:tc>
      </w:tr>
      <w:tr>
        <w:trPr>
          <w:trHeight w:val="655"/>
        </w:trPr>
        <w:tc>
          <w:tcPr>
            <w:tcW w:w="1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A-1</w:t>
            </w: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[If the Security is to bear interest prior to Maturity, insert — and to pay interest thereon from</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from the most recent Interest Payment Date to</w:t>
            </w:r>
          </w:p>
        </w:tc>
      </w:tr>
      <w:tr>
        <w:trPr>
          <w:trHeight w:val="20"/>
        </w:trPr>
        <w:tc>
          <w:tcPr>
            <w:tcW w:w="6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r>
      <w:tr>
        <w:trPr>
          <w:trHeight w:val="237"/>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interest has been paid or duly provided for, semi-annually on</w:t>
            </w: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each year (each, an “Interest Payment Date”), commencing</w:t>
            </w:r>
          </w:p>
        </w:tc>
      </w:tr>
    </w:tbl>
    <w:p>
      <w:pPr>
        <w:jc w:val="both"/>
        <w:ind w:firstLine="721"/>
        <w:spacing w:after="0" w:line="250" w:lineRule="auto"/>
        <w:tabs>
          <w:tab w:leader="none" w:pos="80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rate of % per annum, until the principal hereof is paid or duly provided for. The interest so payable, and punctually paid or duly provided for, on any Interest Payment Date will, as provided in such Indenture, be paid to the Holder in whose name this Security (or one or more Predecessor</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Securities) is registered at the close of business on the Regular Record Date for such interest, which shall be the or (whether or not a Business Day), as the case may be, next preceding such Interest Payment Date [at the office or agency of the Company maintained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the Security is not to bear interest prior to Maturity, insert</w:t>
      </w:r>
      <w:r>
        <w:rPr>
          <w:rFonts w:ascii="Times New Roman" w:cs="Times New Roman" w:eastAsia="Times New Roman" w:hAnsi="Times New Roman"/>
          <w:sz w:val="18"/>
          <w:szCs w:val="18"/>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w:t>
      </w: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w:t>
      </w:r>
    </w:p>
    <w:p>
      <w:pPr>
        <w:jc w:val="both"/>
        <w:spacing w:after="0" w:line="260" w:lineRule="auto"/>
        <w:rPr>
          <w:sz w:val="20"/>
          <w:szCs w:val="20"/>
          <w:color w:val="auto"/>
        </w:rPr>
      </w:pPr>
      <w:r>
        <w:rPr>
          <w:rFonts w:ascii="Times New Roman" w:cs="Times New Roman" w:eastAsia="Times New Roman" w:hAnsi="Times New Roman"/>
          <w:sz w:val="18"/>
          <w:szCs w:val="18"/>
          <w:color w:val="auto"/>
        </w:rPr>
        <w:t>office or agency of the Company maintained for that purpose in , in such coin or currency of the United States of America as at the time of payment is legal tender for the payment of public and private debts.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w:t>
      </w:r>
    </w:p>
    <w:p>
      <w:pPr>
        <w:jc w:val="both"/>
        <w:spacing w:after="0" w:line="255" w:lineRule="auto"/>
        <w:rPr>
          <w:sz w:val="20"/>
          <w:szCs w:val="20"/>
          <w:color w:val="auto"/>
        </w:rPr>
      </w:pPr>
      <w:r>
        <w:rPr>
          <w:rFonts w:ascii="Times New Roman" w:cs="Times New Roman" w:eastAsia="Times New Roman" w:hAnsi="Times New Roman"/>
          <w:sz w:val="18"/>
          <w:szCs w:val="18"/>
          <w:color w:val="auto"/>
        </w:rPr>
        <w:t>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48" w:name="page149"/>
    <w:bookmarkEnd w:id="148"/>
    <w:p>
      <w:pPr>
        <w:jc w:val="both"/>
        <w:spacing w:after="0" w:line="258" w:lineRule="auto"/>
        <w:rPr>
          <w:sz w:val="20"/>
          <w:szCs w:val="20"/>
          <w:color w:val="auto"/>
        </w:rPr>
      </w:pPr>
      <w:r>
        <w:rPr>
          <w:rFonts w:ascii="Times New Roman" w:cs="Times New Roman" w:eastAsia="Times New Roman" w:hAnsi="Times New Roman"/>
          <w:sz w:val="18"/>
          <w:szCs w:val="18"/>
          <w:color w:val="auto"/>
        </w:rPr>
        <w:t>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this Security is a Global Security, insert</w:t>
      </w:r>
      <w:r>
        <w:rPr>
          <w:rFonts w:ascii="Times New Roman" w:cs="Times New Roman" w:eastAsia="Times New Roman" w:hAnsi="Times New Roman"/>
          <w:sz w:val="18"/>
          <w:szCs w:val="18"/>
          <w:color w:val="auto"/>
        </w:rPr>
        <w:t xml:space="preserve"> — All payments of principal, premium or Make-Whole Amount, if any, and interest in respect of this Security will be made by the Company in immediately available funds.]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facsimile corporate seal.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249428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Indenture, dated as of , 20 (herein called the “Indenture”) between the Company and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and the aggregate principal 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may not be redeemed prior to the Stated Maturity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[If applicable, insert — The Securities are subject to redemption [ (l) (If applicable, insert — on</w:t>
            </w: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 any year commencing with the year</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218"/>
        </w:trPr>
        <w:tc>
          <w:tcPr>
            <w:tcW w:w="6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and ending with the year</w:t>
            </w:r>
          </w:p>
        </w:tc>
        <w:tc>
          <w:tcPr>
            <w:tcW w:w="91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through operation of the sinking fund for this series at a Redemption Price equal to 100% of the principal amount,</w:t>
            </w:r>
          </w:p>
        </w:tc>
      </w:tr>
      <w:tr>
        <w:trPr>
          <w:trHeight w:val="194"/>
        </w:trPr>
        <w:tc>
          <w:tcPr>
            <w:tcW w:w="500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and (2) ] [If applicable, insert — at any time [on or after</w:t>
            </w:r>
          </w:p>
        </w:tc>
        <w:tc>
          <w:tcPr>
            <w:tcW w:w="624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8"/>
                <w:szCs w:val="18"/>
                <w:color w:val="auto"/>
              </w:rPr>
              <w:t>], as a whole or in part, at the election of the Company, at the following Redemption</w:t>
            </w:r>
          </w:p>
        </w:tc>
      </w:tr>
      <w:tr>
        <w:trPr>
          <w:trHeight w:val="20"/>
        </w:trPr>
        <w:tc>
          <w:tcPr>
            <w:tcW w:w="74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237"/>
        </w:trPr>
        <w:tc>
          <w:tcPr>
            <w:tcW w:w="5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Prices (expressed as percentages of the principal amount):</w:t>
            </w:r>
          </w:p>
        </w:tc>
        <w:tc>
          <w:tcPr>
            <w:tcW w:w="1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spacing w:after="0"/>
              <w:rPr>
                <w:sz w:val="20"/>
                <w:szCs w:val="20"/>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If redeemed on or before</w:t>
            </w:r>
          </w:p>
        </w:tc>
        <w:tc>
          <w:tcPr>
            <w:tcW w:w="4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 and if redeemed during the 12-month period beginning</w:t>
            </w:r>
          </w:p>
        </w:tc>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the years indicated at the Redemption Prices indicated below.</w:t>
            </w:r>
          </w:p>
        </w:tc>
      </w:tr>
      <w:tr>
        <w:trPr>
          <w:trHeight w:val="453"/>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99"/>
              </w:rPr>
              <w:t>Redemption Price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216"/>
        </w:trPr>
        <w:tc>
          <w:tcPr>
            <w:tcW w:w="1860" w:type="dxa"/>
            <w:vAlign w:val="bottom"/>
            <w:tcBorders>
              <w:top w:val="single" w:sz="8" w:color="auto"/>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thereafter at a Redemption Price equal to % of the principal amount, together in the case of any such redemption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0" w:name="page151"/>
    <w:bookmarkEnd w:id="150"/>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are subject to redemption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 [on or after ], as a whole or in part, at the election of the Company, at the Redemption Prices for redemption otherwise than through operation of the sinking fund (expressed as percentages of the principal amount) set forth in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If redeemed during the 12-month period beginning</w:t>
            </w:r>
          </w:p>
        </w:tc>
        <w:tc>
          <w:tcPr>
            <w:tcW w:w="33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of the years indicated,</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Redemption Price for</w:t>
            </w: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Redemption Price for</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Redemption Otherwise Than</w:t>
            </w: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Redemption Through</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Through Operation of the</w:t>
            </w: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Operation of the Sinking Fund</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Sinking Fund</w:t>
            </w:r>
          </w:p>
        </w:tc>
      </w:tr>
      <w:tr>
        <w:trPr>
          <w:trHeight w:val="209"/>
        </w:trPr>
        <w:tc>
          <w:tcPr>
            <w:tcW w:w="4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thereafter at a Redemption Price equal to % of the principal amount, together in the case of any such redemption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Notwithstanding the foregoing, the Company may not, prior to , redeem any Securities as contemplated by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[If applicable, insert — The sinking fund for the Securities provides for the redemption on</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each year, beginning with the year  and</w:t>
            </w:r>
          </w:p>
        </w:tc>
      </w:tr>
      <w:tr>
        <w:trPr>
          <w:trHeight w:val="20"/>
        </w:trPr>
        <w:tc>
          <w:tcPr>
            <w:tcW w:w="7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37"/>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ending with the year  , of [not less than] $</w:t>
            </w:r>
          </w:p>
        </w:tc>
        <w:tc>
          <w:tcPr>
            <w:tcW w:w="4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[(“mandatory sinking fund”) and not more than $</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aggregate principal amount of the</w:t>
            </w:r>
          </w:p>
        </w:tc>
      </w:tr>
    </w:tbl>
    <w:p>
      <w:pPr>
        <w:jc w:val="both"/>
        <w:spacing w:after="0" w:line="260" w:lineRule="auto"/>
        <w:rPr>
          <w:sz w:val="20"/>
          <w:szCs w:val="20"/>
          <w:color w:val="auto"/>
        </w:rPr>
      </w:pPr>
      <w:r>
        <w:rPr>
          <w:rFonts w:ascii="Times New Roman" w:cs="Times New Roman" w:eastAsia="Times New Roman" w:hAnsi="Times New Roman"/>
          <w:sz w:val="18"/>
          <w:szCs w:val="18"/>
          <w:color w:val="auto"/>
        </w:rPr>
        <w:t>Securities. [The Securities acquired or redeemed by the Company otherwise than through [mandatory] sinking fund payments may be credited against subsequent [mandatory] sinking fund payments otherwise required to be made in the [</w:t>
      </w:r>
      <w:r>
        <w:rPr>
          <w:rFonts w:ascii="Times New Roman" w:cs="Times New Roman" w:eastAsia="Times New Roman" w:hAnsi="Times New Roman"/>
          <w:sz w:val="18"/>
          <w:szCs w:val="18"/>
          <w:u w:val="single" w:color="auto"/>
          <w:color w:val="auto"/>
        </w:rPr>
        <w:t>describe order</w:t>
      </w:r>
      <w:r>
        <w:rPr>
          <w:rFonts w:ascii="Times New Roman" w:cs="Times New Roman" w:eastAsia="Times New Roman" w:hAnsi="Times New Roman"/>
          <w:sz w:val="18"/>
          <w:szCs w:val="18"/>
          <w:color w:val="auto"/>
        </w:rPr>
        <w:t>] order in which they become due.]]</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redemption will be given by mail to Holders of Securities, not less than 30 nor more than 60 days prior to the Redemption Date, all as provided in the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1" w:name="page152"/>
    <w:bookmarkEnd w:id="1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76" w:lineRule="exact"/>
        <w:rPr>
          <w:sz w:val="20"/>
          <w:szCs w:val="20"/>
          <w:color w:val="auto"/>
        </w:rPr>
      </w:pPr>
    </w:p>
    <w:p>
      <w:pPr>
        <w:ind w:left="660"/>
        <w:spacing w:after="0"/>
        <w:tabs>
          <w:tab w:leader="none" w:pos="8380" w:val="left"/>
        </w:tabs>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w:t>
      </w:r>
      <w:r>
        <w:rPr>
          <w:sz w:val="20"/>
          <w:szCs w:val="20"/>
          <w:color w:val="auto"/>
        </w:rPr>
        <w:tab/>
      </w:r>
      <w:r>
        <w:rPr>
          <w:rFonts w:ascii="Times New Roman" w:cs="Times New Roman" w:eastAsia="Times New Roman" w:hAnsi="Times New Roman"/>
          <w:sz w:val="17"/>
          <w:szCs w:val="17"/>
          <w:color w:val="auto"/>
        </w:rPr>
        <w:t>and any integral multiple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2" w:name="page153"/>
    <w:bookmarkEnd w:id="15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FORMS OF 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25" w:lineRule="exact"/>
        <w:rPr>
          <w:sz w:val="20"/>
          <w:szCs w:val="20"/>
          <w:color w:val="auto"/>
        </w:rPr>
      </w:pPr>
    </w:p>
    <w:p>
      <w:pPr>
        <w:jc w:val="center"/>
        <w:ind w:left="340" w:right="200"/>
        <w:spacing w:after="0" w:line="282" w:lineRule="auto"/>
        <w:rPr>
          <w:sz w:val="20"/>
          <w:szCs w:val="20"/>
          <w:color w:val="auto"/>
        </w:rPr>
      </w:pPr>
      <w:r>
        <w:rPr>
          <w:rFonts w:ascii="Times New Roman" w:cs="Times New Roman" w:eastAsia="Times New Roman" w:hAnsi="Times New Roman"/>
          <w:sz w:val="18"/>
          <w:szCs w:val="18"/>
          <w:color w:val="auto"/>
        </w:rPr>
        <w:t>FORM OF CERTIFICATE TO BE GIVEN BY PERSON ENTITLED TO RECEIVE BEARER SECURITY OR TO OBTAIN INTEREST PAYABLE PRIOR TO THE EXCHANGE DATE</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spacing w:after="0" w:line="1" w:lineRule="exact"/>
        <w:rPr>
          <w:sz w:val="20"/>
          <w:szCs w:val="20"/>
          <w:color w:val="auto"/>
        </w:rPr>
      </w:pPr>
    </w:p>
    <w:p>
      <w:pPr>
        <w:ind w:left="260" w:hanging="252"/>
        <w:spacing w:after="0"/>
        <w:tabs>
          <w:tab w:leader="none" w:pos="2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branches of United States financial institutions (financial institutions, as defined in United States Treasury Regulations Section 2.165-12(c)(1)</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Agrify Corporation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4" w:name="page155"/>
    <w:bookmarkEnd w:id="15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8890</wp:posOffset>
            </wp:positionV>
            <wp:extent cx="25628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9" w:lineRule="exact"/>
        <w:rPr>
          <w:sz w:val="20"/>
          <w:szCs w:val="20"/>
          <w:color w:val="auto"/>
        </w:rPr>
      </w:pPr>
    </w:p>
    <w:p>
      <w:pPr>
        <w:ind w:right="80" w:firstLine="720"/>
        <w:spacing w:after="0" w:line="282" w:lineRule="auto"/>
        <w:rPr>
          <w:sz w:val="20"/>
          <w:szCs w:val="20"/>
          <w:color w:val="auto"/>
        </w:rPr>
      </w:pPr>
      <w:r>
        <w:rPr>
          <w:rFonts w:ascii="Times New Roman" w:cs="Times New Roman" w:eastAsia="Times New Roman" w:hAnsi="Times New Roman"/>
          <w:sz w:val="18"/>
          <w:szCs w:val="18"/>
          <w:color w:val="auto"/>
        </w:rPr>
        <w:t>[To be dated no earlier than the 15th day prior to (i) the Exchange Date or (ii) the relevant Interest Payment Date occurring prior to the Exchange Date, as applicable]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154305</wp:posOffset>
            </wp:positionV>
            <wp:extent cx="284607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color w:val="auto"/>
        </w:rPr>
        <w:t>EXHIBIT B-2</w:t>
      </w:r>
    </w:p>
    <w:p>
      <w:pPr>
        <w:spacing w:after="0" w:line="225"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FORM OF CERTIFICATE TO BE GIVEN BY EUROCLEAR AND CLEARSTREAM S.A. IN CONNECTION WITH THE EXCHANGE OF A PORTION OF A TEMPORARY GLOBAL SECURITY OR TO OBTAIN INTEREST PAYABLE PRIOR TO THE EXCHANGE DATE</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w:t>
      </w:r>
    </w:p>
    <w:p>
      <w:pPr>
        <w:spacing w:after="0" w:line="1" w:lineRule="exact"/>
        <w:rPr>
          <w:sz w:val="20"/>
          <w:szCs w:val="20"/>
          <w:color w:val="auto"/>
        </w:rPr>
      </w:pPr>
    </w:p>
    <w:p>
      <w:pPr>
        <w:jc w:val="both"/>
        <w:ind w:firstLine="8"/>
        <w:spacing w:after="0" w:line="252" w:lineRule="auto"/>
        <w:tabs>
          <w:tab w:leader="none" w:pos="25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each such financial institution has agreed, on its own behalf or through its agent, that we may advise Agrify Corporation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be dated no earlier than the Exchange Date or the relevant Interest Payment Date occurring prior to the Exchange Date, as applicable]</w:t>
      </w:r>
    </w:p>
    <w:p>
      <w:pPr>
        <w:spacing w:after="0" w:line="237" w:lineRule="exact"/>
        <w:rPr>
          <w:sz w:val="20"/>
          <w:szCs w:val="20"/>
          <w:color w:val="auto"/>
        </w:rPr>
      </w:pPr>
    </w:p>
    <w:p>
      <w:pPr>
        <w:ind w:left="6760" w:right="3500" w:hanging="6104"/>
        <w:spacing w:after="0" w:line="409" w:lineRule="auto"/>
        <w:tabs>
          <w:tab w:leader="none" w:pos="1663"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Operator of the Euroclear System] [Clearstream Banking Luxembourg]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211455</wp:posOffset>
            </wp:positionV>
            <wp:extent cx="25628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2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877" w:right="9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440"/>
        <w:spacing w:after="0"/>
        <w:tabs>
          <w:tab w:leader="none" w:pos="5180" w:val="left"/>
        </w:tabs>
        <w:rPr>
          <w:sz w:val="20"/>
          <w:szCs w:val="20"/>
          <w:color w:val="auto"/>
        </w:rPr>
      </w:pPr>
      <w:r>
        <w:rPr>
          <w:rFonts w:ascii="Times New Roman" w:cs="Times New Roman" w:eastAsia="Times New Roman" w:hAnsi="Times New Roman"/>
          <w:sz w:val="18"/>
          <w:szCs w:val="18"/>
          <w:color w:val="auto"/>
        </w:rPr>
        <w:t>Dated as of</w:t>
      </w:r>
      <w:r>
        <w:rPr>
          <w:sz w:val="20"/>
          <w:szCs w:val="20"/>
          <w:color w:val="auto"/>
        </w:rPr>
        <w:tab/>
      </w:r>
      <w:r>
        <w:rPr>
          <w:rFonts w:ascii="Times New Roman" w:cs="Times New Roman" w:eastAsia="Times New Roman" w:hAnsi="Times New Roman"/>
          <w:sz w:val="18"/>
          <w:szCs w:val="18"/>
          <w:color w:val="auto"/>
        </w:rPr>
        <w:t>, 20</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88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TABLE OF CONTENTS</w:t>
            </w:r>
          </w:p>
        </w:tc>
        <w:tc>
          <w:tcPr>
            <w:tcW w:w="560" w:type="dxa"/>
            <w:vAlign w:val="bottom"/>
          </w:tcPr>
          <w:p>
            <w:pPr>
              <w:spacing w:after="0"/>
              <w:rPr>
                <w:sz w:val="20"/>
                <w:szCs w:val="20"/>
                <w:color w:val="auto"/>
              </w:rPr>
            </w:pPr>
          </w:p>
        </w:tc>
      </w:tr>
      <w:tr>
        <w:trPr>
          <w:trHeight w:val="453"/>
        </w:trPr>
        <w:tc>
          <w:tcPr>
            <w:tcW w:w="188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88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ONE - DEFINITIONS AND OTHER PROVISIONS OF GENERAL APPLICATION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Definitions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Acts of Holders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Notices, etc., to Trustee and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Notice to Holders; Waiver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Counterparts; Effect of Headings and Table of Contents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Successors and Assigns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Severability Clause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110.</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Benefits of Indenture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Governing Law</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Legal Holidays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Limited Liability; Immunity of Stockholders, Directors, Officers and Agents of the Company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6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TWO - SECURITIES FORMS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Forms of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Issuable in Global Form</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68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THREE - THE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Denominations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Temporary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Registration, Registration of Transfer, Conversion and Exchange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Interest; Interest Rights Preserved</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Persons Deemed Owners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Cancellation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Computation of Interest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CUSIP Numbers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6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FOUR - SATISFACTION AND DISCHARGE</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Application of Trust Funds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ARTICLE FIVE - REMEDIES</w:t>
            </w:r>
          </w:p>
        </w:tc>
        <w:tc>
          <w:tcPr>
            <w:tcW w:w="8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 or Coupons</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Limitation on Suits</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Unconditional Right of Holders to Receive Principal, Premium or Make-Whole Amount, if any, and Interest</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 by Holders of Securities</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Waiver of Past Defaults</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Waiver of Usury, Stay or Extension Laws</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Undertaking for Costs</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SIX - THE TRUSTEE</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Defaults</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Certain Rights of Trustee</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May Hold Securities</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Held in Trust</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607.</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Trustee Required; Eligibility; Conflicting Interests</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608.</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609.</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Certain Duties and Responsibilities of the Trustee</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SEVEN - HOLDERS’ LISTS AND REPORTS BY TRUSTEE AND COMPANY</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of Names and Addresses of Holders</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Reports by Trustee</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Reports by Company</w:t>
            </w:r>
          </w:p>
        </w:tc>
        <w:tc>
          <w:tcPr>
            <w:tcW w:w="7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EIGHT - CONSOLIDATION, MERGER, SALE, LEASE OR CONVEYANCE</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r>
      <w:tr>
        <w:trPr>
          <w:trHeight w:val="198"/>
        </w:trPr>
        <w:tc>
          <w:tcPr>
            <w:tcW w:w="1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SECTION 801.</w:t>
            </w:r>
          </w:p>
        </w:tc>
        <w:tc>
          <w:tcPr>
            <w:tcW w:w="852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Consolidations and Mergers of Company and Sales, Leases and Conveyances Permitted Subject to Certain</w:t>
            </w:r>
          </w:p>
        </w:tc>
        <w:tc>
          <w:tcPr>
            <w:tcW w:w="740" w:type="dxa"/>
            <w:vAlign w:val="bottom"/>
          </w:tcPr>
          <w:p>
            <w:pPr>
              <w:spacing w:after="0"/>
              <w:rPr>
                <w:sz w:val="17"/>
                <w:szCs w:val="17"/>
                <w:color w:val="auto"/>
              </w:rPr>
            </w:pPr>
          </w:p>
        </w:tc>
      </w:tr>
      <w:tr>
        <w:trPr>
          <w:trHeight w:val="234"/>
        </w:trPr>
        <w:tc>
          <w:tcPr>
            <w:tcW w:w="1980" w:type="dxa"/>
            <w:vAlign w:val="bottom"/>
          </w:tcPr>
          <w:p>
            <w:pPr>
              <w:spacing w:after="0"/>
              <w:rPr>
                <w:sz w:val="20"/>
                <w:szCs w:val="20"/>
                <w:color w:val="auto"/>
              </w:rPr>
            </w:pPr>
          </w:p>
        </w:tc>
        <w:tc>
          <w:tcPr>
            <w:tcW w:w="8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Conditions</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Rights and Duties of Successor Corporation</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Officers’ Certificate and Opinion of Counsel</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5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NINE - SUPPLEMENTAL INDENTURES</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5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TEN - COVENANTS</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Payment of Principal, Premium or Make-Whole Amount, if any; and Interest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Money for Securities Payments to Be Held in Trust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1004.</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Existence</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1005.</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1006.</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1007.</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Payment of Taxes and Other Claims</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1008.</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Statement as to Compliance</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1009.</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Waiver of Certain Covenants</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5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ELEVEN - REDEMPTION OF SECURITIES</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Election to Redeem; Notice to Trustee</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Selection by Trustee of Securities to Be Redeemed</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Notice of Redemption</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1106.</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Securities Payable on Redemption Date</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1107.</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500" w:type="dxa"/>
            <w:vAlign w:val="bottom"/>
            <w:gridSpan w:val="2"/>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10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TWELVE - SINKING FUNDS</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1202.</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1203.</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5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8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Repayment of Securities</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8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Exercise of Option</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When Securities Presented for Repayment Become Due and Payable</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Repaid in Part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26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1401.</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Applicability of Article; Company’s Option to Effect Defeasance or Covenant Defeasance</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1402.</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Defeasance and Discharge</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1403.</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Covenant Defeasance</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1404.</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1405.</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Deposited Money and Government Obligations to Be Held in Trust; Other Miscellaneous Provisions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1501.</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Purposes for Which Meetings May Be Called</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1502.</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Call, Notice and Place of Meetings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1503.</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Persons Entitled to Vote at Meetings</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1504.</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Quorum; Action</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1505.</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1506.</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SIXTEEN - SUBORDINATION OF SECURITIES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1601.</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Agreement to Subordinate</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1602.</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Payment Over of Proceeds upon Dissolution, Etc</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1603.</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Payment When Senior Indebtedness in Default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1604.</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Reliance by Senior Indebtedness on Subordination Provisions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1605.</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Subrogation to Rights of Holders of Senior Indebtedness</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1606.</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Provisions Solely to Define Relative Rights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1607.</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to Effectuate Subordination</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1608.</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Waiver of Subordination Provisions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1609.</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to Trustee</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1610.</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Reliance on Judicial Order or Certificate of Liquidating Agent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1611.</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Not Fiduciary for Holders of Senior Indebtedness</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1612.</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Rights of Trustee as Holder of Senior Indebtedness; Preservation of Trustee’s Rights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1613.</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Article Applicable to Paying Agents</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26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SEVENTEEN - CONVERSION OF SECURITIES</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1701.</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Applicability of Article; Conversion Privilege and Conversion Price</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1702.</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Exercise of Conversion Privilege</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1703.</w:t>
            </w:r>
          </w:p>
        </w:tc>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Fractions of Shares</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1704.</w:t>
            </w:r>
          </w:p>
        </w:tc>
        <w:tc>
          <w:tcPr>
            <w:tcW w:w="8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Adjustment of Conversion Price</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1705.</w:t>
            </w: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Notice of Adjustments of Conversion Price</w:t>
            </w:r>
          </w:p>
        </w:tc>
        <w:tc>
          <w:tcPr>
            <w:tcW w:w="1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1706.</w:t>
            </w: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of Certain Corporate Action</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1707.</w:t>
            </w: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Company to Reserve Common Stock</w:t>
            </w:r>
          </w:p>
        </w:tc>
        <w:tc>
          <w:tcPr>
            <w:tcW w:w="1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1708.</w:t>
            </w: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Taxes on Conversion</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1709.</w:t>
            </w: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Covenants as to Common Stock</w:t>
            </w:r>
          </w:p>
        </w:tc>
        <w:tc>
          <w:tcPr>
            <w:tcW w:w="1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1710.</w:t>
            </w: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Cancellation of Converted Securities</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1711.</w:t>
            </w: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Provisions in Case of Consolidation, Merger or Sale of Assets; Special Distributions</w:t>
            </w:r>
          </w:p>
        </w:tc>
        <w:tc>
          <w:tcPr>
            <w:tcW w:w="1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1712.</w:t>
            </w: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Trustee Adjustment Disclaimer; Company Determination Final</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SECTION 1713.</w:t>
            </w:r>
          </w:p>
        </w:tc>
        <w:tc>
          <w:tcPr>
            <w:tcW w:w="7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When No Adjustment Required</w:t>
            </w:r>
          </w:p>
        </w:tc>
        <w:tc>
          <w:tcPr>
            <w:tcW w:w="1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1714.</w:t>
            </w:r>
          </w:p>
        </w:tc>
        <w:tc>
          <w:tcPr>
            <w:tcW w:w="7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Equivalent Adjustments</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900" w:right="240" w:hanging="251"/>
        <w:spacing w:after="0" w:line="282" w:lineRule="auto"/>
        <w:rPr>
          <w:sz w:val="20"/>
          <w:szCs w:val="20"/>
          <w:color w:val="auto"/>
        </w:rPr>
      </w:pPr>
      <w:r>
        <w:rPr>
          <w:rFonts w:ascii="Times New Roman" w:cs="Times New Roman" w:eastAsia="Times New Roman" w:hAnsi="Times New Roman"/>
          <w:sz w:val="18"/>
          <w:szCs w:val="18"/>
          <w:color w:val="auto"/>
        </w:rPr>
        <w:t>Reconciliation and tie between the Trust Indenture Act of 1939, as amended (the “Trust Indenture Act” or “TIA”) and the Indenture, dated as of , 20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Trust Indenture</w:t>
            </w:r>
          </w:p>
        </w:tc>
        <w:tc>
          <w:tcPr>
            <w:tcW w:w="3260" w:type="dxa"/>
            <w:vAlign w:val="bottom"/>
          </w:tcPr>
          <w:p>
            <w:pPr>
              <w:spacing w:after="0"/>
              <w:rPr>
                <w:sz w:val="18"/>
                <w:szCs w:val="18"/>
                <w:color w:val="auto"/>
              </w:rPr>
            </w:pPr>
          </w:p>
        </w:tc>
      </w:tr>
      <w:tr>
        <w:trPr>
          <w:trHeight w:val="245"/>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 Section</w:t>
            </w:r>
          </w:p>
        </w:tc>
        <w:tc>
          <w:tcPr>
            <w:tcW w:w="32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Indenture Section</w:t>
            </w:r>
          </w:p>
        </w:tc>
      </w:tr>
      <w:tr>
        <w:trPr>
          <w:trHeight w:val="216"/>
        </w:trPr>
        <w:tc>
          <w:tcPr>
            <w:tcW w:w="7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Borders>
              <w:top w:val="single" w:sz="8" w:color="auto"/>
            </w:tcBorders>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310(a)(1)</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607, 608</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312(c)</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313(a)</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314(a)</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(a)(4)</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(c)(1)</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(c)(2)</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315(b)</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316(a) (last sentence)</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101(“Outstanding”)</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(a)(1)(A)</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502, 512</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(a)(1)(B)</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317(a)(1)</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318(a)</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ind w:firstLine="648"/>
        <w:spacing w:after="0" w:line="266" w:lineRule="auto"/>
        <w:rPr>
          <w:sz w:val="20"/>
          <w:szCs w:val="20"/>
          <w:color w:val="auto"/>
        </w:rPr>
      </w:pPr>
      <w:r>
        <w:rPr>
          <w:rFonts w:ascii="Times New Roman" w:cs="Times New Roman" w:eastAsia="Times New Roman" w:hAnsi="Times New Roman"/>
          <w:sz w:val="18"/>
          <w:szCs w:val="18"/>
          <w:color w:val="auto"/>
        </w:rPr>
        <w:t>INDENTURE, dated as of , 20 , between AGRIFY CORPORATION, a corporation organized under the laws of the State of Nevada (hereinafter called the “Company”), having its principal office at 76 Treble Cove Road, Building 3, Billerica, MA 01862, and , as Trustee hereunder (hereinafter called the “Trustee”), having a Corporate Trust Office at .</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 provide for the issuance from time to time of the Securities, to be issued in one or more Series as provided in this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things necessary to make this Indenture a valid and legally binding agreement of the Company, in accordance with its terms, have been done.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ONE - DEFINITIONS AND OTHER PROVISIONS OF GENERAL APPLICATION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 requires:</w:t>
      </w:r>
    </w:p>
    <w:p>
      <w:pPr>
        <w:spacing w:after="0" w:line="225" w:lineRule="exact"/>
        <w:rPr>
          <w:sz w:val="20"/>
          <w:szCs w:val="20"/>
          <w:color w:val="auto"/>
        </w:rPr>
      </w:pPr>
    </w:p>
    <w:p>
      <w:pPr>
        <w:ind w:left="1560" w:hanging="256"/>
        <w:spacing w:after="0"/>
        <w:tabs>
          <w:tab w:leader="none" w:pos="15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“Article” or a “Section” refers to an Article or Section, as the case may be, of this Indenture;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left="660" w:firstLine="644"/>
        <w:spacing w:after="0" w:line="282" w:lineRule="auto"/>
        <w:tabs>
          <w:tab w:leader="none" w:pos="158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means any Person authorized by the Trustee pursuant to Section 611 hereof to act on behalf of the Trustee to authenticate Securities of one or more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Newspaper</w:t>
      </w:r>
      <w:r>
        <w:rPr>
          <w:rFonts w:ascii="Times New Roman" w:cs="Times New Roman" w:eastAsia="Times New Roman" w:hAnsi="Times New Roman"/>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Bearer Security</w:t>
      </w:r>
      <w:r>
        <w:rPr>
          <w:rFonts w:ascii="Times New Roman" w:cs="Times New Roman" w:eastAsia="Times New Roman" w:hAnsi="Times New Roman"/>
          <w:sz w:val="18"/>
          <w:szCs w:val="18"/>
          <w:color w:val="auto"/>
        </w:rPr>
        <w:t>” means any Security established pursuant to Section 201 which is payable to the bearer.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Luxembourg, société anonyme, or its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closing price of a share of Common Stock of the Company as reported on the OTCQB tier of the OTC Market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Depository</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mean, respectively, a written request or order signed in the name of the Company by its Chairman of the Board, the Chief Executive Officer, the President, or a Vice President, and by its Treasurer, an Assistant Treasurer, the Secretary or an Assistant Secretary, of the Company, and delivered to the Trustee.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has the meaning specified in Section 1711.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has the meaning specified in Section 1701.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office of the Trustee at which, at administered, which office at the date hereof is located at [</w:t>
      </w:r>
    </w:p>
    <w:p>
      <w:pPr>
        <w:spacing w:after="0" w:line="20" w:lineRule="exact"/>
        <w:rPr>
          <w:sz w:val="20"/>
          <w:szCs w:val="20"/>
          <w:color w:val="auto"/>
        </w:rPr>
      </w:pPr>
      <w:r>
        <w:rPr>
          <w:sz w:val="20"/>
          <w:szCs w:val="20"/>
          <w:color w:val="auto"/>
        </w:rPr>
        <w:br w:type="column"/>
      </w:r>
    </w:p>
    <w:p>
      <w:pPr>
        <w:ind w:firstLine="73"/>
        <w:spacing w:after="0" w:line="261" w:lineRule="auto"/>
        <w:rPr>
          <w:sz w:val="20"/>
          <w:szCs w:val="20"/>
          <w:color w:val="auto"/>
        </w:rPr>
      </w:pPr>
      <w:r>
        <w:rPr>
          <w:rFonts w:ascii="Times New Roman" w:cs="Times New Roman" w:eastAsia="Times New Roman" w:hAnsi="Times New Roman"/>
          <w:sz w:val="18"/>
          <w:szCs w:val="18"/>
          <w:color w:val="auto"/>
        </w:rPr>
        <w:t>any particular time, its corporate trust business shall be principally ].</w:t>
      </w:r>
    </w:p>
    <w:p>
      <w:pPr>
        <w:spacing w:after="0" w:line="423" w:lineRule="exact"/>
        <w:rPr>
          <w:sz w:val="20"/>
          <w:szCs w:val="20"/>
          <w:color w:val="auto"/>
        </w:rPr>
      </w:pPr>
    </w:p>
    <w:p>
      <w:pPr>
        <w:sectPr>
          <w:pgSz w:w="11900" w:h="16838" w:orient="portrait"/>
          <w:cols w:equalWidth="0" w:num="2">
            <w:col w:w="6020" w:space="0"/>
            <w:col w:w="5220"/>
          </w:cols>
          <w:pgMar w:left="320" w:top="904" w:right="339" w:bottom="1440" w:gutter="0" w:footer="0" w:header="0"/>
        </w:sect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includes corporations, associations, companies and business trusts.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coupon</w:t>
      </w:r>
      <w:r>
        <w:rPr>
          <w:rFonts w:ascii="Times New Roman" w:cs="Times New Roman" w:eastAsia="Times New Roman" w:hAnsi="Times New Roman"/>
          <w:sz w:val="18"/>
          <w:szCs w:val="18"/>
          <w:color w:val="auto"/>
        </w:rPr>
        <w:t>” means any interest coupon appertaining to a Bearer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specified in Section 1403.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has the meaning specified in Section 1402.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Record Date</w:t>
      </w:r>
      <w:r>
        <w:rPr>
          <w:rFonts w:ascii="Times New Roman" w:cs="Times New Roman" w:eastAsia="Times New Roman" w:hAnsi="Times New Roman"/>
          <w:sz w:val="18"/>
          <w:szCs w:val="18"/>
          <w:color w:val="auto"/>
        </w:rPr>
        <w:t>” has the meaning specified in Section 1711.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or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a dollar or other equivalent unit in such coin or currency of the United States of America as at the time of payment is legal tender for the payment of public and private debts.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ECU</w:t>
      </w:r>
      <w:r>
        <w:rPr>
          <w:rFonts w:ascii="Times New Roman" w:cs="Times New Roman" w:eastAsia="Times New Roman" w:hAnsi="Times New Roman"/>
          <w:sz w:val="18"/>
          <w:szCs w:val="18"/>
          <w:color w:val="auto"/>
        </w:rPr>
        <w:t>” means the European Currency Unit as defined and revised from time to time by the Council of the European Communities.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means the operator of the Euroclear System.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Communities</w:t>
      </w:r>
      <w:r>
        <w:rPr>
          <w:rFonts w:ascii="Times New Roman" w:cs="Times New Roman" w:eastAsia="Times New Roman" w:hAnsi="Times New Roman"/>
          <w:sz w:val="18"/>
          <w:szCs w:val="18"/>
          <w:color w:val="auto"/>
        </w:rPr>
        <w:t>” means the European Economic Community, the European Coal and Steel Community and the European Atomic Energy Community.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Monetary System</w:t>
      </w:r>
      <w:r>
        <w:rPr>
          <w:rFonts w:ascii="Times New Roman" w:cs="Times New Roman" w:eastAsia="Times New Roman" w:hAnsi="Times New Roman"/>
          <w:sz w:val="18"/>
          <w:szCs w:val="18"/>
          <w:color w:val="auto"/>
        </w:rPr>
        <w:t>” means the European Monetary System established by the Resolution of December 5, 1978 of the Council of the European Communities.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Article Five.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Securities Exchange Act of 1934, as amended, as in force at the date as of which this Indenture was executed;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Exchange Act is amended after such date, “Exchange Act” means to the extent required by any such amendment, the Exchange Act as so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68" w:name="page169"/>
    <w:bookmarkEnd w:id="168"/>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except as otherwise provided herein, generally accepted accounting principles, as in effect from time to time, as used in the United States applied on a consistent basis.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Security</w:t>
      </w:r>
      <w:r>
        <w:rPr>
          <w:rFonts w:ascii="Times New Roman" w:cs="Times New Roman" w:eastAsia="Times New Roman" w:hAnsi="Times New Roman"/>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Obligations</w:t>
      </w:r>
      <w:r>
        <w:rPr>
          <w:rFonts w:ascii="Times New Roman" w:cs="Times New Roman" w:eastAsia="Times New Roman" w:hAnsi="Times New Roman"/>
          <w:sz w:val="18"/>
          <w:szCs w:val="18"/>
          <w:color w:val="auto"/>
        </w:rPr>
        <w:t>” means (i) securities which are (A) direct obligations of the United States of America or the government which issued the Foreign Currency in which the Securities of a particular series are payable, for the payment of which its full faith and credit is pledged or</w:t>
      </w:r>
    </w:p>
    <w:p>
      <w:pPr>
        <w:jc w:val="both"/>
        <w:ind w:firstLine="8"/>
        <w:spacing w:after="0" w:line="251" w:lineRule="auto"/>
        <w:tabs>
          <w:tab w:leader="none" w:pos="30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Guaranty by any Person shall not include endorsements by such Person for collection or deposit, in either case in the ordinary course of business. The terms “</w:t>
      </w:r>
      <w:r>
        <w:rPr>
          <w:rFonts w:ascii="Times New Roman" w:cs="Times New Roman" w:eastAsia="Times New Roman" w:hAnsi="Times New Roman"/>
          <w:sz w:val="18"/>
          <w:szCs w:val="18"/>
          <w:u w:val="single" w:color="auto"/>
          <w:color w:val="auto"/>
        </w:rPr>
        <w:t>Guaranteed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Guaranteeing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have meanings correlative to the foregoing.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(i) any Obligation of such Person relating to any indebtedness of such Person (A) for borrowed money (whether or not the recourse of the lender is to the whole of the assets, of such person or only to a portion thereof),</w:t>
      </w:r>
    </w:p>
    <w:p>
      <w:pPr>
        <w:jc w:val="both"/>
        <w:ind w:firstLine="8"/>
        <w:spacing w:after="0" w:line="251" w:lineRule="auto"/>
        <w:tabs>
          <w:tab w:leader="none" w:pos="28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 or services purchased in the ordinary course of business (other than trade accounts payable arising in the ordinary course of business), (D) 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shall mean interest payable after Maturity.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 of the Distribution</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w:t>
      </w:r>
      <w:r>
        <w:rPr>
          <w:rFonts w:ascii="Times New Roman" w:cs="Times New Roman" w:eastAsia="Times New Roman" w:hAnsi="Times New Roman"/>
          <w:sz w:val="18"/>
          <w:szCs w:val="18"/>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 or who may be an employee of or other counsel for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Discount Security</w:t>
      </w:r>
      <w:r>
        <w:rPr>
          <w:rFonts w:ascii="Times New Roman" w:cs="Times New Roman" w:eastAsia="Times New Roman" w:hAnsi="Times New Roman"/>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xml:space="preserve">,” when used with respect to Securities, means, as of the date of determination, all Securities theretofore authenticated and delivered under this Indenture,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840" w:hanging="212"/>
        <w:spacing w:after="0"/>
        <w:tabs>
          <w:tab w:leader="none" w:pos="18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left="1300" w:firstLine="328"/>
        <w:spacing w:after="0" w:line="258" w:lineRule="auto"/>
        <w:tabs>
          <w:tab w:leader="none" w:pos="189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Securities are to be redeemed, notice of such redemption has been duly given pursuant to this Indenture or provision therefor satisfactory to the Trustee has been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ind w:left="1300" w:firstLine="328"/>
        <w:spacing w:after="0" w:line="282" w:lineRule="auto"/>
        <w:tabs>
          <w:tab w:leader="none" w:pos="19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Sections 1402 and 1403, with respect to which the Company has effected Defeasance and/or Covenant Defeasance as provided in Article Fourteen; and</w:t>
      </w:r>
    </w:p>
    <w:p>
      <w:pPr>
        <w:spacing w:after="0" w:line="161" w:lineRule="exact"/>
        <w:rPr>
          <w:rFonts w:ascii="Times New Roman" w:cs="Times New Roman" w:eastAsia="Times New Roman" w:hAnsi="Times New Roman"/>
          <w:sz w:val="18"/>
          <w:szCs w:val="18"/>
          <w:color w:val="auto"/>
        </w:rPr>
      </w:pPr>
    </w:p>
    <w:p>
      <w:pPr>
        <w:jc w:val="both"/>
        <w:ind w:left="1300" w:firstLine="328"/>
        <w:spacing w:after="0" w:line="261" w:lineRule="auto"/>
        <w:tabs>
          <w:tab w:leader="none" w:pos="19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(and premium or Make-Whole Amount, if any) or interest on any Securities or coupons on behalf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Blockage Notice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Payment Blockage Period</w:t>
      </w:r>
      <w:r>
        <w:rPr>
          <w:rFonts w:ascii="Times New Roman" w:cs="Times New Roman" w:eastAsia="Times New Roman" w:hAnsi="Times New Roman"/>
          <w:sz w:val="18"/>
          <w:szCs w:val="18"/>
          <w:color w:val="auto"/>
        </w:rPr>
        <w:t>” have the respective meanings specified in Section 1603.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has the meaning specified in Section 1602.</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Security to be redeemed, in whole or in part, means the date fixed for such redemption by or pursuant to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Security</w:t>
      </w:r>
      <w:r>
        <w:rPr>
          <w:rFonts w:ascii="Times New Roman" w:cs="Times New Roman" w:eastAsia="Times New Roman" w:hAnsi="Times New Roman"/>
          <w:sz w:val="18"/>
          <w:szCs w:val="18"/>
          <w:color w:val="auto"/>
        </w:rPr>
        <w:t>” shall mean any Security which is registered in the Security Register.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means, when used with respect to any Security to be repaid at the option of the Holder, the date fixed for such repayment by or pursuant to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Price</w:t>
      </w:r>
      <w:r>
        <w:rPr>
          <w:rFonts w:ascii="Times New Roman" w:cs="Times New Roman" w:eastAsia="Times New Roman" w:hAnsi="Times New Roman"/>
          <w:sz w:val="18"/>
          <w:szCs w:val="18"/>
          <w:color w:val="auto"/>
        </w:rPr>
        <w:t>” means, when used with respect to any Security to be repaid at the option of the Holder, the price at which it is to be repaid by or pursuant to this Indenture.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Record Date</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Payment</w:t>
      </w:r>
      <w:r>
        <w:rPr>
          <w:rFonts w:ascii="Times New Roman" w:cs="Times New Roman" w:eastAsia="Times New Roman" w:hAnsi="Times New Roman"/>
          <w:sz w:val="18"/>
          <w:szCs w:val="18"/>
          <w:color w:val="auto"/>
        </w:rPr>
        <w:t>” has the meaning specified in Section 1602.</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has the meaning stated in the first recital of this Indenture and, more particularly, means any Security or Securities authenticated and delivered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xml:space="preserve">”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 such Indebtedness; (2) any Indebtedness which by its terms refers explicitly to the Securities and states that such Indebtedness shall not be senior, shall be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shall be subordinated in right of payment to the Securities; and (3) with respect to any series of Securities, any Indebtedness of the Company evidenced by Securities of the same or of another series. Notwithstanding anything to the contrary in the foregoing, Senior Indebtedness shall not include: (a) Indebtedness of or amounts owed by the Company for compensation to employees, or for goods, materials or services purchased in the ordinary course of business, or (b) Indebtedness of the Company to a Subsidiary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of Securities means all securities denoted as part of the same series authorized by or pursuant to a particular Board Resolution.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Term Rights</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which is a “significant subsidiary” (as defined in Article I, Rule 1-02 of Regulation S-X, promulgated under the Securities Act of 1933, as amended)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for the payment of any Defaulted Interest on the Registered Securities of or within any series means a date fixed by the Company pursuant to Section 307.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or other entity of which a majority of</w:t>
      </w:r>
    </w:p>
    <w:p>
      <w:pPr>
        <w:spacing w:after="0" w:line="27" w:lineRule="exact"/>
        <w:rPr>
          <w:sz w:val="20"/>
          <w:szCs w:val="20"/>
          <w:color w:val="auto"/>
        </w:rPr>
      </w:pPr>
    </w:p>
    <w:p>
      <w:pPr>
        <w:jc w:val="both"/>
        <w:ind w:firstLine="8"/>
        <w:spacing w:after="0" w:line="255" w:lineRule="auto"/>
        <w:tabs>
          <w:tab w:leader="none" w:pos="2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 of the voting equity securities or (ii) the outstanding equity interests are owned, directly or indirectly, by such Person. For the purposes of this definition, “voting equity securities” means equity securities having voting power for the election of directors, whether at all times or only so long as no senior class of security has such voting power by reason of any contingency.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OTCQB tier of the OTC Market Group is open for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means the Trust Indenture Act of 1939, as amended and as in force at the date as of which this Indenture was executed, except as provided in Section 905.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there is more than one such Person, “Trustee” as used with respect to the Securities of any series shall mean only the Trustee with respect to Securities of that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Distribution</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to Maturity</w:t>
      </w:r>
      <w:r>
        <w:rPr>
          <w:rFonts w:ascii="Times New Roman" w:cs="Times New Roman" w:eastAsia="Times New Roman" w:hAnsi="Times New Roman"/>
          <w:sz w:val="18"/>
          <w:szCs w:val="18"/>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(including certificates delivered pursuant to Section 1008) shall include:</w:t>
      </w:r>
    </w:p>
    <w:p>
      <w:pPr>
        <w:spacing w:after="0" w:line="162" w:lineRule="exact"/>
        <w:rPr>
          <w:sz w:val="20"/>
          <w:szCs w:val="20"/>
          <w:color w:val="auto"/>
        </w:rPr>
      </w:pPr>
    </w:p>
    <w:p>
      <w:pPr>
        <w:ind w:left="1240" w:hanging="260"/>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condition or covenant and the definitions herein relating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ind w:left="660" w:firstLine="320"/>
        <w:spacing w:after="0" w:line="282" w:lineRule="auto"/>
        <w:tabs>
          <w:tab w:leader="none" w:pos="12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25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6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ind w:right="20" w:firstLine="1304"/>
        <w:spacing w:after="0" w:line="282" w:lineRule="auto"/>
        <w:tabs>
          <w:tab w:leader="none" w:pos="155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91"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and Company</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Trustee by any Holder or by the Company shall be sufficient for every purpose hereunder if made, given, furnished or filed in</w:t>
      </w:r>
    </w:p>
    <w:p>
      <w:pPr>
        <w:spacing w:after="0" w:line="27"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writing to or with the Trustee at [ ] or at any other address previously furnished in writing to the Company by the Trustee, Attention: [ ]; or</w:t>
      </w:r>
    </w:p>
    <w:p>
      <w:pPr>
        <w:spacing w:after="0" w:line="200" w:lineRule="exact"/>
        <w:rPr>
          <w:sz w:val="20"/>
          <w:szCs w:val="20"/>
          <w:color w:val="auto"/>
        </w:rPr>
      </w:pPr>
    </w:p>
    <w:p>
      <w:pPr>
        <w:spacing w:after="0" w:line="214" w:lineRule="exact"/>
        <w:rPr>
          <w:sz w:val="20"/>
          <w:szCs w:val="20"/>
          <w:color w:val="auto"/>
        </w:rPr>
      </w:pPr>
    </w:p>
    <w:p>
      <w:pPr>
        <w:ind w:left="1580" w:hanging="276"/>
        <w:spacing w:after="0"/>
        <w:tabs>
          <w:tab w:leader="none" w:pos="15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if in writing and mailed, first-class postage prepaid, to the Company addressed to it at the address of its principal office specified in the</w:t>
      </w:r>
    </w:p>
    <w:p>
      <w:pPr>
        <w:spacing w:after="0" w:line="22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first paragraph of this Indenture or at any other address previously furnished in writing to the Trustee by the Company, Attention: [ ]; or</w:t>
      </w:r>
    </w:p>
    <w:p>
      <w:pPr>
        <w:spacing w:after="0" w:line="200" w:lineRule="exact"/>
        <w:rPr>
          <w:sz w:val="20"/>
          <w:szCs w:val="20"/>
          <w:color w:val="auto"/>
        </w:rPr>
      </w:pPr>
    </w:p>
    <w:p>
      <w:pPr>
        <w:spacing w:after="0" w:line="223" w:lineRule="exact"/>
        <w:rPr>
          <w:sz w:val="20"/>
          <w:szCs w:val="20"/>
          <w:color w:val="auto"/>
        </w:rPr>
      </w:pPr>
    </w:p>
    <w:p>
      <w:pPr>
        <w:jc w:val="both"/>
        <w:ind w:left="660" w:firstLine="644"/>
        <w:spacing w:after="0" w:line="261" w:lineRule="auto"/>
        <w:tabs>
          <w:tab w:leader="none" w:pos="157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w:t>
      </w:r>
    </w:p>
    <w:p>
      <w:pPr>
        <w:ind w:left="660"/>
        <w:spacing w:after="0"/>
        <w:tabs>
          <w:tab w:leader="none" w:pos="2900" w:val="left"/>
          <w:tab w:leader="none" w:pos="7140" w:val="left"/>
        </w:tabs>
        <w:rPr>
          <w:sz w:val="20"/>
          <w:szCs w:val="20"/>
          <w:color w:val="auto"/>
        </w:rPr>
      </w:pPr>
      <w:r>
        <w:rPr>
          <w:rFonts w:ascii="Times New Roman" w:cs="Times New Roman" w:eastAsia="Times New Roman" w:hAnsi="Times New Roman"/>
          <w:sz w:val="18"/>
          <w:szCs w:val="18"/>
          <w:color w:val="auto"/>
        </w:rPr>
        <w:t>facsimile number [</w:t>
      </w:r>
      <w:r>
        <w:rPr>
          <w:sz w:val="20"/>
          <w:szCs w:val="20"/>
          <w:color w:val="auto"/>
        </w:rPr>
        <w:tab/>
      </w:r>
      <w:r>
        <w:rPr>
          <w:rFonts w:ascii="Times New Roman" w:cs="Times New Roman" w:eastAsia="Times New Roman" w:hAnsi="Times New Roman"/>
          <w:sz w:val="18"/>
          <w:szCs w:val="18"/>
          <w:color w:val="auto"/>
        </w:rPr>
        <w:t>]; and if to the Company at facsimile number [</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Counterparts; Effect of Headings and Table of Contents</w:t>
      </w:r>
      <w:r>
        <w:rPr>
          <w:rFonts w:ascii="Times New Roman" w:cs="Times New Roman" w:eastAsia="Times New Roman" w:hAnsi="Times New Roman"/>
          <w:sz w:val="18"/>
          <w:szCs w:val="18"/>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in this Indenture by the Company shall bind its successors and assigns, whether so expressed or not.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 Clause</w:t>
      </w:r>
      <w:r>
        <w:rPr>
          <w:rFonts w:ascii="Times New Roman" w:cs="Times New Roman" w:eastAsia="Times New Roman" w:hAnsi="Times New Roman"/>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Limited Liability; Immunity of Stockholders, Directors, Officers and Agents of the Company</w:t>
      </w:r>
      <w:r>
        <w:rPr>
          <w:rFonts w:ascii="Times New Roman" w:cs="Times New Roman" w:eastAsia="Times New Roman" w:hAnsi="Times New Roman"/>
          <w:sz w:val="18"/>
          <w:szCs w:val="18"/>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color w:val="auto"/>
        </w:rPr>
        <w:t>ARTICLE TWO - SECURITIES FORMS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of Securities</w:t>
      </w:r>
      <w:r>
        <w:rPr>
          <w:rFonts w:ascii="Times New Roman" w:cs="Times New Roman" w:eastAsia="Times New Roman" w:hAnsi="Times New Roman"/>
          <w:sz w:val="18"/>
          <w:szCs w:val="18"/>
          <w:color w:val="auto"/>
        </w:rPr>
        <w:t xml:space="preserve">. The Registered Securities, if any, of each series and the Bearer Securities, if any, of each series and related coupons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Subject to Section 611, the Trustee’s certificate of authentication shall be in substantially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25" w:lineRule="exact"/>
        <w:rPr>
          <w:sz w:val="20"/>
          <w:szCs w:val="20"/>
          <w:color w:val="auto"/>
        </w:rPr>
      </w:pPr>
    </w:p>
    <w:p>
      <w:pPr>
        <w:ind w:left="11200"/>
        <w:spacing w:after="0"/>
        <w:rPr>
          <w:sz w:val="20"/>
          <w:szCs w:val="20"/>
          <w:color w:val="auto"/>
        </w:rPr>
      </w:pP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670369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6703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Securities Issuable in Global Form</w:t>
      </w:r>
      <w:r>
        <w:rPr>
          <w:rFonts w:ascii="Times New Roman" w:cs="Times New Roman" w:eastAsia="Times New Roman" w:hAnsi="Times New Roman"/>
          <w:sz w:val="18"/>
          <w:szCs w:val="18"/>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THREE - THE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which may be authenticated and delivered under this Indenture is unlimited.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76" w:lineRule="exact"/>
        <w:rPr>
          <w:sz w:val="20"/>
          <w:szCs w:val="20"/>
          <w:color w:val="auto"/>
        </w:rPr>
      </w:pPr>
    </w:p>
    <w:p>
      <w:pPr>
        <w:ind w:left="660" w:firstLine="320"/>
        <w:spacing w:after="0" w:line="282" w:lineRule="auto"/>
        <w:tabs>
          <w:tab w:leader="none" w:pos="124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including “CUSIP” numbers (which shall distinguish the Securities of such series from all other series of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left="-320" w:firstLine="320"/>
        <w:spacing w:after="0" w:line="261" w:lineRule="auto"/>
        <w:tabs>
          <w:tab w:leader="none" w:pos="2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79"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28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Preferred Stock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320" w:firstLine="320"/>
        <w:spacing w:after="0" w:line="282" w:lineRule="auto"/>
        <w:tabs>
          <w:tab w:leader="none" w:pos="2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61" w:lineRule="exact"/>
        <w:rPr>
          <w:rFonts w:ascii="Times New Roman" w:cs="Times New Roman" w:eastAsia="Times New Roman" w:hAnsi="Times New Roman"/>
          <w:sz w:val="18"/>
          <w:szCs w:val="18"/>
          <w:color w:val="auto"/>
        </w:rPr>
      </w:pPr>
    </w:p>
    <w:p>
      <w:pPr>
        <w:ind w:left="260" w:hanging="260"/>
        <w:spacing w:after="0"/>
        <w:tabs>
          <w:tab w:leader="none" w:pos="2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on which the principal of such Securities will be payable;</w:t>
      </w:r>
    </w:p>
    <w:p>
      <w:pPr>
        <w:spacing w:after="0" w:line="225" w:lineRule="exact"/>
        <w:rPr>
          <w:rFonts w:ascii="Times New Roman" w:cs="Times New Roman" w:eastAsia="Times New Roman" w:hAnsi="Times New Roman"/>
          <w:sz w:val="18"/>
          <w:szCs w:val="18"/>
          <w:color w:val="auto"/>
        </w:rPr>
      </w:pPr>
    </w:p>
    <w:p>
      <w:pPr>
        <w:ind w:left="-320" w:firstLine="320"/>
        <w:spacing w:after="0" w:line="282" w:lineRule="auto"/>
        <w:tabs>
          <w:tab w:leader="none" w:pos="26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or the method by which such rate or rates shall be determined, at which such Securities will bear interest, if any;</w:t>
      </w:r>
    </w:p>
    <w:p>
      <w:pPr>
        <w:spacing w:after="0" w:line="161"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26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79" w:lineRule="exact"/>
        <w:rPr>
          <w:rFonts w:ascii="Times New Roman" w:cs="Times New Roman" w:eastAsia="Times New Roman" w:hAnsi="Times New Roman"/>
          <w:sz w:val="18"/>
          <w:szCs w:val="18"/>
          <w:color w:val="auto"/>
        </w:rPr>
      </w:pPr>
    </w:p>
    <w:p>
      <w:pPr>
        <w:ind w:left="-320" w:right="20" w:firstLine="320"/>
        <w:spacing w:after="0" w:line="282" w:lineRule="auto"/>
        <w:tabs>
          <w:tab w:leader="none" w:pos="27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Make-Whole Amount, if any, or method for determining the Make-Whole Amount, if any, payable with respect to such Securities, and the terms upon which such amount, if any, will be payable;</w:t>
      </w:r>
    </w:p>
    <w:p>
      <w:pPr>
        <w:spacing w:after="0" w:line="161" w:lineRule="exact"/>
        <w:rPr>
          <w:rFonts w:ascii="Times New Roman" w:cs="Times New Roman" w:eastAsia="Times New Roman" w:hAnsi="Times New Roman"/>
          <w:sz w:val="18"/>
          <w:szCs w:val="18"/>
          <w:color w:val="auto"/>
        </w:rPr>
      </w:pPr>
    </w:p>
    <w:p>
      <w:pPr>
        <w:jc w:val="both"/>
        <w:ind w:left="-320" w:firstLine="320"/>
        <w:spacing w:after="0" w:line="266" w:lineRule="auto"/>
        <w:tabs>
          <w:tab w:leader="none" w:pos="26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39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84" w:name="page185"/>
    <w:bookmarkEnd w:id="184"/>
    <w:p>
      <w:pPr>
        <w:ind w:left="-320" w:firstLine="320"/>
        <w:spacing w:after="0" w:line="282" w:lineRule="auto"/>
        <w:tabs>
          <w:tab w:leader="none" w:pos="3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left="-320" w:firstLine="320"/>
        <w:spacing w:after="0" w:line="266" w:lineRule="auto"/>
        <w:tabs>
          <w:tab w:leader="none" w:pos="3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75" w:lineRule="exact"/>
        <w:rPr>
          <w:rFonts w:ascii="Times New Roman" w:cs="Times New Roman" w:eastAsia="Times New Roman" w:hAnsi="Times New Roman"/>
          <w:sz w:val="18"/>
          <w:szCs w:val="18"/>
          <w:color w:val="auto"/>
        </w:rPr>
      </w:pPr>
    </w:p>
    <w:p>
      <w:pPr>
        <w:jc w:val="both"/>
        <w:ind w:left="-320" w:firstLine="320"/>
        <w:spacing w:after="0" w:line="266" w:lineRule="auto"/>
        <w:tabs>
          <w:tab w:leader="none" w:pos="3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75"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38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79" w:lineRule="exact"/>
        <w:rPr>
          <w:rFonts w:ascii="Times New Roman" w:cs="Times New Roman" w:eastAsia="Times New Roman" w:hAnsi="Times New Roman"/>
          <w:sz w:val="18"/>
          <w:szCs w:val="18"/>
          <w:color w:val="auto"/>
        </w:rPr>
      </w:pPr>
    </w:p>
    <w:p>
      <w:pPr>
        <w:jc w:val="both"/>
        <w:ind w:left="-320" w:firstLine="320"/>
        <w:spacing w:after="0" w:line="255" w:lineRule="auto"/>
        <w:tabs>
          <w:tab w:leader="none" w:pos="34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88" w:lineRule="exact"/>
        <w:rPr>
          <w:rFonts w:ascii="Times New Roman" w:cs="Times New Roman" w:eastAsia="Times New Roman" w:hAnsi="Times New Roman"/>
          <w:sz w:val="18"/>
          <w:szCs w:val="18"/>
          <w:color w:val="auto"/>
        </w:rPr>
      </w:pPr>
    </w:p>
    <w:p>
      <w:pPr>
        <w:ind w:left="-320" w:firstLine="320"/>
        <w:spacing w:after="0" w:line="282" w:lineRule="auto"/>
        <w:tabs>
          <w:tab w:leader="none" w:pos="37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 specified;</w:t>
      </w:r>
    </w:p>
    <w:p>
      <w:pPr>
        <w:spacing w:after="0" w:line="161" w:lineRule="exact"/>
        <w:rPr>
          <w:rFonts w:ascii="Times New Roman" w:cs="Times New Roman" w:eastAsia="Times New Roman" w:hAnsi="Times New Roman"/>
          <w:sz w:val="18"/>
          <w:szCs w:val="18"/>
          <w:color w:val="auto"/>
        </w:rPr>
      </w:pPr>
    </w:p>
    <w:p>
      <w:pPr>
        <w:ind w:left="-320" w:firstLine="320"/>
        <w:spacing w:after="0" w:line="282" w:lineRule="auto"/>
        <w:tabs>
          <w:tab w:leader="none" w:pos="35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37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85" w:name="page186"/>
    <w:bookmarkEnd w:id="185"/>
    <w:p>
      <w:pPr>
        <w:jc w:val="both"/>
        <w:ind w:left="-320" w:firstLine="320"/>
        <w:spacing w:after="0" w:line="266" w:lineRule="auto"/>
        <w:tabs>
          <w:tab w:leader="none" w:pos="38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75" w:lineRule="exact"/>
        <w:rPr>
          <w:rFonts w:ascii="Times New Roman" w:cs="Times New Roman" w:eastAsia="Times New Roman" w:hAnsi="Times New Roman"/>
          <w:sz w:val="18"/>
          <w:szCs w:val="18"/>
          <w:color w:val="auto"/>
        </w:rPr>
      </w:pPr>
    </w:p>
    <w:p>
      <w:pPr>
        <w:jc w:val="both"/>
        <w:ind w:left="-320" w:firstLine="320"/>
        <w:spacing w:after="0" w:line="254" w:lineRule="auto"/>
        <w:tabs>
          <w:tab w:leader="none" w:pos="36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91" w:lineRule="exact"/>
        <w:rPr>
          <w:rFonts w:ascii="Times New Roman" w:cs="Times New Roman" w:eastAsia="Times New Roman" w:hAnsi="Times New Roman"/>
          <w:sz w:val="18"/>
          <w:szCs w:val="18"/>
          <w:color w:val="auto"/>
        </w:rPr>
      </w:pPr>
    </w:p>
    <w:p>
      <w:pPr>
        <w:ind w:left="-320" w:firstLine="320"/>
        <w:spacing w:after="0" w:line="282" w:lineRule="auto"/>
        <w:tabs>
          <w:tab w:leader="none" w:pos="36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61" w:lineRule="exact"/>
        <w:rPr>
          <w:rFonts w:ascii="Times New Roman" w:cs="Times New Roman" w:eastAsia="Times New Roman" w:hAnsi="Times New Roman"/>
          <w:sz w:val="18"/>
          <w:szCs w:val="18"/>
          <w:color w:val="auto"/>
        </w:rPr>
      </w:pPr>
    </w:p>
    <w:p>
      <w:pPr>
        <w:jc w:val="both"/>
        <w:ind w:left="-320" w:firstLine="320"/>
        <w:spacing w:after="0" w:line="255" w:lineRule="auto"/>
        <w:tabs>
          <w:tab w:leader="none" w:pos="35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each case, that the manner of determining such Person or making such payment shall be acceptable to the Trustee (as not imposing on it any undue administrative burden or risk of liability);</w:t>
      </w:r>
    </w:p>
    <w:p>
      <w:pPr>
        <w:spacing w:after="0" w:line="188" w:lineRule="exact"/>
        <w:rPr>
          <w:rFonts w:ascii="Times New Roman" w:cs="Times New Roman" w:eastAsia="Times New Roman" w:hAnsi="Times New Roman"/>
          <w:sz w:val="18"/>
          <w:szCs w:val="18"/>
          <w:color w:val="auto"/>
        </w:rPr>
      </w:pPr>
    </w:p>
    <w:p>
      <w:pPr>
        <w:ind w:left="340" w:hanging="340"/>
        <w:spacing w:after="0"/>
        <w:tabs>
          <w:tab w:leader="none" w:pos="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of Article Fourteen hereof to the Securities of the series;</w:t>
      </w:r>
    </w:p>
    <w:p>
      <w:pPr>
        <w:spacing w:after="0" w:line="225" w:lineRule="exact"/>
        <w:rPr>
          <w:rFonts w:ascii="Times New Roman" w:cs="Times New Roman" w:eastAsia="Times New Roman" w:hAnsi="Times New Roman"/>
          <w:sz w:val="18"/>
          <w:szCs w:val="18"/>
          <w:color w:val="auto"/>
        </w:rPr>
      </w:pPr>
    </w:p>
    <w:p>
      <w:pPr>
        <w:jc w:val="both"/>
        <w:ind w:left="-320" w:firstLine="320"/>
        <w:spacing w:after="0" w:line="261" w:lineRule="auto"/>
        <w:tabs>
          <w:tab w:leader="none" w:pos="35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79" w:lineRule="exact"/>
        <w:rPr>
          <w:rFonts w:ascii="Times New Roman" w:cs="Times New Roman" w:eastAsia="Times New Roman" w:hAnsi="Times New Roman"/>
          <w:sz w:val="18"/>
          <w:szCs w:val="18"/>
          <w:color w:val="auto"/>
        </w:rPr>
      </w:pPr>
    </w:p>
    <w:p>
      <w:pPr>
        <w:jc w:val="both"/>
        <w:ind w:left="-320" w:firstLine="320"/>
        <w:spacing w:after="0" w:line="266" w:lineRule="auto"/>
        <w:tabs>
          <w:tab w:leader="none" w:pos="37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39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86" w:name="page187"/>
    <w:bookmarkEnd w:id="186"/>
    <w:p>
      <w:pPr>
        <w:ind w:left="660" w:right="20" w:firstLine="320"/>
        <w:spacing w:after="0" w:line="282" w:lineRule="auto"/>
        <w:tabs>
          <w:tab w:leader="none" w:pos="1333"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61" w:lineRule="exact"/>
        <w:rPr>
          <w:rFonts w:ascii="Times New Roman" w:cs="Times New Roman" w:eastAsia="Times New Roman" w:hAnsi="Times New Roman"/>
          <w:sz w:val="18"/>
          <w:szCs w:val="18"/>
          <w:color w:val="auto"/>
        </w:rPr>
      </w:pPr>
    </w:p>
    <w:p>
      <w:pPr>
        <w:ind w:left="1320" w:hanging="340"/>
        <w:spacing w:after="0"/>
        <w:tabs>
          <w:tab w:leader="none" w:pos="1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this Indenture).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Dating</w:t>
      </w:r>
      <w:r>
        <w:rPr>
          <w:rFonts w:ascii="Times New Roman" w:cs="Times New Roman" w:eastAsia="Times New Roman" w:hAnsi="Times New Roman"/>
          <w:sz w:val="18"/>
          <w:szCs w:val="18"/>
          <w:color w:val="auto"/>
        </w:rPr>
        <w:t>. The Securities and any coupons appertaining thereto shall be executed on behalf of the Company by its Chairman of the Board,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connection with its original issuance, no Bearer Security shall be mailed or otherwise delivered to any location in the United States;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83" w:lineRule="exact"/>
        <w:rPr>
          <w:sz w:val="20"/>
          <w:szCs w:val="20"/>
          <w:color w:val="auto"/>
        </w:rPr>
      </w:pPr>
    </w:p>
    <w:p>
      <w:pPr>
        <w:ind w:left="2160" w:hanging="208"/>
        <w:spacing w:after="0"/>
        <w:tabs>
          <w:tab w:leader="none" w:pos="21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w:t>
      </w:r>
    </w:p>
    <w:p>
      <w:pPr>
        <w:spacing w:after="0" w:line="225" w:lineRule="exact"/>
        <w:rPr>
          <w:rFonts w:ascii="Times New Roman" w:cs="Times New Roman" w:eastAsia="Times New Roman" w:hAnsi="Times New Roman"/>
          <w:sz w:val="18"/>
          <w:szCs w:val="18"/>
          <w:color w:val="auto"/>
        </w:rPr>
      </w:pPr>
    </w:p>
    <w:p>
      <w:pPr>
        <w:ind w:left="1960" w:right="20" w:firstLine="640"/>
        <w:spacing w:after="0" w:line="282" w:lineRule="auto"/>
        <w:tabs>
          <w:tab w:leader="none" w:pos="2867"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such Securities and any coupons have been established in conformity with the provisions of this Indenture;</w:t>
      </w:r>
    </w:p>
    <w:p>
      <w:pPr>
        <w:spacing w:after="0" w:line="161" w:lineRule="exact"/>
        <w:rPr>
          <w:rFonts w:ascii="Times New Roman" w:cs="Times New Roman" w:eastAsia="Times New Roman" w:hAnsi="Times New Roman"/>
          <w:sz w:val="18"/>
          <w:szCs w:val="18"/>
          <w:color w:val="auto"/>
        </w:rPr>
      </w:pPr>
    </w:p>
    <w:p>
      <w:pPr>
        <w:ind w:left="1960" w:firstLine="640"/>
        <w:spacing w:after="0" w:line="282" w:lineRule="auto"/>
        <w:tabs>
          <w:tab w:leader="none" w:pos="289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Securities and any coupons have been established in conformity with the provisions of this Indenture; and</w:t>
      </w:r>
    </w:p>
    <w:p>
      <w:pPr>
        <w:spacing w:after="0" w:line="161" w:lineRule="exact"/>
        <w:rPr>
          <w:rFonts w:ascii="Times New Roman" w:cs="Times New Roman" w:eastAsia="Times New Roman" w:hAnsi="Times New Roman"/>
          <w:sz w:val="18"/>
          <w:szCs w:val="18"/>
          <w:color w:val="auto"/>
        </w:rPr>
      </w:pPr>
    </w:p>
    <w:p>
      <w:pPr>
        <w:jc w:val="both"/>
        <w:ind w:left="1960" w:firstLine="640"/>
        <w:spacing w:after="0" w:line="255" w:lineRule="auto"/>
        <w:tabs>
          <w:tab w:leader="none" w:pos="288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left="1300" w:firstLine="652"/>
        <w:spacing w:after="0" w:line="266" w:lineRule="auto"/>
        <w:tabs>
          <w:tab w:leader="none" w:pos="22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Registered Security shall be dated the date of its authentication and each Bearer Security shall be dated as of the date specified as contemplated by Section 301.</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0"/>
        <w:spacing w:after="0" w:line="256"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definitive Bearer Security shall be delivered in exchange for a temporary Registered Security;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92" w:lineRule="exact"/>
        <w:rPr>
          <w:sz w:val="20"/>
          <w:szCs w:val="20"/>
          <w:color w:val="auto"/>
        </w:rPr>
      </w:pPr>
    </w:p>
    <w:p>
      <w:pPr>
        <w:jc w:val="both"/>
        <w:ind w:firstLine="980"/>
        <w:spacing w:after="0" w:line="258" w:lineRule="auto"/>
        <w:tabs>
          <w:tab w:leader="none" w:pos="1263"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 as may be established pursuant to Section 301;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definitive Bearer Securities shall be delivered in exchange for a portion of a temporary Global Security only in compliance with the requirements of Section 303.</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Exhibit B-1 or B-2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Conversion and Exchange</w:t>
      </w:r>
      <w:r>
        <w:rPr>
          <w:rFonts w:ascii="Times New Roman" w:cs="Times New Roman" w:eastAsia="Times New Roman" w:hAnsi="Times New Roman"/>
          <w:sz w:val="18"/>
          <w:szCs w:val="18"/>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06" w:gutter="0" w:footer="0" w:header="0"/>
        </w:sectPr>
      </w:pPr>
    </w:p>
    <w:bookmarkStart w:id="192" w:name="page193"/>
    <w:bookmarkEnd w:id="1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w:t>
      </w:r>
    </w:p>
    <w:p>
      <w:pPr>
        <w:spacing w:after="0" w:line="3" w:lineRule="exact"/>
        <w:rPr>
          <w:sz w:val="20"/>
          <w:szCs w:val="20"/>
          <w:color w:val="auto"/>
        </w:rPr>
      </w:pPr>
    </w:p>
    <w:p>
      <w:pPr>
        <w:jc w:val="both"/>
        <w:ind w:firstLine="8"/>
        <w:spacing w:after="0" w:line="253" w:lineRule="auto"/>
        <w:tabs>
          <w:tab w:leader="none" w:pos="28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Interest Rights Preserved</w:t>
      </w:r>
      <w:r>
        <w:rPr>
          <w:rFonts w:ascii="Times New Roman" w:cs="Times New Roman" w:eastAsia="Times New Roman" w:hAnsi="Times New Roman"/>
          <w:sz w:val="18"/>
          <w:szCs w:val="18"/>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w:t>
      </w:r>
    </w:p>
    <w:p>
      <w:pPr>
        <w:spacing w:after="0" w:line="5" w:lineRule="exact"/>
        <w:rPr>
          <w:sz w:val="20"/>
          <w:szCs w:val="20"/>
          <w:color w:val="auto"/>
        </w:rPr>
      </w:pPr>
    </w:p>
    <w:p>
      <w:pPr>
        <w:ind w:left="5540" w:right="5260" w:hanging="5532"/>
        <w:spacing w:after="0" w:line="530" w:lineRule="auto"/>
        <w:tabs>
          <w:tab w:leader="none" w:pos="279"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to an account maintained by the payee located inside the United States.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80" w:lineRule="exact"/>
        <w:rPr>
          <w:sz w:val="20"/>
          <w:szCs w:val="20"/>
          <w:color w:val="auto"/>
        </w:rPr>
      </w:pPr>
    </w:p>
    <w:p>
      <w:pPr>
        <w:jc w:val="both"/>
        <w:ind w:left="660" w:firstLine="644"/>
        <w:spacing w:after="0" w:line="251" w:lineRule="auto"/>
        <w:tabs>
          <w:tab w:leader="none" w:pos="156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204"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Sections 305 and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xml:space="preserve">. 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FOUR - SATISFACTION AND DISCHARGE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83" w:lineRule="exact"/>
        <w:rPr>
          <w:sz w:val="20"/>
          <w:szCs w:val="20"/>
          <w:color w:val="auto"/>
        </w:rPr>
      </w:pPr>
    </w:p>
    <w:p>
      <w:pPr>
        <w:ind w:left="1560" w:hanging="256"/>
        <w:spacing w:after="0"/>
        <w:tabs>
          <w:tab w:leader="none" w:pos="1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and all coupons, if any, appertaining thereto (other than</w:t>
      </w:r>
    </w:p>
    <w:p>
      <w:pPr>
        <w:spacing w:after="0" w:line="27"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88" w:lineRule="exact"/>
        <w:rPr>
          <w:rFonts w:ascii="Times New Roman" w:cs="Times New Roman" w:eastAsia="Times New Roman" w:hAnsi="Times New Roman"/>
          <w:sz w:val="18"/>
          <w:szCs w:val="18"/>
          <w:color w:val="auto"/>
        </w:rPr>
      </w:pPr>
    </w:p>
    <w:p>
      <w:pPr>
        <w:ind w:left="1300" w:firstLine="652"/>
        <w:spacing w:after="0" w:line="282" w:lineRule="auto"/>
        <w:tabs>
          <w:tab w:leader="none" w:pos="2235"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and, in the case of (i) or (ii) below, any coupons appertaining thereto not theretofore delivered to the Trustee for cancellation</w:t>
      </w:r>
    </w:p>
    <w:p>
      <w:pPr>
        <w:spacing w:after="0" w:line="162" w:lineRule="exact"/>
        <w:rPr>
          <w:sz w:val="20"/>
          <w:szCs w:val="20"/>
          <w:color w:val="auto"/>
        </w:rPr>
      </w:pPr>
    </w:p>
    <w:p>
      <w:pPr>
        <w:ind w:left="2160" w:hanging="208"/>
        <w:spacing w:after="0"/>
        <w:tabs>
          <w:tab w:leader="none" w:pos="21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83" w:lineRule="exact"/>
        <w:rPr>
          <w:sz w:val="20"/>
          <w:szCs w:val="20"/>
          <w:color w:val="auto"/>
        </w:rPr>
      </w:pPr>
    </w:p>
    <w:p>
      <w:pPr>
        <w:ind w:left="1560" w:hanging="256"/>
        <w:spacing w:after="0"/>
        <w:tabs>
          <w:tab w:leader="none" w:pos="15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9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Application of Trust Funds</w:t>
      </w:r>
      <w:r>
        <w:rPr>
          <w:rFonts w:ascii="Times New Roman" w:cs="Times New Roman" w:eastAsia="Times New Roman" w:hAnsi="Times New Roman"/>
          <w:sz w:val="18"/>
          <w:szCs w:val="18"/>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color w:val="auto"/>
        </w:rPr>
        <w:t>ARTICLE FIVE - REMEDIES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left="660" w:firstLine="644"/>
        <w:spacing w:after="0" w:line="282" w:lineRule="auto"/>
        <w:tabs>
          <w:tab w:leader="none" w:pos="158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9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or Make-Whole Amount, if any, on) any Security of that series when it becomes due and payable at its Maturity; or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to the extent applicable to such series of Securities, when and as due by the terms of any Security of that series;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under any bond, debenture, note, mortgage, indenture or instrument under which there may be issued or by which there may be secured or evidenced any indebtedness for money borrowed by the Company (or by any Subsidiary, the repayment of which the Company has guaranteed or for which the Company is directly responsible or liable as obligor or guarantor), having an aggregate principal amount outstanding of at least $75,000,000,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the provisions of Sections 601 and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1560" w:hanging="256"/>
        <w:spacing w:after="0"/>
        <w:tabs>
          <w:tab w:leader="none" w:pos="1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Significant Subsidiary in an involuntary case,</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Significant Subsidiary or for all or substantially all of either of its property, or</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3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or any Significant Subsidiary, and the order or decree remains unstayed and in effect for 90 days;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80" w:lineRule="exact"/>
        <w:rPr>
          <w:sz w:val="20"/>
          <w:szCs w:val="20"/>
          <w:color w:val="auto"/>
        </w:rPr>
      </w:pPr>
    </w:p>
    <w:p>
      <w:pPr>
        <w:ind w:left="660" w:firstLine="644"/>
        <w:spacing w:after="0" w:line="282" w:lineRule="auto"/>
        <w:tabs>
          <w:tab w:leader="none" w:pos="157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on all Outstanding Securities of that series and any related coupons,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5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4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installments of interest at the rate or rates borne by or provided for in such Securities, and</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8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 The Company covenants that if:</w:t>
      </w:r>
    </w:p>
    <w:p>
      <w:pPr>
        <w:spacing w:after="0" w:line="225" w:lineRule="exact"/>
        <w:rPr>
          <w:sz w:val="20"/>
          <w:szCs w:val="20"/>
          <w:color w:val="auto"/>
        </w:rPr>
      </w:pPr>
    </w:p>
    <w:p>
      <w:pPr>
        <w:ind w:left="660" w:firstLine="644"/>
        <w:spacing w:after="0" w:line="282" w:lineRule="auto"/>
        <w:tabs>
          <w:tab w:leader="none" w:pos="156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or Make-Whole Amount, if any, on) any Security of any series at its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87" w:lineRule="exact"/>
        <w:rPr>
          <w:sz w:val="20"/>
          <w:szCs w:val="20"/>
          <w:color w:val="auto"/>
        </w:rPr>
      </w:pPr>
    </w:p>
    <w:p>
      <w:pPr>
        <w:jc w:val="both"/>
        <w:ind w:left="1300" w:firstLine="652"/>
        <w:spacing w:after="0" w:line="258" w:lineRule="auto"/>
        <w:tabs>
          <w:tab w:leader="none" w:pos="216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83"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Trustee May Enforce Claims Without Possession of Securities or Coupons</w:t>
      </w:r>
      <w:r>
        <w:rPr>
          <w:rFonts w:ascii="Times New Roman" w:cs="Times New Roman" w:eastAsia="Times New Roman" w:hAnsi="Times New Roman"/>
          <w:sz w:val="18"/>
          <w:szCs w:val="18"/>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and any predecessor Trustee under Section 606;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or any related coupon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such Holder has previously given written notice to the Trustee of a continuing Event of Default with respect to the Securities of that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left="660" w:firstLine="644"/>
        <w:spacing w:after="0" w:line="282" w:lineRule="auto"/>
        <w:tabs>
          <w:tab w:leader="none" w:pos="156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reasonably satisfactory to the Trustee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8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Unconditional Right of Holders to Receive Principal, Premium or Make-Whole Amount, if any, and Interest</w:t>
      </w:r>
      <w:r>
        <w:rPr>
          <w:rFonts w:ascii="Times New Roman" w:cs="Times New Roman" w:eastAsia="Times New Roman" w:hAnsi="Times New Roman"/>
          <w:sz w:val="18"/>
          <w:szCs w:val="18"/>
          <w:color w:val="auto"/>
        </w:rPr>
        <w:t>. Notwithstanding any other provision in this Indenture, the Holder of any Security or coupon shall have the right which is absolute and unconditional to receive payment of the principal of (and premium or Make-Whole Amount, if any) and (subject to Sections 305 and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Control by Holders of Securities</w:t>
      </w:r>
      <w:r>
        <w:rPr>
          <w:rFonts w:ascii="Times New Roman" w:cs="Times New Roman" w:eastAsia="Times New Roman" w:hAnsi="Times New Roman"/>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ind w:left="1560" w:hanging="256"/>
        <w:spacing w:after="0"/>
        <w:tabs>
          <w:tab w:leader="none" w:pos="15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which might involve it in personal liability or be unduly prejudicial to the Holders of Securities of such series not joining therein.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Nothing in this Indenture shall impair the right of the Trustee in its discretion to take any action deemed proper by the Trustee and which is not inconsistent with such direction by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76" w:lineRule="exact"/>
        <w:rPr>
          <w:sz w:val="20"/>
          <w:szCs w:val="20"/>
          <w:color w:val="auto"/>
        </w:rPr>
      </w:pPr>
    </w:p>
    <w:p>
      <w:pPr>
        <w:ind w:left="660" w:firstLine="644"/>
        <w:spacing w:after="0" w:line="282" w:lineRule="auto"/>
        <w:tabs>
          <w:tab w:leader="none" w:pos="158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Make-Whole Amount, if any) or interest on any Security of such series or any related coupons,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left="660" w:firstLine="644"/>
        <w:spacing w:after="0" w:line="282" w:lineRule="auto"/>
        <w:tabs>
          <w:tab w:leader="none" w:pos="158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Nine cannot be modified or amended without the consent of the Holder of each Outstanding Security of such series affected;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Waiver of Usury, Stay or Extension Laws</w:t>
      </w:r>
      <w:r>
        <w:rPr>
          <w:rFonts w:ascii="Times New Roman" w:cs="Times New Roman" w:eastAsia="Times New Roman" w:hAnsi="Times New Roman"/>
          <w:sz w:val="18"/>
          <w:szCs w:val="18"/>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SIX - THE TRUSTEE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Rights of Trustee</w:t>
      </w:r>
      <w:r>
        <w:rPr>
          <w:rFonts w:ascii="Times New Roman" w:cs="Times New Roman" w:eastAsia="Times New Roman" w:hAnsi="Times New Roman"/>
          <w:sz w:val="18"/>
          <w:szCs w:val="18"/>
          <w:color w:val="auto"/>
        </w:rPr>
        <w:t>. Subject to the provisions of TIA Section 315(a) through 315(d):</w:t>
      </w:r>
    </w:p>
    <w:p>
      <w:pPr>
        <w:spacing w:after="0" w:line="225" w:lineRule="exact"/>
        <w:rPr>
          <w:sz w:val="20"/>
          <w:szCs w:val="20"/>
          <w:color w:val="auto"/>
        </w:rPr>
      </w:pPr>
    </w:p>
    <w:p>
      <w:pPr>
        <w:jc w:val="both"/>
        <w:ind w:firstLine="644"/>
        <w:spacing w:after="0" w:line="261" w:lineRule="auto"/>
        <w:tabs>
          <w:tab w:leader="none" w:pos="92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90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9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91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90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92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7" w:name="page208"/>
    <w:bookmarkEnd w:id="207"/>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 xml:space="preserve">request, direction, consent, order, bond, debenture, note, coupon or other paper or document, unless requested in writing so to do by the Holders of not less than a majority in aggregate principal amount of the Outstanding Securities of any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94" w:lineRule="exact"/>
        <w:rPr>
          <w:sz w:val="20"/>
          <w:szCs w:val="20"/>
          <w:color w:val="auto"/>
        </w:rPr>
      </w:pPr>
    </w:p>
    <w:p>
      <w:pPr>
        <w:jc w:val="both"/>
        <w:ind w:left="4" w:firstLine="644"/>
        <w:spacing w:after="0" w:line="266" w:lineRule="auto"/>
        <w:tabs>
          <w:tab w:leader="none" w:pos="91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left="4" w:firstLine="644"/>
        <w:spacing w:after="0" w:line="282" w:lineRule="auto"/>
        <w:tabs>
          <w:tab w:leader="none" w:pos="93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919"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 or power available to the Trustee under this Indenture or any supplement hereto shall not be construed to be a mandatory duty or obligation;</w:t>
      </w:r>
    </w:p>
    <w:p>
      <w:pPr>
        <w:spacing w:after="0" w:line="161" w:lineRule="exact"/>
        <w:rPr>
          <w:rFonts w:ascii="Times New Roman" w:cs="Times New Roman" w:eastAsia="Times New Roman" w:hAnsi="Times New Roman"/>
          <w:sz w:val="18"/>
          <w:szCs w:val="18"/>
          <w:color w:val="auto"/>
        </w:rPr>
      </w:pPr>
    </w:p>
    <w:p>
      <w:pPr>
        <w:ind w:left="1004" w:hanging="356"/>
        <w:spacing w:after="0"/>
        <w:tabs>
          <w:tab w:leader="none" w:pos="100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charged with knowledge of any matter (including any default, other than as described in Section 501(1),</w:t>
      </w:r>
    </w:p>
    <w:p>
      <w:pPr>
        <w:spacing w:after="0" w:line="27" w:lineRule="exact"/>
        <w:rPr>
          <w:rFonts w:ascii="Times New Roman" w:cs="Times New Roman" w:eastAsia="Times New Roman" w:hAnsi="Times New Roman"/>
          <w:sz w:val="18"/>
          <w:szCs w:val="18"/>
          <w:color w:val="auto"/>
        </w:rPr>
      </w:pPr>
    </w:p>
    <w:p>
      <w:pPr>
        <w:ind w:left="4" w:right="20" w:hanging="4"/>
        <w:spacing w:after="0" w:line="260" w:lineRule="auto"/>
        <w:tabs>
          <w:tab w:leader="none" w:pos="26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(3)) unless and except to the extent actually known to a Responsible Officer of the Trustee or to the extent written notice thereof is received by the Trustee at the Corporate Trust Office;</w:t>
      </w:r>
    </w:p>
    <w:p>
      <w:pPr>
        <w:spacing w:after="0" w:line="181" w:lineRule="exact"/>
        <w:rPr>
          <w:rFonts w:ascii="Times New Roman" w:cs="Times New Roman" w:eastAsia="Times New Roman" w:hAnsi="Times New Roman"/>
          <w:sz w:val="18"/>
          <w:szCs w:val="18"/>
          <w:color w:val="auto"/>
        </w:rPr>
      </w:pPr>
    </w:p>
    <w:p>
      <w:pPr>
        <w:ind w:left="4" w:firstLine="644"/>
        <w:spacing w:after="0" w:line="282" w:lineRule="auto"/>
        <w:tabs>
          <w:tab w:leader="none" w:pos="993"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037"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0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8" w:name="page209"/>
    <w:bookmarkEnd w:id="20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 The Company agrees:</w:t>
      </w:r>
    </w:p>
    <w:p>
      <w:pPr>
        <w:spacing w:after="0" w:line="225" w:lineRule="exact"/>
        <w:rPr>
          <w:sz w:val="20"/>
          <w:szCs w:val="20"/>
          <w:color w:val="auto"/>
        </w:rPr>
      </w:pPr>
    </w:p>
    <w:p>
      <w:pPr>
        <w:ind w:left="660" w:right="20" w:firstLine="644"/>
        <w:spacing w:after="0" w:line="282" w:lineRule="auto"/>
        <w:tabs>
          <w:tab w:leader="none" w:pos="15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both"/>
        <w:ind w:left="660" w:firstLine="644"/>
        <w:spacing w:after="0" w:line="261" w:lineRule="auto"/>
        <w:tabs>
          <w:tab w:leader="none" w:pos="156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Trustee Required; Eligibility; Conflicting Interests</w:t>
      </w:r>
      <w:r>
        <w:rPr>
          <w:rFonts w:ascii="Times New Roman" w:cs="Times New Roman" w:eastAsia="Times New Roman" w:hAnsi="Times New Roman"/>
          <w:sz w:val="18"/>
          <w:szCs w:val="18"/>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5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225" w:lineRule="exact"/>
        <w:rPr>
          <w:sz w:val="20"/>
          <w:szCs w:val="20"/>
          <w:color w:val="auto"/>
        </w:rPr>
      </w:pPr>
    </w:p>
    <w:p>
      <w:pPr>
        <w:ind w:left="660" w:firstLine="644"/>
        <w:spacing w:after="0" w:line="282" w:lineRule="auto"/>
        <w:tabs>
          <w:tab w:leader="none" w:pos="15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left="660" w:firstLine="644"/>
        <w:spacing w:after="0" w:line="253" w:lineRule="auto"/>
        <w:tabs>
          <w:tab w:leader="none" w:pos="168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ind w:firstLine="1304"/>
        <w:spacing w:after="0" w:line="282" w:lineRule="auto"/>
        <w:tabs>
          <w:tab w:leader="none" w:pos="164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Trustee</w:t>
            </w: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060" w:type="dxa"/>
            <w:vAlign w:val="bottom"/>
          </w:tcPr>
          <w:p>
            <w:pPr>
              <w:spacing w:after="0"/>
              <w:rPr>
                <w:sz w:val="24"/>
                <w:szCs w:val="24"/>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80" w:type="dxa"/>
            <w:vAlign w:val="bottom"/>
          </w:tcPr>
          <w:p>
            <w:pPr>
              <w:spacing w:after="0"/>
              <w:rPr>
                <w:sz w:val="20"/>
                <w:szCs w:val="20"/>
                <w:color w:val="auto"/>
              </w:rPr>
            </w:pPr>
          </w:p>
        </w:tc>
        <w:tc>
          <w:tcPr>
            <w:tcW w:w="506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060" w:type="dxa"/>
            <w:vAlign w:val="bottom"/>
          </w:tcPr>
          <w:p>
            <w:pPr>
              <w:spacing w:after="0"/>
              <w:rPr>
                <w:sz w:val="24"/>
                <w:szCs w:val="24"/>
                <w:color w:val="auto"/>
              </w:rPr>
            </w:pPr>
          </w:p>
        </w:tc>
        <w:tc>
          <w:tcPr>
            <w:tcW w:w="5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580" w:type="dxa"/>
            <w:vAlign w:val="bottom"/>
          </w:tcPr>
          <w:p>
            <w:pPr>
              <w:spacing w:after="0"/>
              <w:rPr>
                <w:sz w:val="20"/>
                <w:szCs w:val="20"/>
                <w:color w:val="auto"/>
              </w:rPr>
            </w:pPr>
          </w:p>
        </w:tc>
        <w:tc>
          <w:tcPr>
            <w:tcW w:w="506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r>
        <w:trPr>
          <w:trHeight w:val="637"/>
        </w:trPr>
        <w:tc>
          <w:tcPr>
            <w:tcW w:w="5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50</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Certain Duties and Responsibilities of the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With respect to the Securities of any series, except during the continuance of an Event of Default with respect to the Securities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left="660" w:firstLine="644"/>
        <w:spacing w:after="0" w:line="282" w:lineRule="auto"/>
        <w:tabs>
          <w:tab w:leader="none" w:pos="158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3" w:lineRule="exact"/>
        <w:rPr>
          <w:sz w:val="20"/>
          <w:szCs w:val="20"/>
          <w:color w:val="auto"/>
        </w:rPr>
      </w:pPr>
    </w:p>
    <w:p>
      <w:pPr>
        <w:jc w:val="both"/>
        <w:ind w:firstLine="1304"/>
        <w:spacing w:after="0" w:line="266" w:lineRule="auto"/>
        <w:tabs>
          <w:tab w:leader="none" w:pos="155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5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left="1560" w:hanging="256"/>
        <w:spacing w:after="0"/>
        <w:tabs>
          <w:tab w:leader="none" w:pos="15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1304"/>
        <w:spacing w:after="0" w:line="258" w:lineRule="auto"/>
        <w:tabs>
          <w:tab w:leader="none" w:pos="155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83" w:lineRule="exact"/>
        <w:rPr>
          <w:sz w:val="20"/>
          <w:szCs w:val="20"/>
          <w:color w:val="auto"/>
        </w:rPr>
      </w:pPr>
    </w:p>
    <w:p>
      <w:pPr>
        <w:ind w:firstLine="1304"/>
        <w:spacing w:after="0" w:line="282" w:lineRule="auto"/>
        <w:tabs>
          <w:tab w:leader="none" w:pos="155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6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SEVEN - HOLDERS’ LISTS AND REPORTS BY TRUSTEE AND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Disclosure of Names and Addresses of Holders</w:t>
      </w:r>
      <w:r>
        <w:rPr>
          <w:rFonts w:ascii="Times New Roman" w:cs="Times New Roman" w:eastAsia="Times New Roman" w:hAnsi="Times New Roman"/>
          <w:sz w:val="18"/>
          <w:szCs w:val="18"/>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 20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ind w:left="6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Company</w:t>
      </w:r>
      <w:r>
        <w:rPr>
          <w:rFonts w:ascii="Times New Roman" w:cs="Times New Roman" w:eastAsia="Times New Roman" w:hAnsi="Times New Roman"/>
          <w:sz w:val="18"/>
          <w:szCs w:val="18"/>
          <w:color w:val="auto"/>
        </w:rPr>
        <w:t>. The Company will:</w:t>
      </w:r>
    </w:p>
    <w:p>
      <w:pPr>
        <w:spacing w:after="0" w:line="225" w:lineRule="exact"/>
        <w:rPr>
          <w:sz w:val="20"/>
          <w:szCs w:val="20"/>
          <w:color w:val="auto"/>
        </w:rPr>
      </w:pPr>
    </w:p>
    <w:p>
      <w:pPr>
        <w:jc w:val="both"/>
        <w:ind w:left="660" w:firstLine="644"/>
        <w:spacing w:after="0" w:line="254" w:lineRule="auto"/>
        <w:tabs>
          <w:tab w:leader="none" w:pos="156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 Trustee:</w:t>
      </w:r>
    </w:p>
    <w:p>
      <w:pPr>
        <w:spacing w:after="0" w:line="225" w:lineRule="exact"/>
        <w:rPr>
          <w:sz w:val="20"/>
          <w:szCs w:val="20"/>
          <w:color w:val="auto"/>
        </w:rPr>
      </w:pPr>
    </w:p>
    <w:p>
      <w:pPr>
        <w:jc w:val="both"/>
        <w:ind w:firstLine="1304"/>
        <w:spacing w:after="0" w:line="261" w:lineRule="auto"/>
        <w:tabs>
          <w:tab w:leader="none" w:pos="15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the Trustee is the Security Registrar, no such list shall be required to be furnished.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color w:val="auto"/>
        </w:rPr>
        <w:t>ARTICLE EIGHT - CONSOLIDATION, MERGER, SALE, LEASE OR CONVEYANCE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Consolidations and Mergers of Company and Sales, Leases and Conveyances Permitted Subject to Certain Conditions</w:t>
      </w:r>
      <w:r>
        <w:rPr>
          <w:rFonts w:ascii="Times New Roman" w:cs="Times New Roman" w:eastAsia="Times New Roman" w:hAnsi="Times New Roman"/>
          <w:sz w:val="18"/>
          <w:szCs w:val="18"/>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or any Subsidiary as a result thereof as having been incurred by the Company or such Subsidiary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and Duties of Successor Corporation</w:t>
      </w:r>
      <w:r>
        <w:rPr>
          <w:rFonts w:ascii="Times New Roman" w:cs="Times New Roman" w:eastAsia="Times New Roman" w:hAnsi="Times New Roman"/>
          <w:sz w:val="18"/>
          <w:szCs w:val="18"/>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Officers’ Certificate and Opinion of Counsel</w:t>
      </w:r>
      <w:r>
        <w:rPr>
          <w:rFonts w:ascii="Times New Roman" w:cs="Times New Roman" w:eastAsia="Times New Roman" w:hAnsi="Times New Roman"/>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NINE - SUPPLEMENTAL INDENTURES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76" w:lineRule="exact"/>
        <w:rPr>
          <w:sz w:val="20"/>
          <w:szCs w:val="20"/>
          <w:color w:val="auto"/>
        </w:rPr>
      </w:pPr>
    </w:p>
    <w:p>
      <w:pPr>
        <w:ind w:left="660" w:right="20" w:firstLine="644"/>
        <w:spacing w:after="0" w:line="282" w:lineRule="auto"/>
        <w:tabs>
          <w:tab w:leader="none" w:pos="15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contained herein and in the Securities;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7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8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any series or any related coupons in any material respect;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left="660" w:firstLine="644"/>
        <w:spacing w:after="0" w:line="266" w:lineRule="auto"/>
        <w:tabs>
          <w:tab w:leader="none" w:pos="157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and any related coupons as permitted or contemplated by Sections 201 and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 or</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provisions shall not adversely affect the interests of the Holders of Securities of any series or any related coupons in any material respect;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and any related coupons or any other series of Securities in any material respect; or</w:t>
      </w:r>
    </w:p>
    <w:p>
      <w:pPr>
        <w:spacing w:after="0" w:line="175" w:lineRule="exact"/>
        <w:rPr>
          <w:rFonts w:ascii="Times New Roman" w:cs="Times New Roman" w:eastAsia="Times New Roman" w:hAnsi="Times New Roman"/>
          <w:sz w:val="18"/>
          <w:szCs w:val="18"/>
          <w:color w:val="auto"/>
        </w:rPr>
      </w:pPr>
    </w:p>
    <w:p>
      <w:pPr>
        <w:ind w:left="2200" w:hanging="896"/>
        <w:spacing w:after="0"/>
        <w:tabs>
          <w:tab w:leader="none" w:pos="22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Holders’ rights of conversion with respect to any series of Securities pursuant to</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Seventeen.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affected thereby:</w:t>
      </w:r>
    </w:p>
    <w:p>
      <w:pPr>
        <w:spacing w:after="0" w:line="187" w:lineRule="exact"/>
        <w:rPr>
          <w:sz w:val="20"/>
          <w:szCs w:val="20"/>
          <w:color w:val="auto"/>
        </w:rPr>
      </w:pPr>
    </w:p>
    <w:p>
      <w:pPr>
        <w:jc w:val="both"/>
        <w:ind w:left="660" w:firstLine="644"/>
        <w:spacing w:after="0" w:line="253" w:lineRule="auto"/>
        <w:tabs>
          <w:tab w:leader="none" w:pos="157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left="660" w:firstLine="644"/>
        <w:spacing w:after="0" w:line="261" w:lineRule="auto"/>
        <w:tabs>
          <w:tab w:leader="none" w:pos="1576"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 612)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TEN - COVENANTS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Payment of Principal, Premium or Make-Whole Amount, if any; and Interest</w:t>
      </w:r>
      <w:r>
        <w:rPr>
          <w:rFonts w:ascii="Times New Roman" w:cs="Times New Roman" w:eastAsia="Times New Roman" w:hAnsi="Times New Roman"/>
          <w:sz w:val="18"/>
          <w:szCs w:val="18"/>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 xml:space="preserve">.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w:t>
      </w:r>
    </w:p>
    <w:p>
      <w:pPr>
        <w:spacing w:after="0" w:line="1" w:lineRule="exact"/>
        <w:rPr>
          <w:sz w:val="20"/>
          <w:szCs w:val="20"/>
          <w:color w:val="auto"/>
        </w:rPr>
      </w:pPr>
    </w:p>
    <w:p>
      <w:pPr>
        <w:jc w:val="both"/>
        <w:ind w:firstLine="8"/>
        <w:spacing w:after="0" w:line="251" w:lineRule="auto"/>
        <w:tabs>
          <w:tab w:leader="none" w:pos="293"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otherwise specified with respect to any Securities pursuant to Section 301, no payment of principal, premium or Make-Whole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ind w:left="660" w:firstLine="644"/>
        <w:spacing w:after="0" w:line="282" w:lineRule="auto"/>
        <w:tabs>
          <w:tab w:leader="none" w:pos="157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Subject to Article Eight, the Company will do or cause to be done all things necessary to preserve and keep in full force and effect its corporate existence, all material rights (by certificate of incorporation, by-laws and statute) and material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preserve any such right or franchise if the Board of Directors shall determine that the preservation thereof is no longer desirable in the conduct of the business of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The Company will cause all of its material properties used or useful in the conduct of its business or the business of any Subsidiary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and its Subsidiaries shall not be prevented from (i) removing permanently any property that has been condemned or suffered a loss due to casualty based on the Company’s reasonable judgment that such removal is in the best interest of the Company, or (ii) selling or otherwise disposing of their properties for value in the ordinary course of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will cause each of its and its Subsidiaries’ insurable properties to be insured against loss or damage in an amount deemed reasonable by the Board of Directors with insurers of recognized responsibility.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Payment of Taxes and Other Claims</w:t>
      </w:r>
      <w:r>
        <w:rPr>
          <w:rFonts w:ascii="Times New Roman" w:cs="Times New Roman" w:eastAsia="Times New Roman" w:hAnsi="Times New Roman"/>
          <w:sz w:val="18"/>
          <w:szCs w:val="18"/>
          <w:color w:val="auto"/>
        </w:rPr>
        <w:t xml:space="preserve">. The Company will pay or discharge or cause to be paid or discharged, before the same shall become delinquent, (1) all taxes, assessments and governmental charges levied or imposed upon it or any Subsidiary or upon the income, profits or property of the Company or any Subsidiary, and (2) all lawful claims for labor, materials and supplies which, if unpaid, might by law become a lien upon the property of the Company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Statement as to Compliance</w:t>
      </w:r>
      <w:r>
        <w:rPr>
          <w:rFonts w:ascii="Times New Roman" w:cs="Times New Roman" w:eastAsia="Times New Roman" w:hAnsi="Times New Roman"/>
          <w:sz w:val="18"/>
          <w:szCs w:val="18"/>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Waiver of Certain Covenants</w:t>
      </w:r>
      <w:r>
        <w:rPr>
          <w:rFonts w:ascii="Times New Roman" w:cs="Times New Roman" w:eastAsia="Times New Roman" w:hAnsi="Times New Roman"/>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color w:val="auto"/>
        </w:rPr>
        <w:t>ARTICLE ELEVEN - REDEMPTION OF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ind w:firstLine="648"/>
        <w:spacing w:after="0" w:line="282" w:lineRule="auto"/>
        <w:rPr>
          <w:sz w:val="20"/>
          <w:szCs w:val="20"/>
          <w:color w:val="auto"/>
        </w:rPr>
      </w:pPr>
      <w:r>
        <w:rPr>
          <w:rFonts w:ascii="Times New Roman" w:cs="Times New Roman" w:eastAsia="Times New Roman" w:hAnsi="Times New Roman"/>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225" w:lineRule="exact"/>
        <w:rPr>
          <w:sz w:val="20"/>
          <w:szCs w:val="20"/>
          <w:color w:val="auto"/>
        </w:rPr>
      </w:pPr>
    </w:p>
    <w:p>
      <w:pPr>
        <w:ind w:left="1560" w:hanging="256"/>
        <w:spacing w:after="0"/>
        <w:tabs>
          <w:tab w:leader="none" w:pos="15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accrued interest to the Redemption Date payable as provided in Section 1106, if 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6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1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such Security, if any,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left="660" w:firstLine="644"/>
        <w:spacing w:after="0" w:line="266" w:lineRule="auto"/>
        <w:tabs>
          <w:tab w:leader="none" w:pos="204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TWELVE - SINKING FUNDS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Repayment of Securities</w:t>
      </w:r>
      <w:r>
        <w:rPr>
          <w:rFonts w:ascii="Times New Roman" w:cs="Times New Roman" w:eastAsia="Times New Roman" w:hAnsi="Times New Roman"/>
          <w:sz w:val="18"/>
          <w:szCs w:val="18"/>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When Securities Presented for Repayment Become Due and Payable</w:t>
      </w:r>
      <w:r>
        <w:rPr>
          <w:rFonts w:ascii="Times New Roman" w:cs="Times New Roman" w:eastAsia="Times New Roman" w:hAnsi="Times New Roman"/>
          <w:sz w:val="18"/>
          <w:szCs w:val="18"/>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Securities Repaid in Part</w:t>
      </w:r>
      <w:r>
        <w:rPr>
          <w:rFonts w:ascii="Times New Roman" w:cs="Times New Roman" w:eastAsia="Times New Roman" w:hAnsi="Times New Roman"/>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Applicability of Article; Company’s Option to Effect Defeasance or Covenant Defeasance</w:t>
      </w:r>
      <w:r>
        <w:rPr>
          <w:rFonts w:ascii="Times New Roman" w:cs="Times New Roman" w:eastAsia="Times New Roman" w:hAnsi="Times New Roman"/>
          <w:sz w:val="18"/>
          <w:szCs w:val="18"/>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  The following shall be the conditions to application of Section 1402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1403 to any Outstanding Securities of or within a series and any coupons appertaining thereto:</w:t>
      </w:r>
    </w:p>
    <w:p>
      <w:pPr>
        <w:spacing w:after="0" w:line="207" w:lineRule="exact"/>
        <w:rPr>
          <w:sz w:val="20"/>
          <w:szCs w:val="20"/>
          <w:color w:val="auto"/>
        </w:rPr>
      </w:pPr>
    </w:p>
    <w:p>
      <w:pPr>
        <w:jc w:val="both"/>
        <w:ind w:firstLine="656"/>
        <w:spacing w:after="0" w:line="252" w:lineRule="auto"/>
        <w:tabs>
          <w:tab w:leader="none" w:pos="90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ind w:firstLine="656"/>
        <w:spacing w:after="0" w:line="282" w:lineRule="auto"/>
        <w:tabs>
          <w:tab w:leader="none" w:pos="91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6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2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amounts payable to the Trustee pursuant to this Indenture shall be paid or provided for to the reasonable satisfaction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Deposited Money and Government Obligations to Be Held in Trust; Other Miscellaneous Provisions</w:t>
      </w:r>
      <w:r>
        <w:rPr>
          <w:rFonts w:ascii="Times New Roman" w:cs="Times New Roman" w:eastAsia="Times New Roman" w:hAnsi="Times New Roman"/>
          <w:sz w:val="18"/>
          <w:szCs w:val="18"/>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with respect to any Security pursuant to Section 301, if, after a deposit referred to in Section 1404(a) has been made,</w:t>
      </w:r>
    </w:p>
    <w:p>
      <w:pPr>
        <w:spacing w:after="0" w:line="27" w:lineRule="exact"/>
        <w:rPr>
          <w:sz w:val="20"/>
          <w:szCs w:val="20"/>
          <w:color w:val="auto"/>
        </w:rPr>
      </w:pPr>
    </w:p>
    <w:p>
      <w:pPr>
        <w:jc w:val="both"/>
        <w:ind w:firstLine="8"/>
        <w:spacing w:after="0" w:line="251" w:lineRule="auto"/>
        <w:tabs>
          <w:tab w:leader="none" w:pos="251"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Call, Notice and 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38"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6"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Persons Entitled to Vote at Meetings</w:t>
      </w:r>
      <w:r>
        <w:rPr>
          <w:rFonts w:ascii="Times New Roman" w:cs="Times New Roman" w:eastAsia="Times New Roman" w:hAnsi="Times New Roman"/>
          <w:sz w:val="18"/>
          <w:szCs w:val="18"/>
          <w:color w:val="auto"/>
        </w:rPr>
        <w:t>.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Quorum; Action</w:t>
      </w:r>
      <w:r>
        <w:rPr>
          <w:rFonts w:ascii="Times New Roman" w:cs="Times New Roman" w:eastAsia="Times New Roman" w:hAnsi="Times New Roman"/>
          <w:sz w:val="18"/>
          <w:szCs w:val="18"/>
          <w:color w:val="auto"/>
        </w:rPr>
        <w:t xml:space="preserve">. 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0" w:lineRule="exact"/>
        <w:rPr>
          <w:sz w:val="20"/>
          <w:szCs w:val="20"/>
          <w:color w:val="auto"/>
        </w:rPr>
      </w:pPr>
    </w:p>
    <w:p>
      <w:pPr>
        <w:ind w:left="2260" w:hanging="308"/>
        <w:spacing w:after="0"/>
        <w:tabs>
          <w:tab w:leader="none" w:pos="22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8" w:name="page239"/>
    <w:bookmarkEnd w:id="238"/>
    <w:p>
      <w:pPr>
        <w:ind w:left="66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18"/>
          <w:szCs w:val="18"/>
          <w:color w:val="auto"/>
        </w:rPr>
        <w:t>ARTICLE SIXTEEN - SUBORDINATION OF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Agreement to Subordinate</w:t>
      </w:r>
      <w:r>
        <w:rPr>
          <w:rFonts w:ascii="Times New Roman" w:cs="Times New Roman" w:eastAsia="Times New Roman" w:hAnsi="Times New Roman"/>
          <w:sz w:val="18"/>
          <w:szCs w:val="18"/>
          <w:color w:val="auto"/>
        </w:rPr>
        <w:t>. Notwithstanding anything in this Indenture to the contrary (other than Article Four of this Indenture), the Company covenants and agrees, and each Holder of a Security, by his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Payment Over of Proceeds upon Dissolution, Etc</w:t>
      </w:r>
      <w:r>
        <w:rPr>
          <w:rFonts w:ascii="Times New Roman" w:cs="Times New Roman" w:eastAsia="Times New Roman" w:hAnsi="Times New Roman"/>
          <w:sz w:val="18"/>
          <w:szCs w:val="18"/>
          <w:color w:val="auto"/>
        </w:rPr>
        <w:t>. 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 (b) or (c) above (each such event, if any, herein sometimes referred to as a “Proceeding”)</w:t>
      </w:r>
    </w:p>
    <w:p>
      <w:pPr>
        <w:spacing w:after="0" w:line="183" w:lineRule="exact"/>
        <w:rPr>
          <w:sz w:val="20"/>
          <w:szCs w:val="20"/>
          <w:color w:val="auto"/>
        </w:rPr>
      </w:pPr>
    </w:p>
    <w:p>
      <w:pPr>
        <w:jc w:val="both"/>
        <w:ind w:left="660" w:firstLine="1292"/>
        <w:spacing w:after="0" w:line="258" w:lineRule="auto"/>
        <w:tabs>
          <w:tab w:leader="none" w:pos="221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in respect of the Securities or on account of any purchase, redemption or other acquisition of Securities by the Company or any Subsidiary (individually and collectively, a “Securities Payment”), and</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1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 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 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Article Eight shall not be deemed a Proceeding for the purposes of this Section 1602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u w:val="single" w:color="auto"/>
          <w:color w:val="auto"/>
        </w:rPr>
        <w:t>No Payment When Senior Indebtedness in Default</w:t>
      </w:r>
      <w:r>
        <w:rPr>
          <w:rFonts w:ascii="Times New Roman" w:cs="Times New Roman" w:eastAsia="Times New Roman" w:hAnsi="Times New Roman"/>
          <w:sz w:val="18"/>
          <w:szCs w:val="18"/>
          <w:color w:val="auto"/>
        </w:rPr>
        <w: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 (ii) 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 (A) the date on which such event of default shall have been cured or waived or (B) 180 days from the receipt of the Payment Blockage Notice. Upon 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notwithstanding the provisions of this Section 1603, payments are made by or on behalf of the Company in contravention of the provisions of this 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in accordance with the terms of such Senior Indebtedness, after giving effect to any concurrent payment or distribution to or for the holders of Senior Indebtedness.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not apply to any payment with respect to which Section 1602 would be applicable.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Reliance by Senior Indebtedness on Subordination Provisions</w:t>
      </w:r>
      <w:r>
        <w:rPr>
          <w:rFonts w:ascii="Times New Roman" w:cs="Times New Roman" w:eastAsia="Times New Roman" w:hAnsi="Times New Roman"/>
          <w:sz w:val="18"/>
          <w:szCs w:val="18"/>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u w:val="single" w:color="auto"/>
          <w:color w:val="auto"/>
        </w:rPr>
        <w:t>Subrogation to Rights of Holders of Senior Indebtedness</w:t>
      </w:r>
      <w:r>
        <w:rPr>
          <w:rFonts w:ascii="Times New Roman" w:cs="Times New Roman" w:eastAsia="Times New Roman" w:hAnsi="Times New Roman"/>
          <w:sz w:val="18"/>
          <w:szCs w:val="18"/>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Provisions Solely to Define Relative Rights</w:t>
      </w:r>
      <w:r>
        <w:rPr>
          <w:rFonts w:ascii="Times New Roman" w:cs="Times New Roman" w:eastAsia="Times New Roman" w:hAnsi="Times New Roman"/>
          <w:sz w:val="18"/>
          <w:szCs w:val="18"/>
          <w:color w:val="auto"/>
        </w:rPr>
        <w:t>. The provisions of this Article Sixteen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 (a) 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1607. </w:t>
      </w:r>
      <w:r>
        <w:rPr>
          <w:rFonts w:ascii="Times New Roman" w:cs="Times New Roman" w:eastAsia="Times New Roman" w:hAnsi="Times New Roman"/>
          <w:sz w:val="18"/>
          <w:szCs w:val="18"/>
          <w:u w:val="single" w:color="auto"/>
          <w:color w:val="auto"/>
        </w:rPr>
        <w:t>Trustee to Effectuate Subordination</w:t>
      </w:r>
      <w:r>
        <w:rPr>
          <w:rFonts w:ascii="Times New Roman" w:cs="Times New Roman" w:eastAsia="Times New Roman" w:hAnsi="Times New Roman"/>
          <w:sz w:val="18"/>
          <w:szCs w:val="18"/>
          <w:color w:val="auto"/>
        </w:rPr>
        <w:t>.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1608. </w:t>
      </w:r>
      <w:r>
        <w:rPr>
          <w:rFonts w:ascii="Times New Roman" w:cs="Times New Roman" w:eastAsia="Times New Roman" w:hAnsi="Times New Roman"/>
          <w:sz w:val="18"/>
          <w:szCs w:val="18"/>
          <w:u w:val="single" w:color="auto"/>
          <w:color w:val="auto"/>
        </w:rPr>
        <w:t>No Waiver of Subordination Provisions</w:t>
      </w:r>
      <w:r>
        <w:rPr>
          <w:rFonts w:ascii="Times New Roman" w:cs="Times New Roman" w:eastAsia="Times New Roman" w:hAnsi="Times New Roman"/>
          <w:sz w:val="18"/>
          <w:szCs w:val="18"/>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any representative or trustee therefor, or by any non-compliance by the Company with the terms, provisions and covenants of this Indenture, regardless of any knowledge thereof any such holder may have or be otherwise charged with.</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in any way limiting the generality of the foregoing paragraph, the holders of Senior Indebtedness may, at any time from time to time, without the consent of or notice to the Trustee or 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settle or compromise Senior Indebtedness (which, to the extent so settled and compromised, shall be deemed to have been paid in full for all purposes hereof); (iv) apply any amounts received to any liability of the Company owing to holders of Senior Indebtedness; and (v) exercise or refrain from exercising any rights against the Company and any other Person.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 xml:space="preserve">. The Company shall give prompt written notice to the Trustee of any default or event of default with respect to any Senior Indebtedness or of any fact known to the Company which would prohibit the making of any payment to or by the Trustee in respect of the Securities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u w:val="single" w:color="auto"/>
          <w:color w:val="auto"/>
        </w:rPr>
        <w:t>Reliance on Judicial Order or Certificate of Liquidating Agent</w:t>
      </w:r>
      <w:r>
        <w:rPr>
          <w:rFonts w:ascii="Times New Roman" w:cs="Times New Roman" w:eastAsia="Times New Roman" w:hAnsi="Times New Roman"/>
          <w:sz w:val="18"/>
          <w:szCs w:val="18"/>
          <w:color w:val="auto"/>
        </w:rPr>
        <w:t>. Upon any payment or distribution of assets of the Company referred to in this Article Sixteen, the Trustee, subject to the provisions of 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u w:val="single" w:color="auto"/>
          <w:color w:val="auto"/>
        </w:rPr>
        <w:t>Trustee Not Fiduciary for Holders of Senior Indebtedness</w:t>
      </w:r>
      <w:r>
        <w:rPr>
          <w:rFonts w:ascii="Times New Roman" w:cs="Times New Roman" w:eastAsia="Times New Roman" w:hAnsi="Times New Roman"/>
          <w:sz w:val="18"/>
          <w:szCs w:val="18"/>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1612. </w:t>
      </w:r>
      <w:r>
        <w:rPr>
          <w:rFonts w:ascii="Times New Roman" w:cs="Times New Roman" w:eastAsia="Times New Roman" w:hAnsi="Times New Roman"/>
          <w:sz w:val="18"/>
          <w:szCs w:val="18"/>
          <w:u w:val="single" w:color="auto"/>
          <w:color w:val="auto"/>
        </w:rPr>
        <w:t>Rights of Trustee as Holder of Senior Indebtedness; Preservation of Trustee’s Rights</w:t>
      </w:r>
      <w:r>
        <w:rPr>
          <w:rFonts w:ascii="Times New Roman" w:cs="Times New Roman" w:eastAsia="Times New Roman" w:hAnsi="Times New Roman"/>
          <w:sz w:val="18"/>
          <w:szCs w:val="18"/>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1613. </w:t>
      </w:r>
      <w:r>
        <w:rPr>
          <w:rFonts w:ascii="Times New Roman" w:cs="Times New Roman" w:eastAsia="Times New Roman" w:hAnsi="Times New Roman"/>
          <w:sz w:val="18"/>
          <w:szCs w:val="18"/>
          <w:u w:val="single" w:color="auto"/>
          <w:color w:val="auto"/>
        </w:rPr>
        <w:t>Article Applicable to Paying Agents</w:t>
      </w:r>
      <w:r>
        <w:rPr>
          <w:rFonts w:ascii="Times New Roman" w:cs="Times New Roman" w:eastAsia="Times New Roman" w:hAnsi="Times New Roman"/>
          <w:sz w:val="18"/>
          <w:szCs w:val="18"/>
          <w:color w:val="auto"/>
        </w:rPr>
        <w:t xml:space="preserve">.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in addition to or in place of the Trustee;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Section 1612 shall not apply to the Company or any Affiliate of the Company if it or such Affiliate acts as Paying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SEVENTEEN - CONVERSION OF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u w:val="single" w:color="auto"/>
          <w:color w:val="auto"/>
        </w:rPr>
        <w:t>Applicability of Article; Conversion Privilege and Conversion Price</w:t>
      </w:r>
      <w:r>
        <w:rPr>
          <w:rFonts w:ascii="Times New Roman" w:cs="Times New Roman" w:eastAsia="Times New Roman" w:hAnsi="Times New Roman"/>
          <w:sz w:val="18"/>
          <w:szCs w:val="18"/>
          <w:color w:val="auto"/>
        </w:rPr>
        <w:t>. Securities of any series which are convertible shall be convertible in accordance with their terms and (except as otherwise specified as contemplated by Section 301 for Securities of any series) in accordance with this Article Seventeen. Subject to and upon compliance with the provisions of this Article Seventeen,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1704.</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case the Company shall, by dividend or otherwise, declare or make a distribution on its Common Stock referred to in paragraph (4) of Section 1704, the Holder of each Security, upon the conversion thereof pursuant to this Article Seventeen subsequent to the close of business on the date fixed for the determination of stockholders entitled to receive such distribution and prior to the effectiveness of the Conversion Price adjustment in respect of such distribution pursuant to paragraph (4) of Section 1704, shall be entitled to receive for each share of Common Stock into which such Security is converted, the portion of the evidence of indebtedness, shares of Capital Stock or assets so distributed applicable to one share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u w:val="single" w:color="auto"/>
          <w:color w:val="auto"/>
        </w:rPr>
        <w:t>Exercise of Conversion Privilege</w:t>
      </w:r>
      <w:r>
        <w:rPr>
          <w:rFonts w:ascii="Times New Roman" w:cs="Times New Roman" w:eastAsia="Times New Roman" w:hAnsi="Times New Roman"/>
          <w:sz w:val="18"/>
          <w:szCs w:val="18"/>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1703.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7" w:name="page248"/>
    <w:bookmarkEnd w:id="2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u w:val="single" w:color="auto"/>
          <w:color w:val="auto"/>
        </w:rPr>
        <w:t>Fractions of Shares</w:t>
      </w:r>
      <w:r>
        <w:rPr>
          <w:rFonts w:ascii="Times New Roman" w:cs="Times New Roman" w:eastAsia="Times New Roman" w:hAnsi="Times New Roman"/>
          <w:sz w:val="18"/>
          <w:szCs w:val="18"/>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u w:val="single" w:color="auto"/>
          <w:color w:val="auto"/>
        </w:rPr>
        <w:t>Adjustment of Conversion Price</w:t>
      </w:r>
      <w:r>
        <w:rPr>
          <w:rFonts w:ascii="Times New Roman" w:cs="Times New Roman" w:eastAsia="Times New Roman" w:hAnsi="Times New Roman"/>
          <w:sz w:val="18"/>
          <w:szCs w:val="18"/>
          <w:color w:val="auto"/>
        </w:rPr>
        <w:t>. The Conversion Price shall be subject to adjustment from time to time as follows:</w:t>
      </w:r>
    </w:p>
    <w:p>
      <w:pPr>
        <w:spacing w:after="0" w:line="225" w:lineRule="exact"/>
        <w:rPr>
          <w:sz w:val="20"/>
          <w:szCs w:val="20"/>
          <w:color w:val="auto"/>
        </w:rPr>
      </w:pPr>
    </w:p>
    <w:p>
      <w:pPr>
        <w:jc w:val="both"/>
        <w:ind w:left="660" w:firstLine="644"/>
        <w:spacing w:after="0" w:line="253" w:lineRule="auto"/>
        <w:tabs>
          <w:tab w:leader="none" w:pos="156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jc w:val="both"/>
        <w:ind w:left="-460" w:firstLine="644"/>
        <w:spacing w:after="0" w:line="252" w:lineRule="auto"/>
        <w:tabs>
          <w:tab w:leader="none" w:pos="47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1704,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1704) of the Common Stock of the Company on the Rights Record Date.</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4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49" w:name="page250"/>
    <w:bookmarkEnd w:id="249"/>
    <w:p>
      <w:pPr>
        <w:jc w:val="both"/>
        <w:ind w:left="4" w:hanging="4"/>
        <w:spacing w:after="0" w:line="252" w:lineRule="auto"/>
        <w:tabs>
          <w:tab w:leader="none" w:pos="26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1704 applies), the Conversion Price shall be reduced by multiplying such Conversion Price by a fraction of which the numerator shall be the current market price per share (determined as provided in paragraph (7) of this Section 1704)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 (4) of Section 1704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29"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shall not be required to, make such reductions in the Conversion Price, in addition to those required by paragraphs (1), (2), (3), and (4) of this Section 1704,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911"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1704 not be deemed issued or distributed until the occurrence of the earliest Trigger Event. Each share of Common Stock issued upon conversion of Securities pursuant to this Article Seventeen shall be entitled to receive the appropriate number of Common Stock purchase rights (the “Rights”), if any, and the certificates representing the Common Stock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0" w:name="page251"/>
    <w:bookmarkEnd w:id="250"/>
    <w:p>
      <w:pPr>
        <w:jc w:val="both"/>
        <w:ind w:left="4" w:firstLine="644"/>
        <w:spacing w:after="0" w:line="266" w:lineRule="auto"/>
        <w:tabs>
          <w:tab w:leader="none" w:pos="93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under paragraph (2), (4) or (5) of this Section 1704,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1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in the Conversion Price shall be required unless such adjustment would require an increase or decrease of at least 1% in the Conversion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adjustments which by reason of this paragraph (8) are not required to be made shall be carried forward and taken into account in any subsequent adjustment. All calculations under this Article Seventeen shall be made to the nearest cent or to the nearest one-hundredth of a share of Common Stock, as the case may be.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15"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13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1704,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79" w:lineRule="exact"/>
        <w:rPr>
          <w:rFonts w:ascii="Times New Roman" w:cs="Times New Roman" w:eastAsia="Times New Roman" w:hAnsi="Times New Roman"/>
          <w:sz w:val="18"/>
          <w:szCs w:val="18"/>
          <w:color w:val="auto"/>
        </w:rPr>
      </w:pPr>
    </w:p>
    <w:p>
      <w:pPr>
        <w:ind w:left="1164" w:hanging="516"/>
        <w:spacing w:after="0"/>
        <w:tabs>
          <w:tab w:leader="none" w:pos="1164"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Article Seventeen requires adjustments to the Conversion Price under more than one of paragraphs (1), (2),</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(4) of this Section 1704, and the record or effective dates for the transaction giving rise to such adjustments shall occur on the same date, then such adjustments shall be made by applying (to the extent they are applicable), first, the provisions of paragraph (3) of this Section 1704, second, the provisions of paragraph (1) of this Section 1704, third, the provisions of paragraph (4) of this Section 1704 and, fourth, the provisions of paragraph (2) of this Section 1704. Anything herein to the contrary notwithstanding, no single event shall require or result in duplicative adjustments in the Conversion Price pursuant to this Section 1704. After an adjustment to the Conversion Price under this Article Seventeen, any subsequent event requiring an adjustment under this Article Seventeen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Seventeen with respect to the Common Stock in this Article Seventeen.</w:t>
      </w:r>
    </w:p>
    <w:p>
      <w:pPr>
        <w:spacing w:after="0" w:line="200" w:lineRule="exact"/>
        <w:rPr>
          <w:sz w:val="20"/>
          <w:szCs w:val="20"/>
          <w:color w:val="auto"/>
        </w:rPr>
      </w:pPr>
    </w:p>
    <w:p>
      <w:pPr>
        <w:spacing w:after="0" w:line="209"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u w:val="single" w:color="auto"/>
          <w:color w:val="auto"/>
        </w:rPr>
        <w:t>Notice of Adjustments of Conversion Price</w:t>
      </w:r>
      <w:r>
        <w:rPr>
          <w:rFonts w:ascii="Times New Roman" w:cs="Times New Roman" w:eastAsia="Times New Roman" w:hAnsi="Times New Roman"/>
          <w:sz w:val="18"/>
          <w:szCs w:val="18"/>
          <w:color w:val="auto"/>
        </w:rPr>
        <w:t>. Whenever the Conversion Price is adjusted as herein provided:</w:t>
      </w:r>
    </w:p>
    <w:p>
      <w:pPr>
        <w:spacing w:after="0" w:line="225" w:lineRule="exact"/>
        <w:rPr>
          <w:sz w:val="20"/>
          <w:szCs w:val="20"/>
          <w:color w:val="auto"/>
        </w:rPr>
      </w:pPr>
    </w:p>
    <w:p>
      <w:pPr>
        <w:jc w:val="both"/>
        <w:ind w:firstLine="644"/>
        <w:spacing w:after="0" w:line="261" w:lineRule="auto"/>
        <w:tabs>
          <w:tab w:leader="none" w:pos="92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9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1706. </w:t>
      </w:r>
      <w:r>
        <w:rPr>
          <w:rFonts w:ascii="Times New Roman" w:cs="Times New Roman" w:eastAsia="Times New Roman" w:hAnsi="Times New Roman"/>
          <w:sz w:val="18"/>
          <w:szCs w:val="18"/>
          <w:u w:val="single" w:color="auto"/>
          <w:color w:val="auto"/>
        </w:rPr>
        <w:t>Notice of Certain Corporate Action</w:t>
      </w:r>
      <w:r>
        <w:rPr>
          <w:rFonts w:ascii="Times New Roman" w:cs="Times New Roman" w:eastAsia="Times New Roman" w:hAnsi="Times New Roman"/>
          <w:sz w:val="18"/>
          <w:szCs w:val="18"/>
          <w:color w:val="auto"/>
        </w:rPr>
        <w:t>. In case:</w:t>
      </w:r>
    </w:p>
    <w:p>
      <w:pPr>
        <w:spacing w:after="0" w:line="225" w:lineRule="exact"/>
        <w:rPr>
          <w:sz w:val="20"/>
          <w:szCs w:val="20"/>
          <w:color w:val="auto"/>
        </w:rPr>
      </w:pPr>
    </w:p>
    <w:p>
      <w:pPr>
        <w:ind w:left="900" w:hanging="256"/>
        <w:spacing w:after="0"/>
        <w:tabs>
          <w:tab w:leader="none" w:pos="9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any action that would require a Conversion Price adjustment pursuant to Section 1704 or Section 1711; or</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94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75" w:lineRule="exact"/>
        <w:rPr>
          <w:rFonts w:ascii="Times New Roman" w:cs="Times New Roman" w:eastAsia="Times New Roman" w:hAnsi="Times New Roman"/>
          <w:sz w:val="18"/>
          <w:szCs w:val="18"/>
          <w:color w:val="auto"/>
        </w:rPr>
      </w:pPr>
    </w:p>
    <w:p>
      <w:pPr>
        <w:jc w:val="both"/>
        <w:ind w:firstLine="644"/>
        <w:spacing w:after="0" w:line="254" w:lineRule="auto"/>
        <w:tabs>
          <w:tab w:leader="none" w:pos="90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2" w:name="page253"/>
    <w:bookmarkEnd w:id="252"/>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u w:val="single" w:color="auto"/>
          <w:color w:val="auto"/>
        </w:rPr>
        <w:t>Company to Reserve Common Stock</w:t>
      </w:r>
      <w:r>
        <w:rPr>
          <w:rFonts w:ascii="Times New Roman" w:cs="Times New Roman" w:eastAsia="Times New Roman" w:hAnsi="Times New Roman"/>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u w:val="single" w:color="auto"/>
          <w:color w:val="auto"/>
        </w:rPr>
        <w:t>Taxes on Conversion</w:t>
      </w:r>
      <w:r>
        <w:rPr>
          <w:rFonts w:ascii="Times New Roman" w:cs="Times New Roman" w:eastAsia="Times New Roman" w:hAnsi="Times New Roman"/>
          <w:sz w:val="18"/>
          <w:szCs w:val="18"/>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1709. Covenants as to Common Stock. The Company covenants that all shares of Common Stock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u w:val="single" w:color="auto"/>
          <w:color w:val="auto"/>
        </w:rPr>
        <w:t>Cancellation of Converted Securities</w:t>
      </w:r>
      <w:r>
        <w:rPr>
          <w:rFonts w:ascii="Times New Roman" w:cs="Times New Roman" w:eastAsia="Times New Roman" w:hAnsi="Times New Roman"/>
          <w:sz w:val="18"/>
          <w:szCs w:val="18"/>
          <w:color w:val="auto"/>
        </w:rPr>
        <w:t>. All Securities delivered for conversion shall be delivered to the Trustee to be cancelled by or at the direction of the Trustee, which shall dispose of the same as provided in Section 309.</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3" w:name="page254"/>
    <w:bookmarkEnd w:id="253"/>
    <w:p>
      <w:pPr>
        <w:ind w:left="660"/>
        <w:spacing w:after="0"/>
        <w:tabs>
          <w:tab w:leader="none" w:pos="8560" w:val="left"/>
        </w:tabs>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u w:val="single" w:color="auto"/>
          <w:color w:val="auto"/>
        </w:rPr>
        <w:t>Provisions in Case of Consolidation, Merger or Sale of Assets; Special Distributions</w:t>
      </w:r>
      <w:r>
        <w:rPr>
          <w:rFonts w:ascii="Times New Roman" w:cs="Times New Roman" w:eastAsia="Times New Roman" w:hAnsi="Times New Roman"/>
          <w:sz w:val="18"/>
          <w:szCs w:val="18"/>
          <w:color w:val="auto"/>
        </w:rPr>
        <w:t>.</w:t>
        <w:tab/>
        <w:t>If any of the following shall occur,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namely: (i) any reclassification or change of outstanding shares of Common Stock issuable upon conversion of Securities (other than a change in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from par value to no par value, or from no par value to par value, or as a result of a subdivision or combination), (ii) any consolidation or merger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Company is a party other than a merger in which the Company is the continuing corporation and which does not result in any reclassification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change (other than a change in name, or par value, or from par value to no par value, or from no par value to par value or as a result of a subdivision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in, outstanding shares of Common Stock or (iii) any sale or conveyance of all or substantially all of the property or business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entirety, then the Person formed by such consolidation or resulting from such merger or which acquires such properties or assets,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as a condition precedent to such transaction execute and deliver to the Trustee a supplemental indenture providing that the Holder of each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outstanding shall have the right thereafter, during the period such Security shall be convertible as specified in Section 1701, to convert such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only into the kind and amount of securities, cash and other property receivable, if any, upon such consolidation, merger, sale, transfer or lease by a holder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of the Company into which such Security might have been converted immediately prior to such consolidation,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sale, transfer or lease; provided that the kind and amount of securities, cash and other property so receivable shall be determined on the basis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assumptions. The holder of Common Stock referred to in the foregoing sentence:</w:t>
      </w:r>
    </w:p>
    <w:p>
      <w:pPr>
        <w:spacing w:after="0" w:line="207" w:lineRule="exact"/>
        <w:rPr>
          <w:sz w:val="20"/>
          <w:szCs w:val="20"/>
          <w:color w:val="auto"/>
        </w:rPr>
      </w:pPr>
    </w:p>
    <w:p>
      <w:pPr>
        <w:jc w:val="both"/>
        <w:ind w:left="660" w:firstLine="644"/>
        <w:spacing w:after="0" w:line="266" w:lineRule="auto"/>
        <w:tabs>
          <w:tab w:leader="none" w:pos="157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1711 the kind and amount of securities, cash and other property receivable upon such consolidation, merger, sale, transfer or lease shall be deemed to be the kind and amount so receivable per share by a plurality of such shares of Common Stock).</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the Company shall execute a supplemental indenture pursuant to this Section 1711,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4" w:name="page255"/>
    <w:bookmarkEnd w:id="2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makes a distribution to all holders of its Common Stock that constitutes an Unadjusted Distribution pursuant to the last sentence of paragraph (4) of Section 1704,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1712. </w:t>
      </w:r>
      <w:r>
        <w:rPr>
          <w:rFonts w:ascii="Times New Roman" w:cs="Times New Roman" w:eastAsia="Times New Roman" w:hAnsi="Times New Roman"/>
          <w:sz w:val="18"/>
          <w:szCs w:val="18"/>
          <w:u w:val="single" w:color="auto"/>
          <w:color w:val="auto"/>
        </w:rPr>
        <w:t>Trustee Adjustment Disclaimer; Company Determination Final</w:t>
      </w:r>
      <w:r>
        <w:rPr>
          <w:rFonts w:ascii="Times New Roman" w:cs="Times New Roman" w:eastAsia="Times New Roman" w:hAnsi="Times New Roman"/>
          <w:sz w:val="18"/>
          <w:szCs w:val="18"/>
          <w:color w:val="auto"/>
        </w:rPr>
        <w:t>.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1713. </w:t>
      </w:r>
      <w:r>
        <w:rPr>
          <w:rFonts w:ascii="Times New Roman" w:cs="Times New Roman" w:eastAsia="Times New Roman" w:hAnsi="Times New Roman"/>
          <w:sz w:val="18"/>
          <w:szCs w:val="18"/>
          <w:u w:val="single" w:color="auto"/>
          <w:color w:val="auto"/>
        </w:rPr>
        <w:t>When No Adjustment Required</w:t>
      </w:r>
      <w:r>
        <w:rPr>
          <w:rFonts w:ascii="Times New Roman" w:cs="Times New Roman" w:eastAsia="Times New Roman" w:hAnsi="Times New Roman"/>
          <w:sz w:val="18"/>
          <w:szCs w:val="18"/>
          <w:color w:val="auto"/>
        </w:rPr>
        <w:t>. Except as expressly set forth in Section 1704,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0" w:lineRule="exact"/>
        <w:rPr>
          <w:sz w:val="20"/>
          <w:szCs w:val="20"/>
          <w:color w:val="auto"/>
        </w:rPr>
      </w:pPr>
    </w:p>
    <w:p>
      <w:pPr>
        <w:jc w:val="both"/>
        <w:ind w:left="660" w:firstLine="644"/>
        <w:spacing w:after="0" w:line="261" w:lineRule="auto"/>
        <w:tabs>
          <w:tab w:leader="none" w:pos="157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1714. </w:t>
      </w:r>
      <w:r>
        <w:rPr>
          <w:rFonts w:ascii="Times New Roman" w:cs="Times New Roman" w:eastAsia="Times New Roman" w:hAnsi="Times New Roman"/>
          <w:sz w:val="18"/>
          <w:szCs w:val="18"/>
          <w:u w:val="single" w:color="auto"/>
          <w:color w:val="auto"/>
        </w:rPr>
        <w:t>Equivalent Adjustments</w:t>
      </w:r>
      <w:r>
        <w:rPr>
          <w:rFonts w:ascii="Times New Roman" w:cs="Times New Roman" w:eastAsia="Times New Roman" w:hAnsi="Times New Roman"/>
          <w:sz w:val="18"/>
          <w:szCs w:val="18"/>
          <w:color w:val="auto"/>
        </w:rPr>
        <w:t>. In the event that, as a result of an adjustment made pursuant to Section 1704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Seventeen.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5" w:name="page256"/>
    <w:bookmarkEnd w:id="255"/>
    <w:p>
      <w:pPr>
        <w:jc w:val="center"/>
        <w:ind w:right="6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00" w:lineRule="exact"/>
        <w:rPr>
          <w:sz w:val="20"/>
          <w:szCs w:val="20"/>
          <w:color w:val="auto"/>
        </w:rPr>
      </w:pPr>
    </w:p>
    <w:p>
      <w:pPr>
        <w:spacing w:after="0" w:line="24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REDEEMABLE OR NON-REDEEMABLE SUBORDINATED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Holder of this Security (as indicated below) is The Depository Trust Company (“DTC”) or a nominee of DTC, this Security is a Global Security and the following two legends apply:</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this Security is an Original Issue Discount Security, insert</w:t>
      </w:r>
      <w:r>
        <w:rPr>
          <w:rFonts w:ascii="Times New Roman" w:cs="Times New Roman" w:eastAsia="Times New Roman" w:hAnsi="Times New Roman"/>
          <w:sz w:val="18"/>
          <w:szCs w:val="18"/>
          <w:color w:val="auto"/>
        </w:rPr>
        <w:t xml:space="preserve"> — FOR PURPOSES OF SECTION 1273 and 1275 OF THE UNITED STATES INTERNAL REVENUE CODE, THE AMOUNT OF ORIGINAL ISSUE DISCOUNT ON THIS SECURITY IS % OF ITS PRINCIPAL AMOUNT, THE ISSUE DATE IS , 20 , AND THE YIELD TO MATURITY IS %. THE METHOD USED TO DETERMINE THE AMOUNT OF ORIGINAL ISSUE DISCOUNT APPLICABLE TO THE SHORT ACCRUAL PERIOD OF , 20 TO , 20 , IS % OF THE PRINCIPAL AMOUNT OF THIS SECURITY.]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[Designation of Series]</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22" w:lineRule="exact"/>
        <w:rPr>
          <w:sz w:val="20"/>
          <w:szCs w:val="20"/>
          <w:color w:val="auto"/>
        </w:rPr>
      </w:pPr>
    </w:p>
    <w:p>
      <w:pPr>
        <w:sectPr>
          <w:pgSz w:w="11900" w:h="16838" w:orient="portrait"/>
          <w:cols w:equalWidth="0" w:num="2">
            <w:col w:w="9220" w:space="720"/>
            <w:col w:w="130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AGRIFY CORPORATION, a Nevada corporation (herein referred to as the “Company,” which term includes any successor corporation under the Indenture referred to on the reverse hereof), for value received, hereby promises to pay to or registered assigns the principal sum of Dollars on (the “Stated Maturity Date”) [or </w:t>
      </w:r>
      <w:r>
        <w:rPr>
          <w:rFonts w:ascii="Times New Roman" w:cs="Times New Roman" w:eastAsia="Times New Roman" w:hAnsi="Times New Roman"/>
          <w:sz w:val="18"/>
          <w:szCs w:val="18"/>
          <w:u w:val="single" w:color="auto"/>
          <w:color w:val="auto"/>
        </w:rPr>
        <w:t>insert date fixed for earlier redemption</w:t>
      </w:r>
      <w:r>
        <w:rPr>
          <w:rFonts w:ascii="Times New Roman" w:cs="Times New Roman" w:eastAsia="Times New Roman" w:hAnsi="Times New Roman"/>
          <w:sz w:val="18"/>
          <w:szCs w:val="18"/>
          <w:color w:val="auto"/>
        </w:rPr>
        <w:t xml:space="preserve"> (the “Redemption Date,” and together with the Stated Maturity Date with respect to principal repayable on such date, the “Maturity Date.”)]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the Security is to bear interest prior to Maturity, insert</w:t>
      </w:r>
      <w:r>
        <w:rPr>
          <w:rFonts w:ascii="Times New Roman" w:cs="Times New Roman" w:eastAsia="Times New Roman" w:hAnsi="Times New Roman"/>
          <w:sz w:val="18"/>
          <w:szCs w:val="18"/>
          <w:color w:val="auto"/>
        </w:rPr>
        <w:t xml:space="preserve"> — and to pay interest thereon from or from the most recent Interest Payment Date to which interest has been paid or duly provided for, semi-annually on and in each year (each, an “Interest Payment Date”), commencing , at the rate of % per annum, until the principal hereof is paid or duly provided for. The interest so payable, 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 or (whether or not a Business Day), as the case may be, next preceding such Interest Payment Date [at the office or agency of the Company maintained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57" w:name="page258"/>
    <w:bookmarkEnd w:id="257"/>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the Security is not to bear interest prior to Maturity, insert</w:t>
      </w:r>
      <w:r>
        <w:rPr>
          <w:rFonts w:ascii="Times New Roman" w:cs="Times New Roman" w:eastAsia="Times New Roman" w:hAnsi="Times New Roman"/>
          <w:sz w:val="18"/>
          <w:szCs w:val="18"/>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 in such coin or currency of the United States of America as at the time of payment is legal tender for the payment of public and private debts.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this Security is a Global Security, insert</w:t>
      </w:r>
      <w:r>
        <w:rPr>
          <w:rFonts w:ascii="Times New Roman" w:cs="Times New Roman" w:eastAsia="Times New Roman" w:hAnsi="Times New Roman"/>
          <w:sz w:val="18"/>
          <w:szCs w:val="18"/>
          <w:color w:val="auto"/>
        </w:rPr>
        <w:t xml:space="preserve"> — All payments of principal, premium or Make-Whole Amount, if any, and interest in respect of this Security will be made by the Company in immediately available funds.]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facsimile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71120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Indenture, dated as of , 20 (herein called the “Indenture”) between the Company and ,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and the aggregate principal 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may not be redeemed prior to the Stated Maturity Date.]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are subject to redemption [ (l)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on in any year commencing with the year and ending with the year through operation of the sinking fund for this series at a Redemption Price equal to 100% of the principal amount, and (2) ] [</w:t>
      </w:r>
      <w:r>
        <w:rPr>
          <w:rFonts w:ascii="Times New Roman" w:cs="Times New Roman" w:eastAsia="Times New Roman" w:hAnsi="Times New Roman"/>
          <w:sz w:val="18"/>
          <w:szCs w:val="18"/>
          <w:u w:val="single" w:color="auto"/>
          <w:color w:val="auto"/>
        </w:rPr>
        <w:t>If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at any time [on or after ], as a whole or in part, at the election of the Company, at the following Redemption Prices (expressed as percentages of the principal amount):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redeemed on or before , % and if redeemed during the 12-month period beginning of the years indicated at the Redemption Prices indicated below.</w:t>
      </w:r>
    </w:p>
    <w:p>
      <w:pPr>
        <w:spacing w:after="0" w:line="235" w:lineRule="exact"/>
        <w:rPr>
          <w:sz w:val="20"/>
          <w:szCs w:val="20"/>
          <w:color w:val="auto"/>
        </w:rPr>
      </w:pPr>
    </w:p>
    <w:p>
      <w:pPr>
        <w:spacing w:after="0"/>
        <w:tabs>
          <w:tab w:leader="none" w:pos="3520" w:val="left"/>
          <w:tab w:leader="none" w:pos="6900" w:val="left"/>
          <w:tab w:leader="none" w:pos="9180" w:val="left"/>
        </w:tabs>
        <w:rPr>
          <w:sz w:val="20"/>
          <w:szCs w:val="20"/>
          <w:color w:val="auto"/>
        </w:rPr>
      </w:pPr>
      <w:r>
        <w:rPr>
          <w:rFonts w:ascii="Times New Roman" w:cs="Times New Roman" w:eastAsia="Times New Roman" w:hAnsi="Times New Roman"/>
          <w:sz w:val="18"/>
          <w:szCs w:val="18"/>
          <w:b w:val="1"/>
          <w:bCs w:val="1"/>
          <w:color w:val="auto"/>
        </w:rPr>
        <w:t>Year</w:t>
      </w:r>
      <w:r>
        <w:rPr>
          <w:sz w:val="20"/>
          <w:szCs w:val="20"/>
          <w:color w:val="auto"/>
        </w:rPr>
        <w:tab/>
      </w:r>
      <w:r>
        <w:rPr>
          <w:rFonts w:ascii="Times New Roman" w:cs="Times New Roman" w:eastAsia="Times New Roman" w:hAnsi="Times New Roman"/>
          <w:sz w:val="18"/>
          <w:szCs w:val="18"/>
          <w:b w:val="1"/>
          <w:bCs w:val="1"/>
          <w:color w:val="auto"/>
        </w:rPr>
        <w:t>Redemption Price</w:t>
      </w:r>
      <w:r>
        <w:rPr>
          <w:sz w:val="20"/>
          <w:szCs w:val="20"/>
          <w:color w:val="auto"/>
        </w:rPr>
        <w:tab/>
      </w:r>
      <w:r>
        <w:rPr>
          <w:rFonts w:ascii="Times New Roman" w:cs="Times New Roman" w:eastAsia="Times New Roman" w:hAnsi="Times New Roman"/>
          <w:sz w:val="18"/>
          <w:szCs w:val="18"/>
          <w:b w:val="1"/>
          <w:bCs w:val="1"/>
          <w:color w:val="auto"/>
        </w:rPr>
        <w:t>Year</w:t>
      </w:r>
      <w:r>
        <w:rPr>
          <w:sz w:val="20"/>
          <w:szCs w:val="20"/>
          <w:color w:val="auto"/>
        </w:rPr>
        <w:tab/>
      </w:r>
      <w:r>
        <w:rPr>
          <w:rFonts w:ascii="Times New Roman" w:cs="Times New Roman" w:eastAsia="Times New Roman" w:hAnsi="Times New Roman"/>
          <w:sz w:val="17"/>
          <w:szCs w:val="17"/>
          <w:b w:val="1"/>
          <w:bCs w:val="1"/>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thereafter at a Redemption Price equal to % of the principal amount, together in the case of any such redemption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0" w:name="page261"/>
    <w:bookmarkEnd w:id="2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are subject to redemption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Price for</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Redemption Price for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 Otherwise Than</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Redemption Through</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Through Operation of the</w:t>
            </w:r>
          </w:p>
        </w:tc>
      </w:t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Operation of the Sinking Fund</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Sinking Fund</w:t>
            </w:r>
          </w:p>
        </w:tc>
      </w:tr>
      <w:tr>
        <w:trPr>
          <w:trHeight w:val="216"/>
        </w:trPr>
        <w:tc>
          <w:tcPr>
            <w:tcW w:w="3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thereafter at a Redemption Price equal to % of the principal amount, together in the case of any such redemption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Notwithstanding the foregoing, the Company may not, prior to , redeem any Securities as contemplated by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sinking fund for the Securities provides for the redemption on in each year, beginning with the year and ending with the year , of [not less than] $ ] [(“mandatory sinking fund”) and not more than $ ] aggregate principal amount of the Securities. [The Securities acquired or redeemed by the Company otherwise than through [mandatory] sinking fund payments may be credited against subsequent [mandatory] sinking fund payments otherwise required to be made in the [</w:t>
      </w:r>
      <w:r>
        <w:rPr>
          <w:rFonts w:ascii="Times New Roman" w:cs="Times New Roman" w:eastAsia="Times New Roman" w:hAnsi="Times New Roman"/>
          <w:sz w:val="18"/>
          <w:szCs w:val="18"/>
          <w:u w:val="single" w:color="auto"/>
          <w:color w:val="auto"/>
        </w:rPr>
        <w:t>describe order</w:t>
      </w:r>
      <w:r>
        <w:rPr>
          <w:rFonts w:ascii="Times New Roman" w:cs="Times New Roman" w:eastAsia="Times New Roman" w:hAnsi="Times New Roman"/>
          <w:sz w:val="18"/>
          <w:szCs w:val="18"/>
          <w:color w:val="auto"/>
        </w:rPr>
        <w:t>] order in which they become due.]]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redemption will be given by mail to Holders of Securities, not less than 30 nor more than 60 days prior to the Redemption Date, all as provided in the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1" w:name="page262"/>
    <w:bookmarkEnd w:id="26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is subordinated to the prior payment in full in cash of Senior Indebtedness to the extent set forth in Article Sixteen of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ind w:left="660"/>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 and any integral multiple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FORMS OF 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25" w:lineRule="exact"/>
        <w:rPr>
          <w:sz w:val="20"/>
          <w:szCs w:val="20"/>
          <w:color w:val="auto"/>
        </w:rPr>
      </w:pPr>
    </w:p>
    <w:p>
      <w:pPr>
        <w:jc w:val="center"/>
        <w:ind w:left="340" w:right="200"/>
        <w:spacing w:after="0" w:line="282" w:lineRule="auto"/>
        <w:rPr>
          <w:sz w:val="20"/>
          <w:szCs w:val="20"/>
          <w:color w:val="auto"/>
        </w:rPr>
      </w:pPr>
      <w:r>
        <w:rPr>
          <w:rFonts w:ascii="Times New Roman" w:cs="Times New Roman" w:eastAsia="Times New Roman" w:hAnsi="Times New Roman"/>
          <w:sz w:val="18"/>
          <w:szCs w:val="18"/>
          <w:color w:val="auto"/>
        </w:rPr>
        <w:t>FORM OF CERTIFICATE TO BE GIVEN BY PERSON ENTITLED TO RECEIVE BEARER SECURITY OR TO OBTAIN INTEREST PAYABLE PRIOR TO THE EXCHANGE DATE</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w:t>
      </w:r>
    </w:p>
    <w:p>
      <w:pPr>
        <w:spacing w:after="0" w:line="1" w:lineRule="exact"/>
        <w:rPr>
          <w:sz w:val="20"/>
          <w:szCs w:val="20"/>
          <w:color w:val="auto"/>
        </w:rPr>
      </w:pPr>
    </w:p>
    <w:p>
      <w:pPr>
        <w:ind w:left="260" w:hanging="252"/>
        <w:spacing w:after="0"/>
        <w:tabs>
          <w:tab w:leader="none" w:pos="2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branches of United States financial institutions (financial institutions, as defined in United States Treasury Regulations Section 2.165-12(c)(1)</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Agrify Corporation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17145</wp:posOffset>
            </wp:positionV>
            <wp:extent cx="8229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be dated no earlier than the 15th day prior to (i) the Exchange Date or (ii) the relevant Interest Payment Date occurring prior to the Exchange Date, as applicable]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center"/>
        <w:spacing w:after="0"/>
        <w:rPr>
          <w:sz w:val="20"/>
          <w:szCs w:val="20"/>
          <w:color w:val="auto"/>
        </w:rPr>
      </w:pPr>
      <w:r>
        <w:rPr>
          <w:rFonts w:ascii="Times New Roman" w:cs="Times New Roman" w:eastAsia="Times New Roman" w:hAnsi="Times New Roman"/>
          <w:sz w:val="18"/>
          <w:szCs w:val="18"/>
          <w:color w:val="auto"/>
        </w:rPr>
        <w:t>EXHIBIT B-2</w:t>
      </w:r>
    </w:p>
    <w:p>
      <w:pPr>
        <w:spacing w:after="0" w:line="225"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FORM OF CERTIFICATE TO BE GIVEN BY EUROCLEAR AND CLEARSTREAM S.A. IN CONNECTION WITH THE EXCHANGE OF A PORTION OF A TEMPORARY GLOBAL SECURITY OR TO OBTAIN INTEREST PAYABLE PRIOR TO THE EXCHANGE DATE</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w:t>
      </w:r>
    </w:p>
    <w:p>
      <w:pPr>
        <w:spacing w:after="0" w:line="1" w:lineRule="exact"/>
        <w:rPr>
          <w:sz w:val="20"/>
          <w:szCs w:val="20"/>
          <w:color w:val="auto"/>
        </w:rPr>
      </w:pPr>
    </w:p>
    <w:p>
      <w:pPr>
        <w:jc w:val="both"/>
        <w:ind w:firstLine="8"/>
        <w:spacing w:after="0" w:line="252" w:lineRule="auto"/>
        <w:tabs>
          <w:tab w:leader="none" w:pos="25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each such financial institution has agreed, on its own behalf or through its agent, that we may advise Agrify Corporation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93408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934085"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be dated no earlier than the Exchange Date or the relevant Interest Payment Date occurring prior to the Exchange Date, as applicable]</w:t>
      </w:r>
    </w:p>
    <w:p>
      <w:pPr>
        <w:spacing w:after="0" w:line="237" w:lineRule="exact"/>
        <w:rPr>
          <w:sz w:val="20"/>
          <w:szCs w:val="20"/>
          <w:color w:val="auto"/>
        </w:rPr>
      </w:pPr>
    </w:p>
    <w:p>
      <w:pPr>
        <w:ind w:left="1940" w:hanging="1284"/>
        <w:spacing w:after="0"/>
        <w:tabs>
          <w:tab w:leader="none" w:pos="19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Operator of the Euroclear System] [Clearstream Banking Luxembourg]</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6">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904" w:right="99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BURNS &amp; LEVINSON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Treble Cove Road, Building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counsel to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its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 respect to the registration of up to $200,000,000 of any combination of (i) common stock, par value $0.001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the Company, (ii) preferred stock, par value $0.001 per share, of the Company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(iii) warrants to purchase Common Stock, Preferred Stock, Debt Securities or Units (as defined below )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(iv) debt securities of the Company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or (v) units comprised of Common Stock, Preferred Stock, Debt Securities and Warrants in any combination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The Common Stock, Preferred Stock, Warrants, Debt Securities and Units are sometimes referred to collectively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the prospectus contained in the Registration Statement.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examined such documents, instruments, certificates and records,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examination, we have assumed:</w:t>
      </w:r>
    </w:p>
    <w:p>
      <w:pPr>
        <w:spacing w:after="0" w:line="225" w:lineRule="exact"/>
        <w:rPr>
          <w:sz w:val="20"/>
          <w:szCs w:val="20"/>
          <w:color w:val="auto"/>
        </w:rPr>
      </w:pP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original documents and the genuineness of all signatures;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to the originals of all documents submitted to us as copies;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accuracy and completeness of the information, representations and warranties contained in the records, documents, instruments and certificates we have reviewed;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Registration Statement, and any amendments thereto (including post-effective amendments), will have become effective under the Securities Act and will comply with all applicable laws;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Registration Statement, and any amendments thereto (including post-effective amendments) will be effective and will comply with all applicable laws at the time the Securities are offered or issued as contemplated by the Registration Statement;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Prospectus Supplement will have been filed with the Commission describing the Securities offered thereby and will comply with all applicable laws at the time the Securities are offered or issued as contemplated by the Registration Statement;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Securities will be issued and sold in compliance with applicable federal and state securities laws and in the manner stated in the Registration Statement and the applicable prospectus supplement;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left="660" w:hanging="328"/>
        <w:spacing w:after="0" w:line="266"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offer, issuance, sale and delivery of the Securities will not violate any applicable law or result in a violation of any provision of any instrument or agreement then binding upon the Company or any restriction imposed by any court or governmental body having jurisdiction over the Company;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definitive underwriting, purchase or similar agreement with respect to any Securities offered will have been duly authorized and validly executed and delivered by the Company and the other parties thereto;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Securities are offered or issued as contemplated by the Registration Statement, all corporate or other action required to be taken by the Company to duly authorize each proposed issuance of Securities and any related documentation shall have been duly completed and shall remain in full force and effect.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the opinions set forth below, without limiting any other exceptions or qualifications set forth herein, we have assumed that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under the Company’s articles of incorporation, as then in effect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 upon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such Debt Securities will be valid and binding obligations of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express no opinion herein as to the effect or applicability of the laws of any jurisdiction other than the federal laws of the United States of America and the laws of New York. This opinion is limited to the laws referred to above as in effect on the date hereof. We undertake no obligation to advise you as a result of developments occurring after the date hereof or as a result of facts or circumstances brought to our attention after the date hereof. With respect to all matters of Nevada law, we note that you have been provided with the opinion of legal counsel to the Company that is admitted to the practice of law in the State of Nevada. For purposes of our opinion, we have assumed that the Company has been duly incorporated and is a validly existing corporation under the laws of Nevada and that, where applicable, the issuance or delivery by the Company of any Debt Securities will be duly authorized, executed, authenticated, issued and delivered by the Company in accordance with applicable Nevada law.</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under the caption “Legal Matters” in the Registration Statement and the prospectus that forms a part thereof. In giving such consent, we do not hereby admit that we come within the category of persons whose consent is required under Section 7 of the Securities Act or the rules and regulations of the Commission promulgated thereunder or Item 509 of Regulation S-K.</w:t>
      </w:r>
    </w:p>
    <w:p>
      <w:pPr>
        <w:spacing w:after="0" w:line="1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BURNS &amp; LEVINSON LLP</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BURNS &amp; LEVINSON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7"/>
          <w:szCs w:val="17"/>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164465</wp:posOffset>
            </wp:positionV>
            <wp:extent cx="3926205" cy="651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0">
                      <a:extLst>
                        <a:ext uri="{28A0092B-C50C-407E-A947-70E740481C1C}"/>
                      </a:extLst>
                    </a:blip>
                    <a:srcRect/>
                    <a:stretch>
                      <a:fillRect/>
                    </a:stretch>
                  </pic:blipFill>
                  <pic:spPr bwMode="auto">
                    <a:xfrm>
                      <a:off x="0" y="0"/>
                      <a:ext cx="3926205" cy="651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80"/>
        <w:spacing w:after="0" w:line="286" w:lineRule="auto"/>
        <w:rPr>
          <w:sz w:val="20"/>
          <w:szCs w:val="20"/>
          <w:color w:val="auto"/>
        </w:rPr>
      </w:pPr>
      <w:r>
        <w:rPr>
          <w:rFonts w:ascii="Times New Roman" w:cs="Times New Roman" w:eastAsia="Times New Roman" w:hAnsi="Times New Roman"/>
          <w:sz w:val="18"/>
          <w:szCs w:val="18"/>
          <w:b w:val="1"/>
          <w:bCs w:val="1"/>
          <w:color w:val="auto"/>
        </w:rPr>
        <w:t>50 West Liberty Street, Suite 1000, Reno, Nevada 89501-1950 Telephone: 775.323.1980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3960 Howard Hughes Parkway, Suite 500, Las Vegas, Nevada 89169 Telephone: 702.387.6073</w:t>
      </w:r>
    </w:p>
    <w:p>
      <w:pPr>
        <w:spacing w:after="0" w:line="159" w:lineRule="exact"/>
        <w:rPr>
          <w:sz w:val="20"/>
          <w:szCs w:val="20"/>
          <w:color w:val="auto"/>
        </w:rPr>
      </w:pPr>
    </w:p>
    <w:p>
      <w:pPr>
        <w:sectPr>
          <w:pgSz w:w="11900" w:h="16838" w:orient="portrait"/>
          <w:cols w:equalWidth="0" w:num="2">
            <w:col w:w="5160" w:space="680"/>
            <w:col w:w="5400"/>
          </w:cols>
          <w:pgMar w:left="320" w:top="11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June 17,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Treble Cove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3, Unit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Billerica, Massachusetts 01862</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Agrify Corporation/Registration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special Nevada counsel to Agrify Corporation, a Nevada corporation (the “Company”), in connection with the Company’s Registration Statement on Form S-3 (the “Registration Statement”), under the Securities Act of 1933, as amended (“Securities Act”), as filed by the Company with the Securities and Exchange Commission (the “Commission”). The prospectus (the “Prospectus”) that forms part of the Registration Statement provides that it will be supplemented in the future by one or more prospectus supplements (each, a “Prospectus Supplement”). The Registration Statement, including the Prospectus as supplemented from time-to-time by one or more Prospectus Supplements, relates to the offering and issuance by the Company of up to $200,000,000 aggregate offering price of the following:</w:t>
      </w:r>
    </w:p>
    <w:p>
      <w:pPr>
        <w:spacing w:after="0" w:line="187" w:lineRule="exact"/>
        <w:rPr>
          <w:sz w:val="20"/>
          <w:szCs w:val="20"/>
          <w:color w:val="auto"/>
        </w:rPr>
      </w:pPr>
    </w:p>
    <w:p>
      <w:pPr>
        <w:ind w:left="1620" w:hanging="964"/>
        <w:spacing w:after="0"/>
        <w:tabs>
          <w:tab w:leader="none" w:pos="1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$0.001 par value per share (the “Common Stock”);</w:t>
      </w:r>
    </w:p>
    <w:p>
      <w:pPr>
        <w:spacing w:after="0" w:line="225" w:lineRule="exact"/>
        <w:rPr>
          <w:rFonts w:ascii="Times New Roman" w:cs="Times New Roman" w:eastAsia="Times New Roman" w:hAnsi="Times New Roman"/>
          <w:sz w:val="18"/>
          <w:szCs w:val="18"/>
          <w:color w:val="auto"/>
        </w:rPr>
      </w:pPr>
    </w:p>
    <w:p>
      <w:pPr>
        <w:ind w:left="1620" w:hanging="964"/>
        <w:spacing w:after="0"/>
        <w:tabs>
          <w:tab w:leader="none" w:pos="1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$0.001 par value per share (the “Preferred Stock”);</w:t>
      </w:r>
    </w:p>
    <w:p>
      <w:pPr>
        <w:spacing w:after="0" w:line="225" w:lineRule="exact"/>
        <w:rPr>
          <w:rFonts w:ascii="Times New Roman" w:cs="Times New Roman" w:eastAsia="Times New Roman" w:hAnsi="Times New Roman"/>
          <w:sz w:val="18"/>
          <w:szCs w:val="18"/>
          <w:color w:val="auto"/>
        </w:rPr>
      </w:pPr>
    </w:p>
    <w:p>
      <w:pPr>
        <w:ind w:left="1620" w:right="660" w:hanging="964"/>
        <w:spacing w:after="0" w:line="282" w:lineRule="auto"/>
        <w:tabs>
          <w:tab w:leader="none" w:pos="1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Preferred Stock, Debt Securities (as defined below), and Units (as defined below) (“Warrants”);</w:t>
      </w:r>
    </w:p>
    <w:p>
      <w:pPr>
        <w:spacing w:after="0" w:line="161" w:lineRule="exact"/>
        <w:rPr>
          <w:rFonts w:ascii="Times New Roman" w:cs="Times New Roman" w:eastAsia="Times New Roman" w:hAnsi="Times New Roman"/>
          <w:sz w:val="18"/>
          <w:szCs w:val="18"/>
          <w:color w:val="auto"/>
        </w:rPr>
      </w:pPr>
    </w:p>
    <w:p>
      <w:pPr>
        <w:ind w:left="1620" w:hanging="964"/>
        <w:spacing w:after="0"/>
        <w:tabs>
          <w:tab w:leader="none" w:pos="1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 (the “Debt Securities”); and</w:t>
      </w:r>
    </w:p>
    <w:p>
      <w:pPr>
        <w:spacing w:after="0" w:line="225" w:lineRule="exact"/>
        <w:rPr>
          <w:rFonts w:ascii="Times New Roman" w:cs="Times New Roman" w:eastAsia="Times New Roman" w:hAnsi="Times New Roman"/>
          <w:sz w:val="18"/>
          <w:szCs w:val="18"/>
          <w:color w:val="auto"/>
        </w:rPr>
      </w:pPr>
    </w:p>
    <w:p>
      <w:pPr>
        <w:ind w:left="1620" w:hanging="964"/>
        <w:spacing w:after="0"/>
        <w:tabs>
          <w:tab w:leader="none" w:pos="1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one or more shares of Common Stock, Preferred Stock, Debt Securities, or Warrants (“Units,”).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Common Stock, Preferred Stock, Warrants, and Units are referred to herein collectively as the “Securities.” Securities may be issued in an unspecified number and the Debt Securities may be issued in an unspecified principal amount. The Registration Statement provides that the Securities may be offered separately or together, in separate series, in amounts, at prices and on terms to be set forth in one or more Prospectus Supplements.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color w:val="auto"/>
        </w:rPr>
        <w:t>June 17,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these opinions, we have examined originals or copies, certified or otherwise identified to our satisfaction of:</w:t>
      </w:r>
    </w:p>
    <w:p>
      <w:pPr>
        <w:spacing w:after="0" w:line="225" w:lineRule="exact"/>
        <w:rPr>
          <w:sz w:val="20"/>
          <w:szCs w:val="20"/>
          <w:color w:val="auto"/>
        </w:rPr>
      </w:pPr>
    </w:p>
    <w:p>
      <w:pPr>
        <w:ind w:left="980" w:hanging="324"/>
        <w:spacing w:after="0"/>
        <w:tabs>
          <w:tab w:leader="none" w:pos="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of the Company filed with the Nevada Secretary of State on June 6, 2016, as amended by the Certificate of Change filed with the Nevada Secretary of State on May 24, 2019, the Certificate of Amendment filed with the Nevada Secretary of State on September 16, 2019, the Certificate of Amendment filed with the Nevada Secretary of State on January 7, 2020, and the Certificate of Amendment filed with the Nevada Secretary of State on January 12, 2021 (collectively, the “Articles of Incorporation”);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 adopted on December 18, 2020;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agreements, resolutions of the Board of Directors of the Company (“Board”), and such other matters as relevant related to the issuance and the registration of the Securities under the Securities Act, and such other matters as relevant.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980" w:hanging="324"/>
        <w:spacing w:after="0"/>
        <w:tabs>
          <w:tab w:leader="none" w:pos="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of all natural persons executing the documents;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 and the conformity to original documents of all documents submitted to us as copies;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 obligations thereunder;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the execution and delivery by all parties of the documents, and the validity and binding effect thereof on such parties;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Registration Statement, and any amendments thereto (including post-effective amendments) will be effective and will comply with all applicable laws at the time the Securities are offered or issued as contemplated by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color w:val="auto"/>
        </w:rPr>
        <w:t>June 17,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23" w:lineRule="exact"/>
        <w:rPr>
          <w:sz w:val="20"/>
          <w:szCs w:val="20"/>
          <w:color w:val="auto"/>
        </w:rPr>
      </w:pPr>
    </w:p>
    <w:p>
      <w:pPr>
        <w:ind w:left="980" w:hanging="324"/>
        <w:spacing w:after="0" w:line="282" w:lineRule="auto"/>
        <w:tabs>
          <w:tab w:leader="none" w:pos="9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Prospectus Supplement will have been filed with the Commission describing the Securities offered thereby and will comply with all applicable laws at the time the Securities are offered or issued as contemplated by the Registration Statement;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Securities will be issued and sold in compliance with applicable federal and state securities laws and in the manner stated in the Registration Statement and the applicable Prospectus Supplement;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definitive underwriting, purchase or similar agreement with respect to any Securities offered will have been duly authorized and validly executed and delivered by the Company and the other parties thereto;</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Securities are offered or issued as contemplated by the Registration Statement, all corporate or other action required to be taken by the Company to duly authorize and issue each proposed issuance of Securities and any related documentation shall have been duly completed and shall remain in full force and effect;</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Common Stock and Preferred Stock, at the time of issuance, sale, and delivery (including those related to exercise , (a) a sufficient number of shares of such Securities are authorized and available for issuance and that the consideration for the issuance and sale of such Securities whether issuable directly for such consideration or upon the conversion of any preferred stock or debt securities or the exercise of warrants, is in an amount that is not less than the par value of the Common Stock or the Preferred Stock, as applicable, (b) the terms of the shares of such Securities and the issuance and sale of such Securities, are in conformity with the Company’s then operative Articles of Incorporation and Bylaws, do not result in a default under or breach of any agreement or instrument binding upon the Company, and comply with any applicable requirement or restriction imposed by any court or governmental body having jurisdiction over the Company;</w:t>
      </w:r>
    </w:p>
    <w:p>
      <w:pPr>
        <w:spacing w:after="0" w:line="2"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if any, for such Securities have been duly executed by the Company and countersigned by the transfer agent therefor, and</w:t>
      </w:r>
    </w:p>
    <w:p>
      <w:pPr>
        <w:spacing w:after="0" w:line="9" w:lineRule="exact"/>
        <w:rPr>
          <w:rFonts w:ascii="Times New Roman" w:cs="Times New Roman" w:eastAsia="Times New Roman" w:hAnsi="Times New Roman"/>
          <w:sz w:val="18"/>
          <w:szCs w:val="18"/>
          <w:color w:val="auto"/>
        </w:rPr>
      </w:pPr>
    </w:p>
    <w:p>
      <w:pPr>
        <w:jc w:val="both"/>
        <w:ind w:left="980"/>
        <w:spacing w:after="0" w:line="252" w:lineRule="auto"/>
        <w:tabs>
          <w:tab w:leader="none" w:pos="1264"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(including any certificates therefor) have been duly delivered to the purchasers thereof against payment of the agreed consideration therefor as described in the Registration Statement and in accordance with the terms of any purchase, underwriting, or similar agreement, if any, related to the issuance and sale of the Securities as contemplated in the Registration Statement, the Prospectus, and the related Prospectus Supplement(s) and in accordance with any applicable duly authorized, executed, and delivered purchase, underwriting, or similar agreement, or upon conversion of any convertible debt securities or exercise of any warrants in accordance with the respective terms of such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t>June 17,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2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assumptions, limitations and qualifications set forth herein, we are of the opinion that:</w:t>
      </w:r>
    </w:p>
    <w:p>
      <w:pPr>
        <w:spacing w:after="0" w:line="162" w:lineRule="exact"/>
        <w:rPr>
          <w:sz w:val="20"/>
          <w:szCs w:val="20"/>
          <w:color w:val="auto"/>
        </w:rPr>
      </w:pPr>
    </w:p>
    <w:p>
      <w:pPr>
        <w:ind w:left="980" w:hanging="324"/>
        <w:spacing w:after="0" w:line="282" w:lineRule="auto"/>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authorization and issuance of shares of the Common Stock, such shares of Common Stock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authorization and issuance of shares of the Preferred Stock, such shares of Preferred Stock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authorization and issuance of Warrants, such Warrants will be valid and binding obligations of the Company, enforceable against the Company in accordance with their terms.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authorization and issuance of Units, such Units will be valid and binding obligations of the Company, enforceable against the Company in accordance with their terms.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subsequent to the date the Registration Statement is declared effective.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excluding securities laws of the State of Nevada (to which we express no opinion). We express no opinion regarding the effect of the laws of any other jurisdiction or state, including any securities laws related to the issuance and sale of the Securities. In addition we express no opinion regarding Debt Securities, including those included in any Unit.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of this opinion letter as Exhibit 5.1 to the Registration Statement and to the use of our name under the caption “Legal Matters” in the Registration Statement and in the Prospectus forming a part thereof and any supplement thereto. In giving the foregoing consent, we do not 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Sherman &amp; Howard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SHERMAN &amp; HOWARD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of Agrify Corporation on Form S-3 of our report dated March 31, 2022, with respect to our audits of the consolidated financial statements of Agrify Corporation as of December 31, 2021 and 2020 and for the years ended December 31, 2021 and 2020 appearing in the Annual Report on Form 10-K of Agrify Corporation for the fiscal year ended December 31, 2021. We also consent to the reference to our firm under the heading “Experts” in the Prospectus, which is part of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w:t>
      </w:r>
      <w:r>
        <w:rPr>
          <w:rFonts w:ascii="Times New Roman" w:cs="Times New Roman" w:eastAsia="Times New Roman" w:hAnsi="Times New Roman"/>
          <w:sz w:val="12"/>
          <w:szCs w:val="12"/>
          <w:color w:val="auto"/>
        </w:rPr>
        <w:t>m</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w:t>
      </w:r>
      <w:r>
        <w:rPr>
          <w:rFonts w:ascii="Times New Roman" w:cs="Times New Roman" w:eastAsia="Times New Roman" w:hAnsi="Times New Roman"/>
          <w:sz w:val="12"/>
          <w:szCs w:val="12"/>
          <w:color w:val="auto"/>
        </w:rPr>
        <w:t>m</w:t>
      </w:r>
      <w:r>
        <w:rPr>
          <w:rFonts w:ascii="Times New Roman" w:cs="Times New Roman" w:eastAsia="Times New Roman" w:hAnsi="Times New Roman"/>
          <w:sz w:val="18"/>
          <w:szCs w:val="18"/>
          <w:color w:val="auto"/>
        </w:rPr>
        <w:t xml:space="preserv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 OF INDEPENDENT AUDITOR</w:t>
      </w:r>
    </w:p>
    <w:p>
      <w:pPr>
        <w:spacing w:after="0" w:line="21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on Form S-3 of our report dated December 8, 2021, relating to the consolidated financial statements of Mass2Media, LLC dba PX2 Holdings, LLC and Affiliate as of December 31, 2020.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Southfield,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color w:val="auto"/>
        </w:rPr>
        <w:t>CONSENT OF INDEPENDENT AUDITOR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in this Registration Statement on Form S-3 of our report dated December 8, 2021 relating to the financial statements of Cascade Sciences, LLC as of December 31, 2020. We also consent to the reference to us under the heading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Southfield, Michigan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S-3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Filing Fee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Connection</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Proposed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Carry</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with</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Maximum</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Carry</w:t>
            </w:r>
          </w:p>
        </w:tc>
        <w:tc>
          <w:tcPr>
            <w:tcW w:w="5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Carry</w:t>
            </w: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Unsold</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Security</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Amount</w:t>
            </w:r>
          </w:p>
        </w:tc>
        <w:tc>
          <w:tcPr>
            <w:tcW w:w="8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9"/>
              </w:rPr>
              <w:t>Maximum</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Amount of</w:t>
            </w: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Carry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5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4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Initial</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1"/>
              </w:rPr>
              <w:t>to</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Class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Registered</w:t>
            </w:r>
          </w:p>
        </w:tc>
        <w:tc>
          <w:tcPr>
            <w:tcW w:w="8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Price Per</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w w:val="99"/>
              </w:rPr>
              <w:t>Offering</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Fee Rate</w:t>
            </w:r>
          </w:p>
        </w:tc>
        <w:tc>
          <w:tcPr>
            <w:tcW w:w="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w w:val="96"/>
              </w:rPr>
              <w:t>Registration</w:t>
            </w:r>
          </w:p>
        </w:tc>
        <w:tc>
          <w:tcPr>
            <w:tcW w:w="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8"/>
              </w:rPr>
              <w:t>Form</w:t>
            </w:r>
          </w:p>
        </w:tc>
        <w:tc>
          <w:tcPr>
            <w:tcW w:w="5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File</w:t>
            </w:r>
          </w:p>
        </w:tc>
        <w:tc>
          <w:tcPr>
            <w:tcW w:w="6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Effective</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be Carried</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80" w:type="dxa"/>
            <w:vAlign w:val="bottom"/>
          </w:tcPr>
          <w:p>
            <w:pPr>
              <w:spacing w:after="0"/>
              <w:rPr>
                <w:sz w:val="14"/>
                <w:szCs w:val="14"/>
                <w:color w:val="auto"/>
              </w:rPr>
            </w:pP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Title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Unit (2)</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Price</w:t>
            </w: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Fee</w:t>
            </w:r>
          </w:p>
        </w:tc>
        <w:tc>
          <w:tcPr>
            <w:tcW w:w="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Type</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Number</w:t>
            </w:r>
          </w:p>
        </w:tc>
        <w:tc>
          <w:tcPr>
            <w:tcW w:w="4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Date</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Forward</w:t>
            </w:r>
          </w:p>
        </w:tc>
        <w:tc>
          <w:tcPr>
            <w:tcW w:w="0" w:type="dxa"/>
            <w:vAlign w:val="bottom"/>
          </w:tcPr>
          <w:p>
            <w:pPr>
              <w:spacing w:after="0"/>
              <w:rPr>
                <w:sz w:val="1"/>
                <w:szCs w:val="1"/>
                <w:color w:val="auto"/>
              </w:rPr>
            </w:pPr>
          </w:p>
        </w:tc>
      </w:tr>
      <w:tr>
        <w:trPr>
          <w:trHeight w:val="128"/>
        </w:trPr>
        <w:tc>
          <w:tcPr>
            <w:tcW w:w="8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Newly</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Registered</w:t>
            </w: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84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lef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60" w:type="dxa"/>
            <w:vAlign w:val="bottom"/>
            <w:gridSpan w:val="4"/>
          </w:tcPr>
          <w:p>
            <w:pPr>
              <w:jc w:val="center"/>
              <w:ind w:right="548"/>
              <w:spacing w:after="0" w:line="149" w:lineRule="exact"/>
              <w:rPr>
                <w:sz w:val="20"/>
                <w:szCs w:val="20"/>
                <w:color w:val="auto"/>
              </w:rPr>
            </w:pPr>
            <w:r>
              <w:rPr>
                <w:rFonts w:ascii="Times New Roman" w:cs="Times New Roman" w:eastAsia="Times New Roman" w:hAnsi="Times New Roman"/>
                <w:sz w:val="14"/>
                <w:szCs w:val="14"/>
                <w:color w:val="auto"/>
              </w:rPr>
              <w:t>Primary Offering of 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8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jc w:val="center"/>
              <w:ind w:right="80"/>
              <w:spacing w:after="0" w:line="126" w:lineRule="exact"/>
              <w:rPr>
                <w:sz w:val="20"/>
                <w:szCs w:val="20"/>
                <w:color w:val="auto"/>
              </w:rPr>
            </w:pPr>
            <w:r>
              <w:rPr>
                <w:rFonts w:ascii="Times New Roman" w:cs="Times New Roman" w:eastAsia="Times New Roman" w:hAnsi="Times New Roman"/>
                <w:sz w:val="14"/>
                <w:szCs w:val="14"/>
                <w:color w:val="auto"/>
              </w:rPr>
              <w:t>Common Stock, par value</w:t>
            </w:r>
          </w:p>
        </w:tc>
        <w:tc>
          <w:tcPr>
            <w:tcW w:w="680" w:type="dxa"/>
            <w:vAlign w:val="bottom"/>
            <w:vMerge w:val="restart"/>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457(o)</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$0.001 per share (3)</w:t>
            </w: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80" w:type="dxa"/>
            <w:vAlign w:val="bottom"/>
          </w:tcPr>
          <w:p>
            <w:pPr>
              <w:spacing w:after="0"/>
              <w:rPr>
                <w:sz w:val="10"/>
                <w:szCs w:val="10"/>
                <w:color w:val="auto"/>
              </w:rPr>
            </w:pP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Preferred Stock (4)</w:t>
            </w:r>
          </w:p>
        </w:tc>
        <w:tc>
          <w:tcPr>
            <w:tcW w:w="6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457(o)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Paid</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Debt</w:t>
            </w:r>
          </w:p>
        </w:tc>
        <w:tc>
          <w:tcPr>
            <w:tcW w:w="80" w:type="dxa"/>
            <w:vAlign w:val="bottom"/>
            <w:shd w:val="clear" w:color="auto" w:fill="CCEEFF"/>
          </w:tcPr>
          <w:p>
            <w:pPr>
              <w:spacing w:after="0"/>
              <w:rPr>
                <w:sz w:val="10"/>
                <w:szCs w:val="10"/>
                <w:color w:val="auto"/>
              </w:rPr>
            </w:pPr>
          </w:p>
        </w:tc>
        <w:tc>
          <w:tcPr>
            <w:tcW w:w="17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Debt Securities (5)</w:t>
            </w:r>
          </w:p>
        </w:tc>
        <w:tc>
          <w:tcPr>
            <w:tcW w:w="680" w:type="dxa"/>
            <w:vAlign w:val="bottom"/>
            <w:vMerge w:val="restart"/>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457(o)</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80" w:type="dxa"/>
            <w:vAlign w:val="bottom"/>
          </w:tcPr>
          <w:p>
            <w:pPr>
              <w:spacing w:after="0"/>
              <w:rPr>
                <w:sz w:val="10"/>
                <w:szCs w:val="10"/>
                <w:color w:val="auto"/>
              </w:rPr>
            </w:pPr>
          </w:p>
        </w:tc>
        <w:tc>
          <w:tcPr>
            <w:tcW w:w="1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Warrants (6)</w:t>
            </w:r>
          </w:p>
        </w:tc>
        <w:tc>
          <w:tcPr>
            <w:tcW w:w="6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457(o)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Paid</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80" w:type="dxa"/>
            <w:vAlign w:val="bottom"/>
            <w:shd w:val="clear" w:color="auto" w:fill="CCEEFF"/>
          </w:tcPr>
          <w:p>
            <w:pPr>
              <w:spacing w:after="0"/>
              <w:rPr>
                <w:sz w:val="10"/>
                <w:szCs w:val="10"/>
                <w:color w:val="auto"/>
              </w:rPr>
            </w:pPr>
          </w:p>
        </w:tc>
        <w:tc>
          <w:tcPr>
            <w:tcW w:w="17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Units (7)</w:t>
            </w:r>
          </w:p>
        </w:tc>
        <w:tc>
          <w:tcPr>
            <w:tcW w:w="680" w:type="dxa"/>
            <w:vAlign w:val="bottom"/>
            <w:vMerge w:val="restart"/>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457(o)</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Fees to Be</w:t>
            </w: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Unallocated</w:t>
            </w: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1700" w:type="dxa"/>
            <w:vAlign w:val="bottom"/>
            <w:gridSpan w:val="2"/>
            <w:vMerge w:val="restart"/>
          </w:tcPr>
          <w:p>
            <w:pPr>
              <w:jc w:val="right"/>
              <w:ind w:right="6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457(o)</w:t>
            </w:r>
          </w:p>
        </w:tc>
        <w:tc>
          <w:tcPr>
            <w:tcW w:w="16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200,000,000</w:t>
            </w:r>
          </w:p>
        </w:tc>
        <w:tc>
          <w:tcPr>
            <w:tcW w:w="8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200,000,000</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0.0000927</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18,540</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Paid</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1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vMerge w:val="restart"/>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840" w:type="dxa"/>
            <w:vAlign w:val="bottom"/>
            <w:vMerge w:val="continue"/>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70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rPr>
              <w:t>Total Registration Fee:</w:t>
            </w:r>
          </w:p>
        </w:tc>
        <w:tc>
          <w:tcPr>
            <w:tcW w:w="6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200,000,000</w:t>
            </w:r>
          </w:p>
        </w:tc>
        <w:tc>
          <w:tcPr>
            <w:tcW w:w="80" w:type="dxa"/>
            <w:vAlign w:val="bottom"/>
            <w:shd w:val="clear" w:color="auto" w:fill="CCEEFF"/>
          </w:tcPr>
          <w:p>
            <w:pPr>
              <w:spacing w:after="0"/>
              <w:rPr>
                <w:sz w:val="9"/>
                <w:szCs w:val="9"/>
                <w:color w:val="auto"/>
              </w:rPr>
            </w:pPr>
          </w:p>
        </w:tc>
        <w:tc>
          <w:tcPr>
            <w:tcW w:w="720" w:type="dxa"/>
            <w:vAlign w:val="bottom"/>
            <w:tcBorders>
              <w:right w:val="single" w:sz="8" w:color="CCEEFF"/>
            </w:tcBorders>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200,000,000</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18,540</w:t>
            </w:r>
          </w:p>
        </w:tc>
        <w:tc>
          <w:tcPr>
            <w:tcW w:w="80" w:type="dxa"/>
            <w:vAlign w:val="bottom"/>
            <w:tcBorders>
              <w:lef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Paid</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40" w:type="dxa"/>
            <w:vAlign w:val="bottom"/>
            <w:gridSpan w:val="8"/>
          </w:tcPr>
          <w:p>
            <w:pPr>
              <w:ind w:left="580"/>
              <w:spacing w:after="0"/>
              <w:rPr>
                <w:sz w:val="20"/>
                <w:szCs w:val="20"/>
                <w:color w:val="auto"/>
              </w:rPr>
            </w:pPr>
            <w:r>
              <w:rPr>
                <w:rFonts w:ascii="Times New Roman" w:cs="Times New Roman" w:eastAsia="Times New Roman" w:hAnsi="Times New Roman"/>
                <w:sz w:val="14"/>
                <w:szCs w:val="14"/>
                <w:color w:val="auto"/>
              </w:rPr>
              <w:t>Carry Forward Securities</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Carry</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17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left w:val="single" w:sz="8" w:color="CCEEFF"/>
            </w:tcBorders>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0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gridSpan w:val="5"/>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Total Offering Amounts</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200,000,000</w:t>
            </w:r>
          </w:p>
        </w:tc>
        <w:tc>
          <w:tcPr>
            <w:tcW w:w="1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18,540</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60" w:type="dxa"/>
            <w:vAlign w:val="bottom"/>
            <w:gridSpan w:val="5"/>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Total Fees Previously Paid</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gridSpan w:val="4"/>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Total Fee Offsets</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Net Fee Due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18,540</w:t>
            </w:r>
          </w:p>
        </w:tc>
        <w:tc>
          <w:tcPr>
            <w:tcW w:w="80" w:type="dxa"/>
            <w:vAlign w:val="bottom"/>
            <w:tcBorders>
              <w:lef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left="340" w:hanging="332"/>
        <w:spacing w:after="0" w:line="252"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registered consists of up to $200,000,000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6"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340" w:hanging="332"/>
        <w:spacing w:after="0" w:line="250"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340" w:hanging="332"/>
        <w:spacing w:after="0" w:line="250"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such indeterminate principal amount of debt securities as may be issued from time to time at indeterminate prices or upon exercise of warrants registered hereby, as the case may be.</w:t>
      </w:r>
    </w:p>
    <w:p>
      <w:pPr>
        <w:jc w:val="both"/>
        <w:ind w:left="340" w:hanging="332"/>
        <w:spacing w:after="0" w:line="250"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p>
      <w:pPr>
        <w:spacing w:after="0" w:line="1" w:lineRule="exact"/>
        <w:rPr>
          <w:sz w:val="20"/>
          <w:szCs w:val="20"/>
          <w:color w:val="auto"/>
        </w:rPr>
      </w:pPr>
    </w:p>
    <w:p>
      <w:pPr>
        <w:ind w:left="340" w:hanging="332"/>
        <w:spacing w:after="0"/>
        <w:tabs>
          <w:tab w:leader="none" w:pos="3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unit is not applicable in that these securities are not issued in predetermined amounts or units.</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7FFA2B"/>
    <w:multiLevelType w:val="hybridMultilevel"/>
    <w:lvl w:ilvl="0">
      <w:lvlJc w:val="left"/>
      <w:lvlText w:val="●"/>
      <w:numFmt w:val="bullet"/>
      <w:start w:val="1"/>
    </w:lvl>
  </w:abstractNum>
  <w:abstractNum w:abstractNumId="1">
    <w:nsid w:val="3C5991AA"/>
    <w:multiLevelType w:val="hybridMultilevel"/>
    <w:lvl w:ilvl="0">
      <w:lvlJc w:val="left"/>
      <w:lvlText w:val="●"/>
      <w:numFmt w:val="bullet"/>
      <w:start w:val="1"/>
    </w:lvl>
  </w:abstractNum>
  <w:abstractNum w:abstractNumId="2">
    <w:nsid w:val="4BD8591A"/>
    <w:multiLevelType w:val="hybridMultilevel"/>
    <w:lvl w:ilvl="0">
      <w:lvlJc w:val="left"/>
      <w:lvlText w:val="●"/>
      <w:numFmt w:val="bullet"/>
      <w:start w:val="1"/>
    </w:lvl>
  </w:abstractNum>
  <w:abstractNum w:abstractNumId="3">
    <w:nsid w:val="78DF6A55"/>
    <w:multiLevelType w:val="hybridMultilevel"/>
    <w:lvl w:ilvl="0">
      <w:lvlJc w:val="left"/>
      <w:lvlText w:val="●"/>
      <w:numFmt w:val="bullet"/>
      <w:start w:val="1"/>
    </w:lvl>
  </w:abstractNum>
  <w:abstractNum w:abstractNumId="4">
    <w:nsid w:val="39B7AAA2"/>
    <w:multiLevelType w:val="hybridMultilevel"/>
    <w:lvl w:ilvl="0">
      <w:lvlJc w:val="left"/>
      <w:lvlText w:val="●"/>
      <w:numFmt w:val="bullet"/>
      <w:start w:val="1"/>
    </w:lvl>
  </w:abstractNum>
  <w:abstractNum w:abstractNumId="5">
    <w:nsid w:val="2B0D8DBE"/>
    <w:multiLevelType w:val="hybridMultilevel"/>
    <w:lvl w:ilvl="0">
      <w:lvlJc w:val="left"/>
      <w:lvlText w:val="●"/>
      <w:numFmt w:val="bullet"/>
      <w:start w:val="1"/>
    </w:lvl>
  </w:abstractNum>
  <w:abstractNum w:abstractNumId="6">
    <w:nsid w:val="6C80EC70"/>
    <w:multiLevelType w:val="hybridMultilevel"/>
    <w:lvl w:ilvl="0">
      <w:lvlJc w:val="left"/>
      <w:lvlText w:val="●"/>
      <w:numFmt w:val="bullet"/>
      <w:start w:val="1"/>
    </w:lvl>
  </w:abstractNum>
  <w:abstractNum w:abstractNumId="7">
    <w:nsid w:val="379E21B5"/>
    <w:multiLevelType w:val="hybridMultilevel"/>
    <w:lvl w:ilvl="0">
      <w:lvlJc w:val="left"/>
      <w:lvlText w:val="●"/>
      <w:numFmt w:val="bullet"/>
      <w:start w:val="1"/>
    </w:lvl>
  </w:abstractNum>
  <w:abstractNum w:abstractNumId="8">
    <w:nsid w:val="69E373"/>
    <w:multiLevelType w:val="hybridMultilevel"/>
    <w:lvl w:ilvl="0">
      <w:lvlJc w:val="left"/>
      <w:lvlText w:val="●"/>
      <w:numFmt w:val="bullet"/>
      <w:start w:val="1"/>
    </w:lvl>
  </w:abstractNum>
  <w:abstractNum w:abstractNumId="9">
    <w:nsid w:val="2C27173B"/>
    <w:multiLevelType w:val="hybridMultilevel"/>
    <w:lvl w:ilvl="0">
      <w:lvlJc w:val="left"/>
      <w:lvlText w:val="●"/>
      <w:numFmt w:val="bullet"/>
      <w:start w:val="1"/>
    </w:lvl>
  </w:abstractNum>
  <w:abstractNum w:abstractNumId="10">
    <w:nsid w:val="4C9B0904"/>
    <w:multiLevelType w:val="hybridMultilevel"/>
    <w:lvl w:ilvl="0">
      <w:lvlJc w:val="left"/>
      <w:lvlText w:val="●"/>
      <w:numFmt w:val="bullet"/>
      <w:start w:val="1"/>
    </w:lvl>
  </w:abstractNum>
  <w:abstractNum w:abstractNumId="11">
    <w:nsid w:val="6AA7B75C"/>
    <w:multiLevelType w:val="hybridMultilevel"/>
    <w:lvl w:ilvl="0">
      <w:lvlJc w:val="left"/>
      <w:lvlText w:val="●"/>
      <w:numFmt w:val="bullet"/>
      <w:start w:val="1"/>
    </w:lvl>
  </w:abstractNum>
  <w:abstractNum w:abstractNumId="12">
    <w:nsid w:val="1DF029D3"/>
    <w:multiLevelType w:val="hybridMultilevel"/>
    <w:lvl w:ilvl="0">
      <w:lvlJc w:val="left"/>
      <w:lvlText w:val="●"/>
      <w:numFmt w:val="bullet"/>
      <w:start w:val="1"/>
    </w:lvl>
  </w:abstractNum>
  <w:abstractNum w:abstractNumId="13">
    <w:nsid w:val="5675FF36"/>
    <w:multiLevelType w:val="hybridMultilevel"/>
    <w:lvl w:ilvl="0">
      <w:lvlJc w:val="left"/>
      <w:lvlText w:val="●"/>
      <w:numFmt w:val="bullet"/>
      <w:start w:val="1"/>
    </w:lvl>
  </w:abstractNum>
  <w:abstractNum w:abstractNumId="14">
    <w:nsid w:val="3DD15094"/>
    <w:multiLevelType w:val="hybridMultilevel"/>
    <w:lvl w:ilvl="0">
      <w:lvlJc w:val="left"/>
      <w:lvlText w:val="●"/>
      <w:numFmt w:val="bullet"/>
      <w:start w:val="1"/>
    </w:lvl>
  </w:abstractNum>
  <w:abstractNum w:abstractNumId="15">
    <w:nsid w:val="3DB012B3"/>
    <w:multiLevelType w:val="hybridMultilevel"/>
    <w:lvl w:ilvl="0">
      <w:lvlJc w:val="left"/>
      <w:lvlText w:val="●"/>
      <w:numFmt w:val="bullet"/>
      <w:start w:val="1"/>
    </w:lvl>
  </w:abstractNum>
  <w:abstractNum w:abstractNumId="16">
    <w:nsid w:val="2708C9AF"/>
    <w:multiLevelType w:val="hybridMultilevel"/>
    <w:lvl w:ilvl="0">
      <w:lvlJc w:val="left"/>
      <w:lvlText w:val="●"/>
      <w:numFmt w:val="bullet"/>
      <w:start w:val="1"/>
    </w:lvl>
  </w:abstractNum>
  <w:abstractNum w:abstractNumId="17">
    <w:nsid w:val="5B25ACE2"/>
    <w:multiLevelType w:val="hybridMultilevel"/>
    <w:lvl w:ilvl="0">
      <w:lvlJc w:val="left"/>
      <w:lvlText w:val="●"/>
      <w:numFmt w:val="bullet"/>
      <w:start w:val="1"/>
    </w:lvl>
  </w:abstractNum>
  <w:abstractNum w:abstractNumId="18">
    <w:nsid w:val="175DFCF0"/>
    <w:multiLevelType w:val="hybridMultilevel"/>
    <w:lvl w:ilvl="0">
      <w:lvlJc w:val="left"/>
      <w:lvlText w:val="●"/>
      <w:numFmt w:val="bullet"/>
      <w:start w:val="1"/>
    </w:lvl>
  </w:abstractNum>
  <w:abstractNum w:abstractNumId="19">
    <w:nsid w:val="4F97E3E4"/>
    <w:multiLevelType w:val="hybridMultilevel"/>
    <w:lvl w:ilvl="0">
      <w:lvlJc w:val="left"/>
      <w:lvlText w:val="●"/>
      <w:numFmt w:val="bullet"/>
      <w:start w:val="1"/>
    </w:lvl>
  </w:abstractNum>
  <w:abstractNum w:abstractNumId="20">
    <w:nsid w:val="53B0A9E"/>
    <w:multiLevelType w:val="hybridMultilevel"/>
    <w:lvl w:ilvl="0">
      <w:lvlJc w:val="left"/>
      <w:lvlText w:val="●"/>
      <w:numFmt w:val="bullet"/>
      <w:start w:val="1"/>
    </w:lvl>
  </w:abstractNum>
  <w:abstractNum w:abstractNumId="21">
    <w:nsid w:val="34FD6B4F"/>
    <w:multiLevelType w:val="hybridMultilevel"/>
    <w:lvl w:ilvl="0">
      <w:lvlJc w:val="left"/>
      <w:lvlText w:val="●"/>
      <w:numFmt w:val="bullet"/>
      <w:start w:val="1"/>
    </w:lvl>
  </w:abstractNum>
  <w:abstractNum w:abstractNumId="22">
    <w:nsid w:val="5915FF32"/>
    <w:multiLevelType w:val="hybridMultilevel"/>
    <w:lvl w:ilvl="0">
      <w:lvlJc w:val="left"/>
      <w:lvlText w:val="●"/>
      <w:numFmt w:val="bullet"/>
      <w:start w:val="1"/>
    </w:lvl>
  </w:abstractNum>
  <w:abstractNum w:abstractNumId="23">
    <w:nsid w:val="56438D15"/>
    <w:multiLevelType w:val="hybridMultilevel"/>
    <w:lvl w:ilvl="0">
      <w:lvlJc w:val="left"/>
      <w:lvlText w:val="●"/>
      <w:numFmt w:val="bullet"/>
      <w:start w:val="1"/>
    </w:lvl>
  </w:abstractNum>
  <w:abstractNum w:abstractNumId="24">
    <w:nsid w:val="519E3149"/>
    <w:multiLevelType w:val="hybridMultilevel"/>
    <w:lvl w:ilvl="0">
      <w:lvlJc w:val="left"/>
      <w:lvlText w:val="●"/>
      <w:numFmt w:val="bullet"/>
      <w:start w:val="1"/>
    </w:lvl>
  </w:abstractNum>
  <w:abstractNum w:abstractNumId="25">
    <w:nsid w:val="2C6E4AFD"/>
    <w:multiLevelType w:val="hybridMultilevel"/>
    <w:lvl w:ilvl="0">
      <w:lvlJc w:val="left"/>
      <w:lvlText w:val="●"/>
      <w:numFmt w:val="bullet"/>
      <w:start w:val="1"/>
    </w:lvl>
  </w:abstractNum>
  <w:abstractNum w:abstractNumId="26">
    <w:nsid w:val="17A1B582"/>
    <w:multiLevelType w:val="hybridMultilevel"/>
    <w:lvl w:ilvl="0">
      <w:lvlJc w:val="left"/>
      <w:lvlText w:val="●"/>
      <w:numFmt w:val="bullet"/>
      <w:start w:val="1"/>
    </w:lvl>
    <w:lvl w:ilvl="1">
      <w:lvlJc w:val="left"/>
      <w:lvlText w:val="(%2)"/>
      <w:numFmt w:val="lowerRoman"/>
      <w:start w:val="1"/>
    </w:lvl>
  </w:abstractNum>
  <w:abstractNum w:abstractNumId="27">
    <w:nsid w:val="4DF72E4E"/>
    <w:multiLevelType w:val="hybridMultilevel"/>
    <w:lvl w:ilvl="0">
      <w:lvlJc w:val="left"/>
      <w:lvlText w:val="●"/>
      <w:numFmt w:val="bullet"/>
      <w:start w:val="1"/>
    </w:lvl>
  </w:abstractNum>
  <w:abstractNum w:abstractNumId="28">
    <w:nsid w:val="5046B5A9"/>
    <w:multiLevelType w:val="hybridMultilevel"/>
    <w:lvl w:ilvl="0">
      <w:lvlJc w:val="left"/>
      <w:lvlText w:val="●"/>
      <w:numFmt w:val="bullet"/>
      <w:start w:val="1"/>
    </w:lvl>
  </w:abstractNum>
  <w:abstractNum w:abstractNumId="29">
    <w:nsid w:val="5D888A08"/>
    <w:multiLevelType w:val="hybridMultilevel"/>
    <w:lvl w:ilvl="0">
      <w:lvlJc w:val="left"/>
      <w:lvlText w:val="●"/>
      <w:numFmt w:val="bullet"/>
      <w:start w:val="1"/>
    </w:lvl>
  </w:abstractNum>
  <w:abstractNum w:abstractNumId="30">
    <w:nsid w:val="2A082C70"/>
    <w:multiLevelType w:val="hybridMultilevel"/>
    <w:lvl w:ilvl="0">
      <w:lvlJc w:val="left"/>
      <w:lvlText w:val="●"/>
      <w:numFmt w:val="bullet"/>
      <w:start w:val="1"/>
    </w:lvl>
  </w:abstractNum>
  <w:abstractNum w:abstractNumId="31">
    <w:nsid w:val="5EC6AFD4"/>
    <w:multiLevelType w:val="hybridMultilevel"/>
    <w:lvl w:ilvl="0">
      <w:lvlJc w:val="left"/>
      <w:lvlText w:val="●"/>
      <w:numFmt w:val="bullet"/>
      <w:start w:val="1"/>
    </w:lvl>
  </w:abstractNum>
  <w:abstractNum w:abstractNumId="32">
    <w:nsid w:val="19E21BB2"/>
    <w:multiLevelType w:val="hybridMultilevel"/>
    <w:lvl w:ilvl="0">
      <w:lvlJc w:val="left"/>
      <w:lvlText w:val="●"/>
      <w:numFmt w:val="bullet"/>
      <w:start w:val="1"/>
    </w:lvl>
  </w:abstractNum>
  <w:abstractNum w:abstractNumId="33">
    <w:nsid w:val="75E0858A"/>
    <w:multiLevelType w:val="hybridMultilevel"/>
    <w:lvl w:ilvl="0">
      <w:lvlJc w:val="left"/>
      <w:lvlText w:val="●"/>
      <w:numFmt w:val="bullet"/>
      <w:start w:val="1"/>
    </w:lvl>
  </w:abstractNum>
  <w:abstractNum w:abstractNumId="34">
    <w:nsid w:val="57A61A29"/>
    <w:multiLevelType w:val="hybridMultilevel"/>
    <w:lvl w:ilvl="0">
      <w:lvlJc w:val="left"/>
      <w:lvlText w:val="●"/>
      <w:numFmt w:val="bullet"/>
      <w:start w:val="1"/>
    </w:lvl>
  </w:abstractNum>
  <w:abstractNum w:abstractNumId="35">
    <w:nsid w:val="5399C654"/>
    <w:multiLevelType w:val="hybridMultilevel"/>
    <w:lvl w:ilvl="0">
      <w:lvlJc w:val="left"/>
      <w:lvlText w:val="●"/>
      <w:numFmt w:val="bullet"/>
      <w:start w:val="1"/>
    </w:lvl>
  </w:abstractNum>
  <w:abstractNum w:abstractNumId="36">
    <w:nsid w:val="20EE1348"/>
    <w:multiLevelType w:val="hybridMultilevel"/>
    <w:lvl w:ilvl="0">
      <w:lvlJc w:val="left"/>
      <w:lvlText w:val="●"/>
      <w:numFmt w:val="bullet"/>
      <w:start w:val="1"/>
    </w:lvl>
  </w:abstractNum>
  <w:abstractNum w:abstractNumId="37">
    <w:nsid w:val="4427069A"/>
    <w:multiLevelType w:val="hybridMultilevel"/>
    <w:lvl w:ilvl="0">
      <w:lvlJc w:val="left"/>
      <w:lvlText w:val="●"/>
      <w:numFmt w:val="bullet"/>
      <w:start w:val="1"/>
    </w:lvl>
  </w:abstractNum>
  <w:abstractNum w:abstractNumId="38">
    <w:nsid w:val="B37E80A"/>
    <w:multiLevelType w:val="hybridMultilevel"/>
    <w:lvl w:ilvl="0">
      <w:lvlJc w:val="left"/>
      <w:lvlText w:val="●"/>
      <w:numFmt w:val="bullet"/>
      <w:start w:val="1"/>
    </w:lvl>
  </w:abstractNum>
  <w:abstractNum w:abstractNumId="39">
    <w:nsid w:val="2157F6BC"/>
    <w:multiLevelType w:val="hybridMultilevel"/>
    <w:lvl w:ilvl="0">
      <w:lvlJc w:val="left"/>
      <w:lvlText w:val="●"/>
      <w:numFmt w:val="bullet"/>
      <w:start w:val="1"/>
    </w:lvl>
  </w:abstractNum>
  <w:abstractNum w:abstractNumId="40">
    <w:nsid w:val="704E1DD5"/>
    <w:multiLevelType w:val="hybridMultilevel"/>
    <w:lvl w:ilvl="0">
      <w:lvlJc w:val="left"/>
      <w:lvlText w:val="●"/>
      <w:numFmt w:val="bullet"/>
      <w:start w:val="1"/>
    </w:lvl>
  </w:abstractNum>
  <w:abstractNum w:abstractNumId="41">
    <w:nsid w:val="57D2F10E"/>
    <w:multiLevelType w:val="hybridMultilevel"/>
    <w:lvl w:ilvl="0">
      <w:lvlJc w:val="left"/>
      <w:lvlText w:val="●"/>
      <w:numFmt w:val="bullet"/>
      <w:start w:val="1"/>
    </w:lvl>
  </w:abstractNum>
  <w:abstractNum w:abstractNumId="42">
    <w:nsid w:val="BFFAE18"/>
    <w:multiLevelType w:val="hybridMultilevel"/>
    <w:lvl w:ilvl="0">
      <w:lvlJc w:val="left"/>
      <w:lvlText w:val="●"/>
      <w:numFmt w:val="bullet"/>
      <w:start w:val="1"/>
    </w:lvl>
  </w:abstractNum>
  <w:abstractNum w:abstractNumId="43">
    <w:nsid w:val="E3E47A8"/>
    <w:multiLevelType w:val="hybridMultilevel"/>
    <w:lvl w:ilvl="0">
      <w:lvlJc w:val="left"/>
      <w:lvlText w:val="●"/>
      <w:numFmt w:val="bullet"/>
      <w:start w:val="1"/>
    </w:lvl>
  </w:abstractNum>
  <w:abstractNum w:abstractNumId="44">
    <w:nsid w:val="2E48F044"/>
    <w:multiLevelType w:val="hybridMultilevel"/>
    <w:lvl w:ilvl="0">
      <w:lvlJc w:val="left"/>
      <w:lvlText w:val="●"/>
      <w:numFmt w:val="bullet"/>
      <w:start w:val="1"/>
    </w:lvl>
  </w:abstractNum>
  <w:abstractNum w:abstractNumId="45">
    <w:nsid w:val="49D0FEAC"/>
    <w:multiLevelType w:val="hybridMultilevel"/>
    <w:lvl w:ilvl="0">
      <w:lvlJc w:val="left"/>
      <w:lvlText w:val="●"/>
      <w:numFmt w:val="bullet"/>
      <w:start w:val="1"/>
    </w:lvl>
  </w:abstractNum>
  <w:abstractNum w:abstractNumId="46">
    <w:nsid w:val="4BEE5A5B"/>
    <w:multiLevelType w:val="hybridMultilevel"/>
    <w:lvl w:ilvl="0">
      <w:lvlJc w:val="left"/>
      <w:lvlText w:val="●"/>
      <w:numFmt w:val="bullet"/>
      <w:start w:val="1"/>
    </w:lvl>
  </w:abstractNum>
  <w:abstractNum w:abstractNumId="47">
    <w:nsid w:val="5551B9F3"/>
    <w:multiLevelType w:val="hybridMultilevel"/>
    <w:lvl w:ilvl="0">
      <w:lvlJc w:val="left"/>
      <w:lvlText w:val="(%1)"/>
      <w:numFmt w:val="decimal"/>
      <w:start w:val="1"/>
    </w:lvl>
    <w:lvl w:ilvl="1">
      <w:lvlJc w:val="left"/>
      <w:lvlText w:val="(%2)"/>
      <w:numFmt w:val="lowerRoman"/>
      <w:start w:val="1"/>
    </w:lvl>
  </w:abstractNum>
  <w:abstractNum w:abstractNumId="48">
    <w:nsid w:val="24F6AB8E"/>
    <w:multiLevelType w:val="hybridMultilevel"/>
    <w:lvl w:ilvl="0">
      <w:lvlJc w:val="left"/>
      <w:lvlText w:val="%1"/>
      <w:numFmt w:val="decimal"/>
      <w:start w:val="1"/>
    </w:lvl>
    <w:lvl w:ilvl="1">
      <w:lvlJc w:val="left"/>
      <w:lvlText w:val="(%2)"/>
      <w:numFmt w:val="lowerRoman"/>
      <w:start w:val="3"/>
    </w:lvl>
  </w:abstractNum>
  <w:abstractNum w:abstractNumId="49">
    <w:nsid w:val="634C574C"/>
    <w:multiLevelType w:val="hybridMultilevel"/>
    <w:lvl w:ilvl="0">
      <w:lvlJc w:val="left"/>
      <w:lvlText w:val="(%1)"/>
      <w:numFmt w:val="decimal"/>
      <w:start w:val="2"/>
    </w:lvl>
    <w:lvl w:ilvl="1">
      <w:lvlJc w:val="left"/>
      <w:lvlText w:val="(%2)"/>
      <w:numFmt w:val="lowerRoman"/>
      <w:start w:val="1"/>
    </w:lvl>
  </w:abstractNum>
  <w:abstractNum w:abstractNumId="50">
    <w:nsid w:val="24E99DD7"/>
    <w:multiLevelType w:val="hybridMultilevel"/>
    <w:lvl w:ilvl="0">
      <w:lvlJc w:val="left"/>
      <w:lvlText w:val="(%1)"/>
      <w:numFmt w:val="decimal"/>
      <w:start w:val="6"/>
    </w:lvl>
  </w:abstractNum>
  <w:abstractNum w:abstractNumId="51">
    <w:nsid w:val="2A31B62D"/>
    <w:multiLevelType w:val="hybridMultilevel"/>
    <w:lvl w:ilvl="0">
      <w:lvlJc w:val="left"/>
      <w:lvlText w:val="%1"/>
      <w:numFmt w:val="decimal"/>
      <w:start w:val="107"/>
    </w:lvl>
  </w:abstractNum>
  <w:abstractNum w:abstractNumId="52">
    <w:nsid w:val="1849C29B"/>
    <w:multiLevelType w:val="hybridMultilevel"/>
    <w:lvl w:ilvl="0">
      <w:lvlJc w:val="left"/>
      <w:lvlText w:val="*"/>
      <w:numFmt w:val="bullet"/>
      <w:start w:val="1"/>
    </w:lvl>
  </w:abstractNum>
  <w:abstractNum w:abstractNumId="53">
    <w:nsid w:val="7DFF9D09"/>
    <w:multiLevelType w:val="hybridMultilevel"/>
    <w:lvl w:ilvl="0">
      <w:lvlJc w:val="left"/>
      <w:lvlText w:val="†"/>
      <w:numFmt w:val="bullet"/>
      <w:start w:val="1"/>
    </w:lvl>
  </w:abstractNum>
  <w:abstractNum w:abstractNumId="54">
    <w:nsid w:val="754342"/>
    <w:multiLevelType w:val="hybridMultilevel"/>
    <w:lvl w:ilvl="0">
      <w:lvlJc w:val="left"/>
      <w:lvlText w:val="(%1)"/>
      <w:numFmt w:val="decimal"/>
      <w:start w:val="1"/>
    </w:lvl>
  </w:abstractNum>
  <w:abstractNum w:abstractNumId="55">
    <w:nsid w:val="69E7F3E5"/>
    <w:multiLevelType w:val="hybridMultilevel"/>
    <w:lvl w:ilvl="0">
      <w:lvlJc w:val="left"/>
      <w:lvlText w:val="(%1)"/>
      <w:numFmt w:val="decimal"/>
      <w:start w:val="5"/>
    </w:lvl>
  </w:abstractNum>
  <w:abstractNum w:abstractNumId="56">
    <w:nsid w:val="2A6DE806"/>
    <w:multiLevelType w:val="hybridMultilevel"/>
    <w:lvl w:ilvl="0">
      <w:lvlJc w:val="left"/>
      <w:lvlText w:val="(%1)"/>
      <w:numFmt w:val="upperLetter"/>
      <w:start w:val="2"/>
    </w:lvl>
  </w:abstractNum>
  <w:abstractNum w:abstractNumId="57">
    <w:nsid w:val="1816F8C4"/>
    <w:multiLevelType w:val="hybridMultilevel"/>
    <w:lvl w:ilvl="0">
      <w:lvlJc w:val="left"/>
      <w:lvlText w:val="(%1)"/>
      <w:numFmt w:val="lowerRoman"/>
      <w:start w:val="1"/>
    </w:lvl>
  </w:abstractNum>
  <w:abstractNum w:abstractNumId="58">
    <w:nsid w:val="37DF2233"/>
    <w:multiLevelType w:val="hybridMultilevel"/>
    <w:lvl w:ilvl="0">
      <w:lvlJc w:val="left"/>
      <w:lvlText w:val="(%1)"/>
      <w:numFmt w:val="lowerRoman"/>
      <w:start w:val="1"/>
    </w:lvl>
  </w:abstractNum>
  <w:abstractNum w:abstractNumId="59">
    <w:nsid w:val="7AB49DAF"/>
    <w:multiLevelType w:val="hybridMultilevel"/>
    <w:lvl w:ilvl="0">
      <w:lvlJc w:val="left"/>
      <w:lvlText w:val="(%1)"/>
      <w:numFmt w:val="decimal"/>
      <w:start w:val="1"/>
    </w:lvl>
  </w:abstractNum>
  <w:abstractNum w:abstractNumId="60">
    <w:nsid w:val="759F82CD"/>
    <w:multiLevelType w:val="hybridMultilevel"/>
    <w:lvl w:ilvl="0">
      <w:lvlJc w:val="left"/>
      <w:lvlText w:val="(%1)"/>
      <w:numFmt w:val="lowerLetter"/>
      <w:start w:val="1"/>
    </w:lvl>
  </w:abstractNum>
  <w:abstractNum w:abstractNumId="61">
    <w:nsid w:val="61E74EA3"/>
    <w:multiLevelType w:val="hybridMultilevel"/>
    <w:lvl w:ilvl="0">
      <w:lvlJc w:val="left"/>
      <w:lvlText w:val="(%1)"/>
      <w:numFmt w:val="lowerLetter"/>
      <w:start w:val="5"/>
    </w:lvl>
  </w:abstractNum>
  <w:abstractNum w:abstractNumId="62">
    <w:nsid w:val="597B4D84"/>
    <w:multiLevelType w:val="hybridMultilevel"/>
    <w:lvl w:ilvl="0">
      <w:lvlJc w:val="left"/>
      <w:lvlText w:val="(%1)"/>
      <w:numFmt w:val="decimal"/>
      <w:start w:val="2"/>
    </w:lvl>
  </w:abstractNum>
  <w:abstractNum w:abstractNumId="63">
    <w:nsid w:val="F819E7F"/>
    <w:multiLevelType w:val="hybridMultilevel"/>
    <w:lvl w:ilvl="0">
      <w:lvlJc w:val="left"/>
      <w:lvlText w:val="(%1)"/>
      <w:numFmt w:val="decimal"/>
      <w:start w:val="3"/>
    </w:lvl>
  </w:abstractNum>
  <w:abstractNum w:abstractNumId="64">
    <w:nsid w:val="57C7D42D"/>
    <w:multiLevelType w:val="hybridMultilevel"/>
    <w:lvl w:ilvl="0">
      <w:lvlJc w:val="left"/>
      <w:lvlText w:val="(%1)"/>
      <w:numFmt w:val="decimal"/>
      <w:start w:val="1"/>
    </w:lvl>
  </w:abstractNum>
  <w:abstractNum w:abstractNumId="65">
    <w:nsid w:val="312167AD"/>
    <w:multiLevelType w:val="hybridMultilevel"/>
    <w:lvl w:ilvl="0">
      <w:lvlJc w:val="left"/>
      <w:lvlText w:val="(%1)"/>
      <w:numFmt w:val="decimal"/>
      <w:start w:val="4"/>
    </w:lvl>
  </w:abstractNum>
  <w:abstractNum w:abstractNumId="66">
    <w:nsid w:val="631B64D4"/>
    <w:multiLevelType w:val="hybridMultilevel"/>
    <w:lvl w:ilvl="0">
      <w:lvlJc w:val="left"/>
      <w:lvlText w:val="(%1)"/>
      <w:numFmt w:val="decimal"/>
      <w:start w:val="13"/>
    </w:lvl>
  </w:abstractNum>
  <w:abstractNum w:abstractNumId="67">
    <w:nsid w:val="78B5E776"/>
    <w:multiLevelType w:val="hybridMultilevel"/>
    <w:lvl w:ilvl="0">
      <w:lvlJc w:val="left"/>
      <w:lvlText w:val="(%1)"/>
      <w:numFmt w:val="decimal"/>
      <w:start w:val="19"/>
    </w:lvl>
  </w:abstractNum>
  <w:abstractNum w:abstractNumId="68">
    <w:nsid w:val="75486E47"/>
    <w:multiLevelType w:val="hybridMultilevel"/>
    <w:lvl w:ilvl="0">
      <w:lvlJc w:val="left"/>
      <w:lvlText w:val="(%1)"/>
      <w:numFmt w:val="lowerLetter"/>
      <w:start w:val="9"/>
    </w:lvl>
    <w:lvl w:ilvl="1">
      <w:lvlJc w:val="left"/>
      <w:lvlText w:val="(%2)"/>
      <w:numFmt w:val="lowerLetter"/>
      <w:start w:val="1"/>
    </w:lvl>
  </w:abstractNum>
  <w:abstractNum w:abstractNumId="69">
    <w:nsid w:val="6E534CDE"/>
    <w:multiLevelType w:val="hybridMultilevel"/>
    <w:lvl w:ilvl="0">
      <w:lvlJc w:val="left"/>
      <w:lvlText w:val="(%1)"/>
      <w:numFmt w:val="lowerRoman"/>
      <w:start w:val="2"/>
    </w:lvl>
  </w:abstractNum>
  <w:abstractNum w:abstractNumId="70">
    <w:nsid w:val="1A0DDE32"/>
    <w:multiLevelType w:val="hybridMultilevel"/>
    <w:lvl w:ilvl="0">
      <w:lvlJc w:val="left"/>
      <w:lvlText w:val="(%1)"/>
      <w:numFmt w:val="lowerLetter"/>
      <w:start w:val="1"/>
    </w:lvl>
  </w:abstractNum>
  <w:abstractNum w:abstractNumId="71">
    <w:nsid w:val="65968C1C"/>
    <w:multiLevelType w:val="hybridMultilevel"/>
    <w:lvl w:ilvl="0">
      <w:lvlJc w:val="left"/>
      <w:lvlText w:val="(%1)"/>
      <w:numFmt w:val="lowerLetter"/>
      <w:start w:val="2"/>
    </w:lvl>
  </w:abstractNum>
  <w:abstractNum w:abstractNumId="72">
    <w:nsid w:val="46263DEC"/>
    <w:multiLevelType w:val="hybridMultilevel"/>
    <w:lvl w:ilvl="0">
      <w:lvlJc w:val="left"/>
      <w:lvlText w:val="(%1)"/>
      <w:numFmt w:val="lowerRoman"/>
      <w:start w:val="2"/>
    </w:lvl>
  </w:abstractNum>
  <w:abstractNum w:abstractNumId="73">
    <w:nsid w:val="260D8C4A"/>
    <w:multiLevelType w:val="hybridMultilevel"/>
    <w:lvl w:ilvl="0">
      <w:lvlJc w:val="left"/>
      <w:lvlText w:val="(%1)"/>
      <w:numFmt w:val="decimal"/>
      <w:start w:val="1"/>
    </w:lvl>
  </w:abstractNum>
  <w:abstractNum w:abstractNumId="74">
    <w:nsid w:val="73D4D3C4"/>
    <w:multiLevelType w:val="hybridMultilevel"/>
    <w:lvl w:ilvl="0">
      <w:lvlJc w:val="left"/>
      <w:lvlText w:val="(%1)"/>
      <w:numFmt w:val="decimal"/>
      <w:start w:val="2"/>
    </w:lvl>
  </w:abstractNum>
  <w:abstractNum w:abstractNumId="75">
    <w:nsid w:val="746F2E30"/>
    <w:multiLevelType w:val="hybridMultilevel"/>
    <w:lvl w:ilvl="0">
      <w:lvlJc w:val="left"/>
      <w:lvlText w:val="(%1)"/>
      <w:numFmt w:val="decimal"/>
      <w:start w:val="1"/>
    </w:lvl>
    <w:lvl w:ilvl="1">
      <w:lvlJc w:val="left"/>
      <w:lvlText w:val="(%2)"/>
      <w:numFmt w:val="upperLetter"/>
      <w:start w:val="1"/>
    </w:lvl>
  </w:abstractNum>
  <w:abstractNum w:abstractNumId="76">
    <w:nsid w:val="6FDE8AF6"/>
    <w:multiLevelType w:val="hybridMultilevel"/>
    <w:lvl w:ilvl="0">
      <w:lvlJc w:val="left"/>
      <w:lvlText w:val="(%1)"/>
      <w:numFmt w:val="lowerRoman"/>
      <w:start w:val="1"/>
    </w:lvl>
  </w:abstractNum>
  <w:abstractNum w:abstractNumId="77">
    <w:nsid w:val="3FC32E20"/>
    <w:multiLevelType w:val="hybridMultilevel"/>
    <w:lvl w:ilvl="0">
      <w:lvlJc w:val="left"/>
      <w:lvlText w:val="(%1)"/>
      <w:numFmt w:val="decimal"/>
      <w:start w:val="2"/>
    </w:lvl>
  </w:abstractNum>
  <w:abstractNum w:abstractNumId="78">
    <w:nsid w:val="49C0E823"/>
    <w:multiLevelType w:val="hybridMultilevel"/>
    <w:lvl w:ilvl="0">
      <w:lvlJc w:val="left"/>
      <w:lvlText w:val="(%1)"/>
      <w:numFmt w:val="decimal"/>
      <w:start w:val="1"/>
    </w:lvl>
  </w:abstractNum>
  <w:abstractNum w:abstractNumId="79">
    <w:nsid w:val="14D53685"/>
    <w:multiLevelType w:val="hybridMultilevel"/>
    <w:lvl w:ilvl="0">
      <w:lvlJc w:val="left"/>
      <w:lvlText w:val="(%1)"/>
      <w:numFmt w:val="decimal"/>
      <w:start w:val="3"/>
    </w:lvl>
    <w:lvl w:ilvl="1">
      <w:lvlJc w:val="left"/>
      <w:lvlText w:val="(%2)"/>
      <w:numFmt w:val="upperLetter"/>
      <w:start w:val="1"/>
    </w:lvl>
  </w:abstractNum>
  <w:abstractNum w:abstractNumId="80">
    <w:nsid w:val="230F856C"/>
    <w:multiLevelType w:val="hybridMultilevel"/>
    <w:lvl w:ilvl="0">
      <w:lvlJc w:val="left"/>
      <w:lvlText w:val="%1"/>
      <w:numFmt w:val="decimal"/>
      <w:start w:val="1"/>
    </w:lvl>
    <w:lvl w:ilvl="1">
      <w:lvlJc w:val="left"/>
      <w:lvlText w:val="(%2)"/>
      <w:numFmt w:val="upperLetter"/>
      <w:start w:val="4"/>
    </w:lvl>
  </w:abstractNum>
  <w:abstractNum w:abstractNumId="81">
    <w:nsid w:val="6EAA85FB"/>
    <w:multiLevelType w:val="hybridMultilevel"/>
    <w:lvl w:ilvl="0">
      <w:lvlJc w:val="left"/>
      <w:lvlText w:val="(%1)"/>
      <w:numFmt w:val="decimal"/>
      <w:start w:val="7"/>
    </w:lvl>
    <w:lvl w:ilvl="1">
      <w:lvlJc w:val="left"/>
      <w:lvlText w:val="(%2)"/>
      <w:numFmt w:val="upperLetter"/>
      <w:start w:val="1"/>
    </w:lvl>
  </w:abstractNum>
  <w:abstractNum w:abstractNumId="82">
    <w:nsid w:val="3F06ECB2"/>
    <w:multiLevelType w:val="hybridMultilevel"/>
    <w:lvl w:ilvl="0">
      <w:lvlJc w:val="left"/>
      <w:lvlText w:val="(%1)"/>
      <w:numFmt w:val="decimal"/>
      <w:start w:val="1"/>
    </w:lvl>
    <w:lvl w:ilvl="1">
      <w:lvlJc w:val="left"/>
      <w:lvlText w:val="(%2)"/>
      <w:numFmt w:val="upperLetter"/>
      <w:start w:val="1"/>
    </w:lvl>
  </w:abstractNum>
  <w:abstractNum w:abstractNumId="83">
    <w:nsid w:val="3B594807"/>
    <w:multiLevelType w:val="hybridMultilevel"/>
    <w:lvl w:ilvl="0">
      <w:lvlJc w:val="left"/>
      <w:lvlText w:val="%1"/>
      <w:numFmt w:val="decimal"/>
      <w:start w:val="1"/>
    </w:lvl>
    <w:lvl w:ilvl="1">
      <w:lvlJc w:val="left"/>
      <w:lvlText w:val="(%2)"/>
      <w:numFmt w:val="upperLetter"/>
      <w:start w:val="3"/>
    </w:lvl>
  </w:abstractNum>
  <w:abstractNum w:abstractNumId="84">
    <w:nsid w:val="6CAA2304"/>
    <w:multiLevelType w:val="hybridMultilevel"/>
    <w:lvl w:ilvl="0">
      <w:lvlJc w:val="left"/>
      <w:lvlText w:val="(%1)"/>
      <w:numFmt w:val="decimal"/>
      <w:start w:val="2"/>
    </w:lvl>
    <w:lvl w:ilvl="1">
      <w:lvlJc w:val="left"/>
      <w:lvlText w:val="%2"/>
      <w:numFmt w:val="upperLetter"/>
      <w:start w:val="1"/>
    </w:lvl>
  </w:abstractNum>
  <w:abstractNum w:abstractNumId="85">
    <w:nsid w:val="3F7C2FF4"/>
    <w:multiLevelType w:val="hybridMultilevel"/>
    <w:lvl w:ilvl="0">
      <w:lvlJc w:val="left"/>
      <w:lvlText w:val="(%1)"/>
      <w:numFmt w:val="decimal"/>
      <w:start w:val="1"/>
    </w:lvl>
  </w:abstractNum>
  <w:abstractNum w:abstractNumId="86">
    <w:nsid w:val="25413BEC"/>
    <w:multiLevelType w:val="hybridMultilevel"/>
    <w:lvl w:ilvl="0">
      <w:lvlJc w:val="left"/>
      <w:lvlText w:val="(%1)"/>
      <w:numFmt w:val="lowerRoman"/>
      <w:start w:val="1"/>
    </w:lvl>
  </w:abstractNum>
  <w:abstractNum w:abstractNumId="87">
    <w:nsid w:val="17180B0B"/>
    <w:multiLevelType w:val="hybridMultilevel"/>
    <w:lvl w:ilvl="0">
      <w:lvlJc w:val="left"/>
      <w:lvlText w:val="(%1)"/>
      <w:numFmt w:val="decimal"/>
      <w:start w:val="2"/>
    </w:lvl>
  </w:abstractNum>
  <w:abstractNum w:abstractNumId="88">
    <w:nsid w:val="579328B9"/>
    <w:multiLevelType w:val="hybridMultilevel"/>
    <w:lvl w:ilvl="0">
      <w:lvlJc w:val="left"/>
      <w:lvlText w:val="(%1)"/>
      <w:numFmt w:val="decimal"/>
      <w:start w:val="4"/>
    </w:lvl>
  </w:abstractNum>
  <w:abstractNum w:abstractNumId="89">
    <w:nsid w:val="5D205E20"/>
    <w:multiLevelType w:val="hybridMultilevel"/>
    <w:lvl w:ilvl="0">
      <w:lvlJc w:val="left"/>
      <w:lvlText w:val="(%1)"/>
      <w:numFmt w:val="decimal"/>
      <w:start w:val="1"/>
    </w:lvl>
  </w:abstractNum>
  <w:abstractNum w:abstractNumId="90">
    <w:nsid w:val="11CCA8BA"/>
    <w:multiLevelType w:val="hybridMultilevel"/>
    <w:lvl w:ilvl="0">
      <w:lvlJc w:val="left"/>
      <w:lvlText w:val="(%1)"/>
      <w:numFmt w:val="decimal"/>
      <w:start w:val="1"/>
    </w:lvl>
  </w:abstractNum>
  <w:abstractNum w:abstractNumId="91">
    <w:nsid w:val="4D32AB86"/>
    <w:multiLevelType w:val="hybridMultilevel"/>
    <w:lvl w:ilvl="0">
      <w:lvlJc w:val="left"/>
      <w:lvlText w:val="(%1)"/>
      <w:numFmt w:val="decimal"/>
      <w:start w:val="1"/>
    </w:lvl>
  </w:abstractNum>
  <w:abstractNum w:abstractNumId="92">
    <w:nsid w:val="3F07ACC3"/>
    <w:multiLevelType w:val="hybridMultilevel"/>
    <w:lvl w:ilvl="0">
      <w:lvlJc w:val="left"/>
      <w:lvlText w:val="%1"/>
      <w:numFmt w:val="decimal"/>
      <w:start w:val="1"/>
    </w:lvl>
    <w:lvl w:ilvl="1">
      <w:lvlJc w:val="left"/>
      <w:lvlText w:val="(%2)"/>
      <w:numFmt w:val="decimal"/>
      <w:start w:val="7"/>
    </w:lvl>
  </w:abstractNum>
  <w:abstractNum w:abstractNumId="93">
    <w:nsid w:val="6B47F63E"/>
    <w:multiLevelType w:val="hybridMultilevel"/>
    <w:lvl w:ilvl="0">
      <w:lvlJc w:val="left"/>
      <w:lvlText w:val="(%1)"/>
      <w:numFmt w:val="decimal"/>
      <w:start w:val="2"/>
    </w:lvl>
    <w:lvl w:ilvl="1">
      <w:lvlJc w:val="left"/>
      <w:lvlText w:val="(%2)"/>
      <w:numFmt w:val="decimal"/>
      <w:start w:val="11"/>
    </w:lvl>
  </w:abstractNum>
  <w:abstractNum w:abstractNumId="94">
    <w:nsid w:val="5CB44A05"/>
    <w:multiLevelType w:val="hybridMultilevel"/>
    <w:lvl w:ilvl="0">
      <w:lvlJc w:val="left"/>
      <w:lvlText w:val="(%1)"/>
      <w:numFmt w:val="decimal"/>
      <w:start w:val="1"/>
    </w:lvl>
  </w:abstractNum>
  <w:abstractNum w:abstractNumId="95">
    <w:nsid w:val="16CF80F1"/>
    <w:multiLevelType w:val="hybridMultilevel"/>
    <w:lvl w:ilvl="0">
      <w:lvlJc w:val="left"/>
      <w:lvlText w:val="(%1)"/>
      <w:numFmt w:val="lowerLetter"/>
      <w:start w:val="1"/>
    </w:lvl>
  </w:abstractNum>
  <w:abstractNum w:abstractNumId="96">
    <w:nsid w:val="1C695DEC"/>
    <w:multiLevelType w:val="hybridMultilevel"/>
    <w:lvl w:ilvl="0">
      <w:lvlJc w:val="left"/>
      <w:lvlText w:val="(%1)"/>
      <w:numFmt w:val="decimal"/>
      <w:start w:val="1"/>
    </w:lvl>
  </w:abstractNum>
  <w:abstractNum w:abstractNumId="97">
    <w:nsid w:val="3FCFAED9"/>
    <w:multiLevelType w:val="hybridMultilevel"/>
    <w:lvl w:ilvl="0">
      <w:lvlJc w:val="left"/>
      <w:lvlText w:val="(%1)"/>
      <w:numFmt w:val="lowerLetter"/>
      <w:start w:val="5"/>
    </w:lvl>
  </w:abstractNum>
  <w:abstractNum w:abstractNumId="98">
    <w:nsid w:val="F856867"/>
    <w:multiLevelType w:val="hybridMultilevel"/>
    <w:lvl w:ilvl="0">
      <w:lvlJc w:val="left"/>
      <w:lvlText w:val="(%1)"/>
      <w:numFmt w:val="lowerLetter"/>
      <w:start w:val="1"/>
    </w:lvl>
  </w:abstractNum>
  <w:abstractNum w:abstractNumId="99">
    <w:nsid w:val="11B1CC33"/>
    <w:multiLevelType w:val="hybridMultilevel"/>
    <w:lvl w:ilvl="0">
      <w:lvlJc w:val="left"/>
      <w:lvlText w:val="(%1)"/>
      <w:numFmt w:val="decimal"/>
      <w:start w:val="1"/>
    </w:lvl>
  </w:abstractNum>
  <w:abstractNum w:abstractNumId="100">
    <w:nsid w:val="2E22FBB7"/>
    <w:multiLevelType w:val="hybridMultilevel"/>
    <w:lvl w:ilvl="0">
      <w:lvlJc w:val="left"/>
      <w:lvlText w:val="(%1)"/>
      <w:numFmt w:val="lowerLetter"/>
      <w:start w:val="2"/>
    </w:lvl>
  </w:abstractNum>
  <w:abstractNum w:abstractNumId="101">
    <w:nsid w:val="29934699"/>
    <w:multiLevelType w:val="hybridMultilevel"/>
    <w:lvl w:ilvl="0">
      <w:lvlJc w:val="left"/>
      <w:lvlText w:val="(%1)"/>
      <w:numFmt w:val="decimal"/>
      <w:start w:val="1"/>
    </w:lvl>
  </w:abstractNum>
  <w:abstractNum w:abstractNumId="102">
    <w:nsid w:val="77485850"/>
    <w:multiLevelType w:val="hybridMultilevel"/>
    <w:lvl w:ilvl="0">
      <w:lvlJc w:val="left"/>
      <w:lvlText w:val="(%1)"/>
      <w:numFmt w:val="lowerLetter"/>
      <w:start w:val="4"/>
    </w:lvl>
  </w:abstractNum>
  <w:abstractNum w:abstractNumId="103">
    <w:nsid w:val="744939A3"/>
    <w:multiLevelType w:val="hybridMultilevel"/>
    <w:lvl w:ilvl="0">
      <w:lvlJc w:val="left"/>
      <w:lvlText w:val="(%1)"/>
      <w:numFmt w:val="decimal"/>
      <w:start w:val="1"/>
    </w:lvl>
  </w:abstractNum>
  <w:abstractNum w:abstractNumId="104">
    <w:nsid w:val="4FA0D2E3"/>
    <w:multiLevelType w:val="hybridMultilevel"/>
    <w:lvl w:ilvl="0">
      <w:lvlJc w:val="left"/>
      <w:lvlText w:val="(%1)"/>
      <w:numFmt w:val="decimal"/>
      <w:start w:val="3"/>
    </w:lvl>
  </w:abstractNum>
  <w:abstractNum w:abstractNumId="105">
    <w:nsid w:val="6B1D2C14"/>
    <w:multiLevelType w:val="hybridMultilevel"/>
    <w:lvl w:ilvl="0">
      <w:lvlJc w:val="left"/>
      <w:lvlText w:val="(%1)"/>
      <w:numFmt w:val="lowerLetter"/>
      <w:start w:val="1"/>
    </w:lvl>
  </w:abstractNum>
  <w:abstractNum w:abstractNumId="106">
    <w:nsid w:val="68B867D3"/>
    <w:multiLevelType w:val="hybridMultilevel"/>
    <w:lvl w:ilvl="0">
      <w:lvlJc w:val="left"/>
      <w:lvlText w:val="(%1)"/>
      <w:numFmt w:val="decimal"/>
      <w:start w:val="1"/>
    </w:lvl>
  </w:abstractNum>
  <w:abstractNum w:abstractNumId="107">
    <w:nsid w:val="3F7F5DD9"/>
    <w:multiLevelType w:val="hybridMultilevel"/>
    <w:lvl w:ilvl="0">
      <w:lvlJc w:val="left"/>
      <w:lvlText w:val="(%1)"/>
      <w:numFmt w:val="decimal"/>
      <w:start w:val="2"/>
    </w:lvl>
  </w:abstractNum>
  <w:abstractNum w:abstractNumId="108">
    <w:nsid w:val="2AE05A34"/>
    <w:multiLevelType w:val="hybridMultilevel"/>
    <w:lvl w:ilvl="0">
      <w:lvlJc w:val="left"/>
      <w:lvlText w:val="(%1)"/>
      <w:numFmt w:val="decimal"/>
      <w:start w:val="9"/>
    </w:lvl>
  </w:abstractNum>
  <w:abstractNum w:abstractNumId="109">
    <w:nsid w:val="32794FF7"/>
    <w:multiLevelType w:val="hybridMultilevel"/>
    <w:lvl w:ilvl="0">
      <w:lvlJc w:val="left"/>
      <w:lvlText w:val="(%1)"/>
      <w:numFmt w:val="decimal"/>
      <w:start w:val="1"/>
    </w:lvl>
  </w:abstractNum>
  <w:abstractNum w:abstractNumId="110">
    <w:nsid w:val="5454945E"/>
    <w:multiLevelType w:val="hybridMultilevel"/>
    <w:lvl w:ilvl="0">
      <w:lvlJc w:val="left"/>
      <w:lvlText w:val="(%1)"/>
      <w:numFmt w:val="decimal"/>
      <w:start w:val="3"/>
    </w:lvl>
  </w:abstractNum>
  <w:abstractNum w:abstractNumId="111">
    <w:nsid w:val="4DEFDFA0"/>
    <w:multiLevelType w:val="hybridMultilevel"/>
    <w:lvl w:ilvl="0">
      <w:lvlJc w:val="left"/>
      <w:lvlText w:val="(%1)"/>
      <w:numFmt w:val="upperLetter"/>
      <w:start w:val="3"/>
    </w:lvl>
  </w:abstractNum>
  <w:abstractNum w:abstractNumId="112">
    <w:nsid w:val="2123D5F2"/>
    <w:multiLevelType w:val="hybridMultilevel"/>
    <w:lvl w:ilvl="0">
      <w:lvlJc w:val="left"/>
      <w:lvlText w:val="(%1)"/>
      <w:numFmt w:val="decimal"/>
      <w:start w:val="1"/>
    </w:lvl>
  </w:abstractNum>
  <w:abstractNum w:abstractNumId="113">
    <w:nsid w:val="135B8110"/>
    <w:multiLevelType w:val="hybridMultilevel"/>
    <w:lvl w:ilvl="0">
      <w:lvlJc w:val="left"/>
      <w:lvlText w:val="(%1)"/>
      <w:numFmt w:val="decimal"/>
      <w:start w:val="1"/>
    </w:lvl>
  </w:abstractNum>
  <w:abstractNum w:abstractNumId="114">
    <w:nsid w:val="94927A8"/>
    <w:multiLevelType w:val="hybridMultilevel"/>
    <w:lvl w:ilvl="0">
      <w:lvlJc w:val="left"/>
      <w:lvlText w:val="(%1)"/>
      <w:numFmt w:val="decimal"/>
      <w:start w:val="6"/>
    </w:lvl>
  </w:abstractNum>
  <w:abstractNum w:abstractNumId="115">
    <w:nsid w:val="DCDF8F6"/>
    <w:multiLevelType w:val="hybridMultilevel"/>
    <w:lvl w:ilvl="0">
      <w:lvlJc w:val="left"/>
      <w:lvlText w:val="(%1)"/>
      <w:numFmt w:val="lowerLetter"/>
      <w:start w:val="1"/>
    </w:lvl>
  </w:abstractNum>
  <w:abstractNum w:abstractNumId="116">
    <w:nsid w:val="52D7B105"/>
    <w:multiLevelType w:val="hybridMultilevel"/>
    <w:lvl w:ilvl="0">
      <w:lvlJc w:val="left"/>
      <w:lvlText w:val="(%1)"/>
      <w:numFmt w:val="lowerLetter"/>
      <w:start w:val="2"/>
    </w:lvl>
  </w:abstractNum>
  <w:abstractNum w:abstractNumId="117">
    <w:nsid w:val="2E8A6394"/>
    <w:multiLevelType w:val="hybridMultilevel"/>
    <w:lvl w:ilvl="0">
      <w:lvlJc w:val="left"/>
      <w:lvlText w:val="(%1)"/>
      <w:numFmt w:val="lowerLetter"/>
      <w:start w:val="6"/>
    </w:lvl>
  </w:abstractNum>
  <w:abstractNum w:abstractNumId="118">
    <w:nsid w:val="24E60401"/>
    <w:multiLevelType w:val="hybridMultilevel"/>
    <w:lvl w:ilvl="0">
      <w:lvlJc w:val="left"/>
      <w:lvlText w:val="(%1)"/>
      <w:numFmt w:val="lowerLetter"/>
      <w:start w:val="1"/>
    </w:lvl>
  </w:abstractNum>
  <w:abstractNum w:abstractNumId="119">
    <w:nsid w:val="2A6AD9BE"/>
    <w:multiLevelType w:val="hybridMultilevel"/>
    <w:lvl w:ilvl="0">
      <w:lvlJc w:val="left"/>
      <w:lvlText w:val="(%1)"/>
      <w:numFmt w:val="lowerLetter"/>
      <w:start w:val="1"/>
    </w:lvl>
  </w:abstractNum>
  <w:abstractNum w:abstractNumId="120">
    <w:nsid w:val="BAAC1B4"/>
    <w:multiLevelType w:val="hybridMultilevel"/>
    <w:lvl w:ilvl="0">
      <w:lvlJc w:val="left"/>
      <w:lvlText w:val="(%1)"/>
      <w:numFmt w:val="lowerRoman"/>
      <w:start w:val="1"/>
    </w:lvl>
  </w:abstractNum>
  <w:abstractNum w:abstractNumId="121">
    <w:nsid w:val="36B2ACBC"/>
    <w:multiLevelType w:val="hybridMultilevel"/>
    <w:lvl w:ilvl="0">
      <w:lvlJc w:val="left"/>
      <w:lvlText w:val="(%1)"/>
      <w:numFmt w:val="lowerLetter"/>
      <w:start w:val="1"/>
    </w:lvl>
  </w:abstractNum>
  <w:abstractNum w:abstractNumId="122">
    <w:nsid w:val="779D8544"/>
    <w:multiLevelType w:val="hybridMultilevel"/>
    <w:lvl w:ilvl="0">
      <w:lvlJc w:val="left"/>
      <w:lvlText w:val="(%1)"/>
      <w:numFmt w:val="lowerLetter"/>
      <w:start w:val="4"/>
    </w:lvl>
  </w:abstractNum>
  <w:abstractNum w:abstractNumId="123">
    <w:nsid w:val="4AB26E78"/>
    <w:multiLevelType w:val="hybridMultilevel"/>
    <w:lvl w:ilvl="0">
      <w:lvlJc w:val="left"/>
      <w:lvlText w:val="(%1)"/>
      <w:numFmt w:val="decimal"/>
      <w:start w:val="1"/>
    </w:lvl>
  </w:abstractNum>
  <w:abstractNum w:abstractNumId="124">
    <w:nsid w:val="21FAA2FA"/>
    <w:multiLevelType w:val="hybridMultilevel"/>
    <w:lvl w:ilvl="0">
      <w:lvlJc w:val="left"/>
      <w:lvlText w:val="(%1)"/>
      <w:numFmt w:val="decimal"/>
      <w:start w:val="2"/>
    </w:lvl>
  </w:abstractNum>
  <w:abstractNum w:abstractNumId="125">
    <w:nsid w:val="5451CF49"/>
    <w:multiLevelType w:val="hybridMultilevel"/>
    <w:lvl w:ilvl="0">
      <w:lvlJc w:val="left"/>
      <w:lvlText w:val="(%1)"/>
      <w:numFmt w:val="decimal"/>
      <w:start w:val="4"/>
    </w:lvl>
  </w:abstractNum>
  <w:abstractNum w:abstractNumId="126">
    <w:nsid w:val="6181EF69"/>
    <w:multiLevelType w:val="hybridMultilevel"/>
    <w:lvl w:ilvl="0">
      <w:lvlJc w:val="left"/>
      <w:lvlText w:val="%1"/>
      <w:numFmt w:val="decimal"/>
      <w:start w:val="1"/>
    </w:lvl>
    <w:lvl w:ilvl="1">
      <w:lvlJc w:val="left"/>
      <w:lvlText w:val="(%2)"/>
      <w:numFmt w:val="decimal"/>
      <w:start w:val="7"/>
    </w:lvl>
  </w:abstractNum>
  <w:abstractNum w:abstractNumId="127">
    <w:nsid w:val="3E6400E6"/>
    <w:multiLevelType w:val="hybridMultilevel"/>
    <w:lvl w:ilvl="0">
      <w:lvlJc w:val="left"/>
      <w:lvlText w:val="(%1)"/>
      <w:numFmt w:val="decimal"/>
      <w:start w:val="4"/>
    </w:lvl>
    <w:lvl w:ilvl="1">
      <w:lvlJc w:val="left"/>
      <w:lvlText w:val="%2"/>
      <w:numFmt w:val="decimal"/>
      <w:start w:val="1"/>
    </w:lvl>
  </w:abstractNum>
  <w:abstractNum w:abstractNumId="128">
    <w:nsid w:val="14217E23"/>
    <w:multiLevelType w:val="hybridMultilevel"/>
    <w:lvl w:ilvl="0">
      <w:lvlJc w:val="left"/>
      <w:lvlText w:val="(%1)"/>
      <w:numFmt w:val="decimal"/>
      <w:start w:val="1"/>
    </w:lvl>
  </w:abstractNum>
  <w:abstractNum w:abstractNumId="129">
    <w:nsid w:val="710757D0"/>
    <w:multiLevelType w:val="hybridMultilevel"/>
    <w:lvl w:ilvl="0">
      <w:lvlJc w:val="left"/>
      <w:lvlText w:val="(%1)"/>
      <w:numFmt w:val="decimal"/>
      <w:start w:val="1"/>
    </w:lvl>
  </w:abstractNum>
  <w:abstractNum w:abstractNumId="130">
    <w:nsid w:val="5015CD1A"/>
    <w:multiLevelType w:val="hybridMultilevel"/>
    <w:lvl w:ilvl="0">
      <w:lvlJc w:val="left"/>
      <w:lvlText w:val="(%1)"/>
      <w:numFmt w:val="decimal"/>
      <w:start w:val="1"/>
    </w:lvl>
  </w:abstractNum>
  <w:abstractNum w:abstractNumId="131">
    <w:nsid w:val="424479DA"/>
    <w:multiLevelType w:val="hybridMultilevel"/>
    <w:lvl w:ilvl="0">
      <w:lvlJc w:val="left"/>
      <w:lvlText w:val="(%1)"/>
      <w:numFmt w:val="decimal"/>
      <w:start w:val="1"/>
    </w:lvl>
  </w:abstractNum>
  <w:abstractNum w:abstractNumId="132">
    <w:nsid w:val="1A9A9E69"/>
    <w:multiLevelType w:val="hybridMultilevel"/>
    <w:lvl w:ilvl="0">
      <w:lvlJc w:val="left"/>
      <w:lvlText w:val=","/>
      <w:numFmt w:val="bullet"/>
      <w:start w:val="1"/>
    </w:lvl>
  </w:abstractNum>
  <w:abstractNum w:abstractNumId="133">
    <w:nsid w:val="475E256A"/>
    <w:multiLevelType w:val="hybridMultilevel"/>
    <w:lvl w:ilvl="0">
      <w:lvlJc w:val="left"/>
      <w:lvlText w:val="(%1)"/>
      <w:numFmt w:val="lowerLetter"/>
      <w:start w:val="1"/>
    </w:lvl>
  </w:abstractNum>
  <w:abstractNum w:abstractNumId="134">
    <w:nsid w:val="368DB37E"/>
    <w:multiLevelType w:val="hybridMultilevel"/>
    <w:lvl w:ilvl="0">
      <w:lvlJc w:val="left"/>
      <w:lvlText w:val="(%1)"/>
      <w:numFmt w:val="lowerLetter"/>
      <w:start w:val="22"/>
    </w:lvl>
  </w:abstractNum>
  <w:abstractNum w:abstractNumId="135">
    <w:nsid w:val="6A3B714C"/>
    <w:multiLevelType w:val="hybridMultilevel"/>
    <w:lvl w:ilvl="0">
      <w:lvlJc w:val="left"/>
      <w:lvlText w:val="(%1)"/>
      <w:numFmt w:val="lowerLetter"/>
      <w:start w:val="1"/>
    </w:lvl>
  </w:abstractNum>
  <w:abstractNum w:abstractNumId="136">
    <w:nsid w:val="327B517E"/>
    <w:multiLevelType w:val="hybridMultilevel"/>
    <w:lvl w:ilvl="0">
      <w:lvlJc w:val="left"/>
      <w:lvlText w:val="["/>
      <w:numFmt w:val="bullet"/>
      <w:start w:val="1"/>
    </w:lvl>
  </w:abstractNum>
  <w:abstractNum w:abstractNumId="137">
    <w:nsid w:val="1F461B51"/>
    <w:multiLevelType w:val="hybridMultilevel"/>
    <w:lvl w:ilvl="0">
      <w:lvlJc w:val="left"/>
      <w:lvlText w:val="(%1)"/>
      <w:numFmt w:val="decimal"/>
      <w:start w:val="1"/>
    </w:lvl>
  </w:abstractNum>
  <w:abstractNum w:abstractNumId="138">
    <w:nsid w:val="29BACF25"/>
    <w:multiLevelType w:val="hybridMultilevel"/>
    <w:lvl w:ilvl="0">
      <w:lvlJc w:val="left"/>
      <w:lvlText w:val="(%1)"/>
      <w:numFmt w:val="decimal"/>
      <w:start w:val="5"/>
    </w:lvl>
  </w:abstractNum>
  <w:abstractNum w:abstractNumId="139">
    <w:nsid w:val="5D5BABB3"/>
    <w:multiLevelType w:val="hybridMultilevel"/>
    <w:lvl w:ilvl="0">
      <w:lvlJc w:val="left"/>
      <w:lvlText w:val="(%1)"/>
      <w:numFmt w:val="upperLetter"/>
      <w:start w:val="2"/>
    </w:lvl>
  </w:abstractNum>
  <w:abstractNum w:abstractNumId="140">
    <w:nsid w:val="51BF6B48"/>
    <w:multiLevelType w:val="hybridMultilevel"/>
    <w:lvl w:ilvl="0">
      <w:lvlJc w:val="left"/>
      <w:lvlText w:val="(%1)"/>
      <w:numFmt w:val="upperLetter"/>
      <w:start w:val="2"/>
    </w:lvl>
  </w:abstractNum>
  <w:abstractNum w:abstractNumId="141">
    <w:nsid w:val="7E0F6384"/>
    <w:multiLevelType w:val="hybridMultilevel"/>
    <w:lvl w:ilvl="0">
      <w:lvlJc w:val="left"/>
      <w:lvlText w:val="(%1)"/>
      <w:numFmt w:val="lowerRoman"/>
      <w:start w:val="1"/>
    </w:lvl>
  </w:abstractNum>
  <w:abstractNum w:abstractNumId="142">
    <w:nsid w:val="2B4B8B53"/>
    <w:multiLevelType w:val="hybridMultilevel"/>
    <w:lvl w:ilvl="0">
      <w:lvlJc w:val="left"/>
      <w:lvlText w:val="(%1)"/>
      <w:numFmt w:val="lowerRoman"/>
      <w:start w:val="3"/>
    </w:lvl>
  </w:abstractNum>
  <w:abstractNum w:abstractNumId="143">
    <w:nsid w:val="72E3413A"/>
    <w:multiLevelType w:val="hybridMultilevel"/>
    <w:lvl w:ilvl="0">
      <w:lvlJc w:val="left"/>
      <w:lvlText w:val="(%1)"/>
      <w:numFmt w:val="lowerRoman"/>
      <w:start w:val="1"/>
    </w:lvl>
  </w:abstractNum>
  <w:abstractNum w:abstractNumId="144">
    <w:nsid w:val="116AE494"/>
    <w:multiLevelType w:val="hybridMultilevel"/>
    <w:lvl w:ilvl="0">
      <w:lvlJc w:val="left"/>
      <w:lvlText w:val="(%1)"/>
      <w:numFmt w:val="decimal"/>
      <w:start w:val="1"/>
    </w:lvl>
  </w:abstractNum>
  <w:abstractNum w:abstractNumId="145">
    <w:nsid w:val="3494B2FB"/>
    <w:multiLevelType w:val="hybridMultilevel"/>
    <w:lvl w:ilvl="0">
      <w:lvlJc w:val="left"/>
      <w:lvlText w:val="(%1)"/>
      <w:numFmt w:val="lowerLetter"/>
      <w:start w:val="1"/>
    </w:lvl>
  </w:abstractNum>
  <w:abstractNum w:abstractNumId="146">
    <w:nsid w:val="B13A31"/>
    <w:multiLevelType w:val="hybridMultilevel"/>
    <w:lvl w:ilvl="0">
      <w:lvlJc w:val="left"/>
      <w:lvlText w:val="(%1)"/>
      <w:numFmt w:val="lowerLetter"/>
      <w:start w:val="3"/>
    </w:lvl>
  </w:abstractNum>
  <w:abstractNum w:abstractNumId="147">
    <w:nsid w:val="64429599"/>
    <w:multiLevelType w:val="hybridMultilevel"/>
    <w:lvl w:ilvl="0">
      <w:lvlJc w:val="left"/>
      <w:lvlText w:val="(%1)"/>
      <w:numFmt w:val="decimal"/>
      <w:start w:val="2"/>
    </w:lvl>
  </w:abstractNum>
  <w:abstractNum w:abstractNumId="148">
    <w:nsid w:val="631F1690"/>
    <w:multiLevelType w:val="hybridMultilevel"/>
    <w:lvl w:ilvl="0">
      <w:lvlJc w:val="left"/>
      <w:lvlText w:val="(%1)"/>
      <w:numFmt w:val="decimal"/>
      <w:start w:val="3"/>
    </w:lvl>
  </w:abstractNum>
  <w:abstractNum w:abstractNumId="149">
    <w:nsid w:val="25973E32"/>
    <w:multiLevelType w:val="hybridMultilevel"/>
    <w:lvl w:ilvl="0">
      <w:lvlJc w:val="left"/>
      <w:lvlText w:val="(%1)"/>
      <w:numFmt w:val="decimal"/>
      <w:start w:val="1"/>
    </w:lvl>
  </w:abstractNum>
  <w:abstractNum w:abstractNumId="150">
    <w:nsid w:val="EAD6F57"/>
    <w:multiLevelType w:val="hybridMultilevel"/>
    <w:lvl w:ilvl="0">
      <w:lvlJc w:val="left"/>
      <w:lvlText w:val="(%1)"/>
      <w:numFmt w:val="decimal"/>
      <w:start w:val="2"/>
    </w:lvl>
  </w:abstractNum>
  <w:abstractNum w:abstractNumId="151">
    <w:nsid w:val="6EC9D844"/>
    <w:multiLevelType w:val="hybridMultilevel"/>
    <w:lvl w:ilvl="0">
      <w:lvlJc w:val="left"/>
      <w:lvlText w:val="(%1)"/>
      <w:numFmt w:val="decimal"/>
      <w:start w:val="10"/>
    </w:lvl>
  </w:abstractNum>
  <w:abstractNum w:abstractNumId="152">
    <w:nsid w:val="5C49EAEE"/>
    <w:multiLevelType w:val="hybridMultilevel"/>
    <w:lvl w:ilvl="0">
      <w:lvlJc w:val="left"/>
      <w:lvlText w:val="(%1)"/>
      <w:numFmt w:val="decimal"/>
      <w:start w:val="17"/>
    </w:lvl>
  </w:abstractNum>
  <w:abstractNum w:abstractNumId="153">
    <w:nsid w:val="64AF49B"/>
    <w:multiLevelType w:val="hybridMultilevel"/>
    <w:lvl w:ilvl="0">
      <w:lvlJc w:val="left"/>
      <w:lvlText w:val="(%1)"/>
      <w:numFmt w:val="decimal"/>
      <w:start w:val="24"/>
    </w:lvl>
  </w:abstractNum>
  <w:abstractNum w:abstractNumId="154">
    <w:nsid w:val="397C46BC"/>
    <w:multiLevelType w:val="hybridMultilevel"/>
    <w:lvl w:ilvl="0">
      <w:lvlJc w:val="left"/>
      <w:lvlText w:val="(%1)"/>
      <w:numFmt w:val="lowerLetter"/>
      <w:start w:val="9"/>
    </w:lvl>
    <w:lvl w:ilvl="1">
      <w:lvlJc w:val="left"/>
      <w:lvlText w:val="(%2)"/>
      <w:numFmt w:val="lowerLetter"/>
      <w:start w:val="1"/>
    </w:lvl>
  </w:abstractNum>
  <w:abstractNum w:abstractNumId="155">
    <w:nsid w:val="7E448DE9"/>
    <w:multiLevelType w:val="hybridMultilevel"/>
    <w:lvl w:ilvl="0">
      <w:lvlJc w:val="left"/>
      <w:lvlText w:val="(%1)"/>
      <w:numFmt w:val="lowerRoman"/>
      <w:start w:val="2"/>
    </w:lvl>
  </w:abstractNum>
  <w:abstractNum w:abstractNumId="156">
    <w:nsid w:val="5A9CC3E5"/>
    <w:multiLevelType w:val="hybridMultilevel"/>
    <w:lvl w:ilvl="0">
      <w:lvlJc w:val="left"/>
      <w:lvlText w:val="(%1)"/>
      <w:numFmt w:val="lowerLetter"/>
      <w:start w:val="1"/>
    </w:lvl>
  </w:abstractNum>
  <w:abstractNum w:abstractNumId="157">
    <w:nsid w:val="1AFE3625"/>
    <w:multiLevelType w:val="hybridMultilevel"/>
    <w:lvl w:ilvl="0">
      <w:lvlJc w:val="left"/>
      <w:lvlText w:val="(%1)"/>
      <w:numFmt w:val="lowerLetter"/>
      <w:start w:val="2"/>
    </w:lvl>
  </w:abstractNum>
  <w:abstractNum w:abstractNumId="158">
    <w:nsid w:val="3CA88ECF"/>
    <w:multiLevelType w:val="hybridMultilevel"/>
    <w:lvl w:ilvl="0">
      <w:lvlJc w:val="left"/>
      <w:lvlText w:val="(%1)"/>
      <w:numFmt w:val="lowerRoman"/>
      <w:start w:val="2"/>
    </w:lvl>
  </w:abstractNum>
  <w:abstractNum w:abstractNumId="159">
    <w:nsid w:val="6EBE4208"/>
    <w:multiLevelType w:val="hybridMultilevel"/>
    <w:lvl w:ilvl="0">
      <w:lvlJc w:val="left"/>
      <w:lvlText w:val="(%1)"/>
      <w:numFmt w:val="lowerRoman"/>
      <w:start w:val="2"/>
    </w:lvl>
  </w:abstractNum>
  <w:abstractNum w:abstractNumId="160">
    <w:nsid w:val="C058DF5"/>
    <w:multiLevelType w:val="hybridMultilevel"/>
    <w:lvl w:ilvl="0">
      <w:lvlJc w:val="left"/>
      <w:lvlText w:val="(%1)"/>
      <w:numFmt w:val="decimal"/>
      <w:start w:val="1"/>
    </w:lvl>
  </w:abstractNum>
  <w:abstractNum w:abstractNumId="161">
    <w:nsid w:val="CBE5BE9"/>
    <w:multiLevelType w:val="hybridMultilevel"/>
    <w:lvl w:ilvl="0">
      <w:lvlJc w:val="left"/>
      <w:lvlText w:val="(%1)"/>
      <w:numFmt w:val="decimal"/>
      <w:start w:val="1"/>
    </w:lvl>
    <w:lvl w:ilvl="1">
      <w:lvlJc w:val="left"/>
      <w:lvlText w:val="(%2)"/>
      <w:numFmt w:val="upperLetter"/>
      <w:start w:val="1"/>
    </w:lvl>
  </w:abstractNum>
  <w:abstractNum w:abstractNumId="162">
    <w:nsid w:val="3102BBE2"/>
    <w:multiLevelType w:val="hybridMultilevel"/>
    <w:lvl w:ilvl="0">
      <w:lvlJc w:val="left"/>
      <w:lvlText w:val="(%1)"/>
      <w:numFmt w:val="lowerRoman"/>
      <w:start w:val="1"/>
    </w:lvl>
  </w:abstractNum>
  <w:abstractNum w:abstractNumId="163">
    <w:nsid w:val="26A02C5E"/>
    <w:multiLevelType w:val="hybridMultilevel"/>
    <w:lvl w:ilvl="0">
      <w:lvlJc w:val="left"/>
      <w:lvlText w:val="(%1)"/>
      <w:numFmt w:val="decimal"/>
      <w:start w:val="2"/>
    </w:lvl>
  </w:abstractNum>
  <w:abstractNum w:abstractNumId="164">
    <w:nsid w:val="541C8153"/>
    <w:multiLevelType w:val="hybridMultilevel"/>
    <w:lvl w:ilvl="0">
      <w:lvlJc w:val="left"/>
      <w:lvlText w:val="(%1)"/>
      <w:numFmt w:val="decimal"/>
      <w:start w:val="1"/>
    </w:lvl>
  </w:abstractNum>
  <w:abstractNum w:abstractNumId="165">
    <w:nsid w:val="67906F60"/>
    <w:multiLevelType w:val="hybridMultilevel"/>
    <w:lvl w:ilvl="0">
      <w:lvlJc w:val="left"/>
      <w:lvlText w:val="(%1)"/>
      <w:numFmt w:val="decimal"/>
      <w:start w:val="6"/>
    </w:lvl>
    <w:lvl w:ilvl="1">
      <w:lvlJc w:val="left"/>
      <w:lvlText w:val="(%2)"/>
      <w:numFmt w:val="upperLetter"/>
      <w:start w:val="1"/>
    </w:lvl>
  </w:abstractNum>
  <w:abstractNum w:abstractNumId="166">
    <w:nsid w:val="10DB9DAA"/>
    <w:multiLevelType w:val="hybridMultilevel"/>
    <w:lvl w:ilvl="0">
      <w:lvlJc w:val="left"/>
      <w:lvlText w:val="(%1)"/>
      <w:numFmt w:val="decimal"/>
      <w:start w:val="1"/>
    </w:lvl>
    <w:lvl w:ilvl="1">
      <w:lvlJc w:val="left"/>
      <w:lvlText w:val="(%2)"/>
      <w:numFmt w:val="upperLetter"/>
      <w:start w:val="1"/>
    </w:lvl>
  </w:abstractNum>
  <w:abstractNum w:abstractNumId="167">
    <w:nsid w:val="697D2D2"/>
    <w:multiLevelType w:val="hybridMultilevel"/>
    <w:lvl w:ilvl="0">
      <w:lvlJc w:val="left"/>
      <w:lvlText w:val="(%1)"/>
      <w:numFmt w:val="decimal"/>
      <w:start w:val="1"/>
    </w:lvl>
  </w:abstractNum>
  <w:abstractNum w:abstractNumId="168">
    <w:nsid w:val="6D68AB2"/>
    <w:multiLevelType w:val="hybridMultilevel"/>
    <w:lvl w:ilvl="0">
      <w:lvlJc w:val="left"/>
      <w:lvlText w:val="(%1)"/>
      <w:numFmt w:val="lowerRoman"/>
      <w:start w:val="1"/>
    </w:lvl>
  </w:abstractNum>
  <w:abstractNum w:abstractNumId="169">
    <w:nsid w:val="3A966CD0"/>
    <w:multiLevelType w:val="hybridMultilevel"/>
    <w:lvl w:ilvl="0">
      <w:lvlJc w:val="left"/>
      <w:lvlText w:val="(%1)"/>
      <w:numFmt w:val="decimal"/>
      <w:start w:val="2"/>
    </w:lvl>
  </w:abstractNum>
  <w:abstractNum w:abstractNumId="170">
    <w:nsid w:val="63F37E85"/>
    <w:multiLevelType w:val="hybridMultilevel"/>
    <w:lvl w:ilvl="0">
      <w:lvlJc w:val="left"/>
      <w:lvlText w:val="(%1)"/>
      <w:numFmt w:val="decimal"/>
      <w:start w:val="1"/>
    </w:lvl>
  </w:abstractNum>
  <w:abstractNum w:abstractNumId="171">
    <w:nsid w:val="5895F5FA"/>
    <w:multiLevelType w:val="hybridMultilevel"/>
    <w:lvl w:ilvl="0">
      <w:lvlJc w:val="left"/>
      <w:lvlText w:val="(%1)"/>
      <w:numFmt w:val="decimal"/>
      <w:start w:val="1"/>
    </w:lvl>
  </w:abstractNum>
  <w:abstractNum w:abstractNumId="172">
    <w:nsid w:val="38A5D054"/>
    <w:multiLevelType w:val="hybridMultilevel"/>
    <w:lvl w:ilvl="0">
      <w:lvlJc w:val="left"/>
      <w:lvlText w:val="(%1)"/>
      <w:numFmt w:val="decimal"/>
      <w:start w:val="2"/>
    </w:lvl>
  </w:abstractNum>
  <w:abstractNum w:abstractNumId="173">
    <w:nsid w:val="F3F09D8"/>
    <w:multiLevelType w:val="hybridMultilevel"/>
    <w:lvl w:ilvl="0">
      <w:lvlJc w:val="left"/>
      <w:lvlText w:val="(%1)"/>
      <w:numFmt w:val="decimal"/>
      <w:start w:val="1"/>
    </w:lvl>
  </w:abstractNum>
  <w:abstractNum w:abstractNumId="174">
    <w:nsid w:val="4B793735"/>
    <w:multiLevelType w:val="hybridMultilevel"/>
    <w:lvl w:ilvl="0">
      <w:lvlJc w:val="left"/>
      <w:lvlText w:val="%1"/>
      <w:numFmt w:val="decimal"/>
      <w:start w:val="1"/>
    </w:lvl>
    <w:lvl w:ilvl="1">
      <w:lvlJc w:val="left"/>
      <w:lvlText w:val="(%2)"/>
      <w:numFmt w:val="decimal"/>
      <w:start w:val="7"/>
    </w:lvl>
  </w:abstractNum>
  <w:abstractNum w:abstractNumId="175">
    <w:nsid w:val="4A10B4E8"/>
    <w:multiLevelType w:val="hybridMultilevel"/>
    <w:lvl w:ilvl="0">
      <w:lvlJc w:val="left"/>
      <w:lvlText w:val="(%1)"/>
      <w:numFmt w:val="decimal"/>
      <w:start w:val="2"/>
    </w:lvl>
    <w:lvl w:ilvl="1">
      <w:lvlJc w:val="left"/>
      <w:lvlText w:val="(%2)"/>
      <w:numFmt w:val="decimal"/>
      <w:start w:val="11"/>
    </w:lvl>
  </w:abstractNum>
  <w:abstractNum w:abstractNumId="176">
    <w:nsid w:val="43D3BCD4"/>
    <w:multiLevelType w:val="hybridMultilevel"/>
    <w:lvl w:ilvl="0">
      <w:lvlJc w:val="left"/>
      <w:lvlText w:val="(%1)"/>
      <w:numFmt w:val="decimal"/>
      <w:start w:val="1"/>
    </w:lvl>
  </w:abstractNum>
  <w:abstractNum w:abstractNumId="177">
    <w:nsid w:val="4C2A7166"/>
    <w:multiLevelType w:val="hybridMultilevel"/>
    <w:lvl w:ilvl="0">
      <w:lvlJc w:val="left"/>
      <w:lvlText w:val="(%1)"/>
      <w:numFmt w:val="decimal"/>
      <w:start w:val="3"/>
    </w:lvl>
  </w:abstractNum>
  <w:abstractNum w:abstractNumId="178">
    <w:nsid w:val="2E534A82"/>
    <w:multiLevelType w:val="hybridMultilevel"/>
    <w:lvl w:ilvl="0">
      <w:lvlJc w:val="left"/>
      <w:lvlText w:val="(%1)"/>
      <w:numFmt w:val="lowerLetter"/>
      <w:start w:val="1"/>
    </w:lvl>
  </w:abstractNum>
  <w:abstractNum w:abstractNumId="179">
    <w:nsid w:val="26F2D364"/>
    <w:multiLevelType w:val="hybridMultilevel"/>
    <w:lvl w:ilvl="0">
      <w:lvlJc w:val="left"/>
      <w:lvlText w:val="(%1)"/>
      <w:numFmt w:val="decimal"/>
      <w:start w:val="1"/>
    </w:lvl>
  </w:abstractNum>
  <w:abstractNum w:abstractNumId="180">
    <w:nsid w:val="71C1AF98"/>
    <w:multiLevelType w:val="hybridMultilevel"/>
    <w:lvl w:ilvl="0">
      <w:lvlJc w:val="left"/>
      <w:lvlText w:val="(%1)"/>
      <w:numFmt w:val="lowerLetter"/>
      <w:start w:val="5"/>
    </w:lvl>
  </w:abstractNum>
  <w:abstractNum w:abstractNumId="181">
    <w:nsid w:val="3D00B9D9"/>
    <w:multiLevelType w:val="hybridMultilevel"/>
    <w:lvl w:ilvl="0">
      <w:lvlJc w:val="left"/>
      <w:lvlText w:val="(%1)"/>
      <w:numFmt w:val="lowerLetter"/>
      <w:start w:val="1"/>
    </w:lvl>
  </w:abstractNum>
  <w:abstractNum w:abstractNumId="182">
    <w:nsid w:val="15BCABA8"/>
    <w:multiLevelType w:val="hybridMultilevel"/>
    <w:lvl w:ilvl="0">
      <w:lvlJc w:val="left"/>
      <w:lvlText w:val="(%1)"/>
      <w:numFmt w:val="lowerLetter"/>
      <w:start w:val="3"/>
    </w:lvl>
  </w:abstractNum>
  <w:abstractNum w:abstractNumId="183">
    <w:nsid w:val="4E0B9A87"/>
    <w:multiLevelType w:val="hybridMultilevel"/>
    <w:lvl w:ilvl="0">
      <w:lvlJc w:val="left"/>
      <w:lvlText w:val="(%1)"/>
      <w:numFmt w:val="decimal"/>
      <w:start w:val="1"/>
    </w:lvl>
  </w:abstractNum>
  <w:abstractNum w:abstractNumId="184">
    <w:nsid w:val="434BAE75"/>
    <w:multiLevelType w:val="hybridMultilevel"/>
    <w:lvl w:ilvl="0">
      <w:lvlJc w:val="left"/>
      <w:lvlText w:val="(%1)"/>
      <w:numFmt w:val="lowerLetter"/>
      <w:start w:val="2"/>
    </w:lvl>
  </w:abstractNum>
  <w:abstractNum w:abstractNumId="185">
    <w:nsid w:val="4F38F265"/>
    <w:multiLevelType w:val="hybridMultilevel"/>
    <w:lvl w:ilvl="0">
      <w:lvlJc w:val="left"/>
      <w:lvlText w:val="(%1)"/>
      <w:numFmt w:val="decimal"/>
      <w:start w:val="1"/>
    </w:lvl>
  </w:abstractNum>
  <w:abstractNum w:abstractNumId="186">
    <w:nsid w:val="4C502870"/>
    <w:multiLevelType w:val="hybridMultilevel"/>
    <w:lvl w:ilvl="0">
      <w:lvlJc w:val="left"/>
      <w:lvlText w:val="(%1)"/>
      <w:numFmt w:val="decimal"/>
      <w:start w:val="4"/>
    </w:lvl>
  </w:abstractNum>
  <w:abstractNum w:abstractNumId="187">
    <w:nsid w:val="1DE8725A"/>
    <w:multiLevelType w:val="hybridMultilevel"/>
    <w:lvl w:ilvl="0">
      <w:lvlJc w:val="left"/>
      <w:lvlText w:val="(%1)"/>
      <w:numFmt w:val="lowerLetter"/>
      <w:start w:val="4"/>
    </w:lvl>
  </w:abstractNum>
  <w:abstractNum w:abstractNumId="188">
    <w:nsid w:val="6A37288A"/>
    <w:multiLevelType w:val="hybridMultilevel"/>
    <w:lvl w:ilvl="0">
      <w:lvlJc w:val="left"/>
      <w:lvlText w:val="(%1)"/>
      <w:numFmt w:val="decimal"/>
      <w:start w:val="1"/>
    </w:lvl>
  </w:abstractNum>
  <w:abstractNum w:abstractNumId="189">
    <w:nsid w:val="8F8B73F"/>
    <w:multiLevelType w:val="hybridMultilevel"/>
    <w:lvl w:ilvl="0">
      <w:lvlJc w:val="left"/>
      <w:lvlText w:val="(%1)"/>
      <w:numFmt w:val="lowerLetter"/>
      <w:start w:val="1"/>
    </w:lvl>
  </w:abstractNum>
  <w:abstractNum w:abstractNumId="190">
    <w:nsid w:val="CA6B462"/>
    <w:multiLevelType w:val="hybridMultilevel"/>
    <w:lvl w:ilvl="0">
      <w:lvlJc w:val="left"/>
      <w:lvlText w:val="(%1)"/>
      <w:numFmt w:val="decimal"/>
      <w:start w:val="1"/>
    </w:lvl>
  </w:abstractNum>
  <w:abstractNum w:abstractNumId="191">
    <w:nsid w:val="763CB680"/>
    <w:multiLevelType w:val="hybridMultilevel"/>
    <w:lvl w:ilvl="0">
      <w:lvlJc w:val="left"/>
      <w:lvlText w:val="(%1)"/>
      <w:numFmt w:val="decimal"/>
      <w:start w:val="5"/>
    </w:lvl>
  </w:abstractNum>
  <w:abstractNum w:abstractNumId="192">
    <w:nsid w:val="15B71329"/>
    <w:multiLevelType w:val="hybridMultilevel"/>
    <w:lvl w:ilvl="0">
      <w:lvlJc w:val="left"/>
      <w:lvlText w:val="(%1)"/>
      <w:numFmt w:val="decimal"/>
      <w:start w:val="1"/>
    </w:lvl>
  </w:abstractNum>
  <w:abstractNum w:abstractNumId="193">
    <w:nsid w:val="3DA97044"/>
    <w:multiLevelType w:val="hybridMultilevel"/>
    <w:lvl w:ilvl="0">
      <w:lvlJc w:val="left"/>
      <w:lvlText w:val="(%1)"/>
      <w:numFmt w:val="decimal"/>
      <w:start w:val="2"/>
    </w:lvl>
  </w:abstractNum>
  <w:abstractNum w:abstractNumId="194">
    <w:nsid w:val="1CDCE2DE"/>
    <w:multiLevelType w:val="hybridMultilevel"/>
    <w:lvl w:ilvl="0">
      <w:lvlJc w:val="left"/>
      <w:lvlText w:val="(%1)"/>
      <w:numFmt w:val="upperLetter"/>
      <w:start w:val="3"/>
    </w:lvl>
  </w:abstractNum>
  <w:abstractNum w:abstractNumId="195">
    <w:nsid w:val="69D3947C"/>
    <w:multiLevelType w:val="hybridMultilevel"/>
    <w:lvl w:ilvl="0">
      <w:lvlJc w:val="left"/>
      <w:lvlText w:val="(%1)"/>
      <w:numFmt w:val="decimal"/>
      <w:start w:val="1"/>
    </w:lvl>
  </w:abstractNum>
  <w:abstractNum w:abstractNumId="196">
    <w:nsid w:val="2539DFA5"/>
    <w:multiLevelType w:val="hybridMultilevel"/>
    <w:lvl w:ilvl="0">
      <w:lvlJc w:val="left"/>
      <w:lvlText w:val="(%1)"/>
      <w:numFmt w:val="decimal"/>
      <w:start w:val="1"/>
    </w:lvl>
  </w:abstractNum>
  <w:abstractNum w:abstractNumId="197">
    <w:nsid w:val="2DB88089"/>
    <w:multiLevelType w:val="hybridMultilevel"/>
    <w:lvl w:ilvl="0">
      <w:lvlJc w:val="left"/>
      <w:lvlText w:val="(%1)"/>
      <w:numFmt w:val="decimal"/>
      <w:start w:val="11"/>
    </w:lvl>
  </w:abstractNum>
  <w:abstractNum w:abstractNumId="198">
    <w:nsid w:val="706B674E"/>
    <w:multiLevelType w:val="hybridMultilevel"/>
    <w:lvl w:ilvl="0">
      <w:lvlJc w:val="left"/>
      <w:lvlText w:val="(%1)"/>
      <w:numFmt w:val="lowerLetter"/>
      <w:start w:val="1"/>
    </w:lvl>
  </w:abstractNum>
  <w:abstractNum w:abstractNumId="199">
    <w:nsid w:val="2C106A57"/>
    <w:multiLevelType w:val="hybridMultilevel"/>
    <w:lvl w:ilvl="0">
      <w:lvlJc w:val="left"/>
      <w:lvlText w:val="(%1)"/>
      <w:numFmt w:val="lowerLetter"/>
      <w:start w:val="2"/>
    </w:lvl>
  </w:abstractNum>
  <w:abstractNum w:abstractNumId="200">
    <w:nsid w:val="684EED59"/>
    <w:multiLevelType w:val="hybridMultilevel"/>
    <w:lvl w:ilvl="0">
      <w:lvlJc w:val="left"/>
      <w:lvlText w:val="(%1)"/>
      <w:numFmt w:val="lowerLetter"/>
      <w:start w:val="1"/>
    </w:lvl>
  </w:abstractNum>
  <w:abstractNum w:abstractNumId="201">
    <w:nsid w:val="545EE5D3"/>
    <w:multiLevelType w:val="hybridMultilevel"/>
    <w:lvl w:ilvl="0">
      <w:lvlJc w:val="left"/>
      <w:lvlText w:val="(%1)"/>
      <w:numFmt w:val="lowerLetter"/>
      <w:start w:val="1"/>
    </w:lvl>
  </w:abstractNum>
  <w:abstractNum w:abstractNumId="202">
    <w:nsid w:val="4A66051"/>
    <w:multiLevelType w:val="hybridMultilevel"/>
    <w:lvl w:ilvl="0">
      <w:lvlJc w:val="left"/>
      <w:lvlText w:val="(%1)"/>
      <w:numFmt w:val="lowerRoman"/>
      <w:start w:val="1"/>
    </w:lvl>
  </w:abstractNum>
  <w:abstractNum w:abstractNumId="203">
    <w:nsid w:val="20F4BDAD"/>
    <w:multiLevelType w:val="hybridMultilevel"/>
    <w:lvl w:ilvl="0">
      <w:lvlJc w:val="left"/>
      <w:lvlText w:val="(%1)"/>
      <w:numFmt w:val="lowerLetter"/>
      <w:start w:val="1"/>
    </w:lvl>
  </w:abstractNum>
  <w:abstractNum w:abstractNumId="204">
    <w:nsid w:val="639DEFAC"/>
    <w:multiLevelType w:val="hybridMultilevel"/>
    <w:lvl w:ilvl="0">
      <w:lvlJc w:val="left"/>
      <w:lvlText w:val="(%1)"/>
      <w:numFmt w:val="decimal"/>
      <w:start w:val="1"/>
    </w:lvl>
  </w:abstractNum>
  <w:abstractNum w:abstractNumId="205">
    <w:nsid w:val="501F9786"/>
    <w:multiLevelType w:val="hybridMultilevel"/>
    <w:lvl w:ilvl="0">
      <w:lvlJc w:val="left"/>
      <w:lvlText w:val="(%1)"/>
      <w:numFmt w:val="decimal"/>
      <w:start w:val="1"/>
    </w:lvl>
  </w:abstractNum>
  <w:abstractNum w:abstractNumId="206">
    <w:nsid w:val="6B057295"/>
    <w:multiLevelType w:val="hybridMultilevel"/>
    <w:lvl w:ilvl="0">
      <w:lvlJc w:val="left"/>
      <w:lvlText w:val="(%1)"/>
      <w:numFmt w:val="decimal"/>
      <w:start w:val="2"/>
    </w:lvl>
  </w:abstractNum>
  <w:abstractNum w:abstractNumId="207">
    <w:nsid w:val="2771AC80"/>
    <w:multiLevelType w:val="hybridMultilevel"/>
    <w:lvl w:ilvl="0">
      <w:lvlJc w:val="left"/>
      <w:lvlText w:val="(%1)"/>
      <w:numFmt w:val="decimal"/>
      <w:start w:val="4"/>
    </w:lvl>
    <w:lvl w:ilvl="1">
      <w:lvlJc w:val="left"/>
      <w:lvlText w:val="(%2)"/>
      <w:numFmt w:val="decimal"/>
      <w:start w:val="5"/>
    </w:lvl>
  </w:abstractNum>
  <w:abstractNum w:abstractNumId="208">
    <w:nsid w:val="1C4A08EC"/>
    <w:multiLevelType w:val="hybridMultilevel"/>
    <w:lvl w:ilvl="0">
      <w:lvlJc w:val="left"/>
      <w:lvlText w:val="%1"/>
      <w:numFmt w:val="decimal"/>
      <w:start w:val="1"/>
    </w:lvl>
    <w:lvl w:ilvl="1">
      <w:lvlJc w:val="left"/>
      <w:lvlText w:val="(%2)"/>
      <w:numFmt w:val="decimal"/>
      <w:start w:val="7"/>
    </w:lvl>
  </w:abstractNum>
  <w:abstractNum w:abstractNumId="209">
    <w:nsid w:val="1958BD17"/>
    <w:multiLevelType w:val="hybridMultilevel"/>
    <w:lvl w:ilvl="0">
      <w:lvlJc w:val="left"/>
      <w:lvlText w:val="(%1)"/>
      <w:numFmt w:val="decimal"/>
      <w:start w:val="3"/>
    </w:lvl>
    <w:lvl w:ilvl="1">
      <w:lvlJc w:val="left"/>
      <w:lvlText w:val="%2"/>
      <w:numFmt w:val="decimal"/>
      <w:start w:val="1"/>
    </w:lvl>
  </w:abstractNum>
  <w:abstractNum w:abstractNumId="210">
    <w:nsid w:val="4E647FE4"/>
    <w:multiLevelType w:val="hybridMultilevel"/>
    <w:lvl w:ilvl="0">
      <w:lvlJc w:val="left"/>
      <w:lvlText w:val="(%1)"/>
      <w:numFmt w:val="decimal"/>
      <w:start w:val="1"/>
    </w:lvl>
  </w:abstractNum>
  <w:abstractNum w:abstractNumId="211">
    <w:nsid w:val="E0BB885"/>
    <w:multiLevelType w:val="hybridMultilevel"/>
    <w:lvl w:ilvl="0">
      <w:lvlJc w:val="left"/>
      <w:lvlText w:val="(%1)"/>
      <w:numFmt w:val="decimal"/>
      <w:start w:val="1"/>
    </w:lvl>
  </w:abstractNum>
  <w:abstractNum w:abstractNumId="212">
    <w:nsid w:val="565976F1"/>
    <w:multiLevelType w:val="hybridMultilevel"/>
    <w:lvl w:ilvl="0">
      <w:lvlJc w:val="left"/>
      <w:lvlText w:val="(%1)"/>
      <w:numFmt w:val="decimal"/>
      <w:start w:val="1"/>
    </w:lvl>
  </w:abstractNum>
  <w:abstractNum w:abstractNumId="213">
    <w:nsid w:val="64212B8C"/>
    <w:multiLevelType w:val="hybridMultilevel"/>
    <w:lvl w:ilvl="0">
      <w:lvlJc w:val="left"/>
      <w:lvlText w:val="(%1)"/>
      <w:numFmt w:val="decimal"/>
      <w:start w:val="1"/>
    </w:lvl>
  </w:abstractNum>
  <w:abstractNum w:abstractNumId="214">
    <w:nsid w:val="5C17530C"/>
    <w:multiLevelType w:val="hybridMultilevel"/>
    <w:lvl w:ilvl="0">
      <w:lvlJc w:val="left"/>
      <w:lvlText w:val="(%1)"/>
      <w:numFmt w:val="lowerLetter"/>
      <w:start w:val="1"/>
    </w:lvl>
  </w:abstractNum>
  <w:abstractNum w:abstractNumId="215">
    <w:nsid w:val="19A52566"/>
    <w:multiLevelType w:val="hybridMultilevel"/>
    <w:lvl w:ilvl="0">
      <w:lvlJc w:val="left"/>
      <w:lvlText w:val="(%1)"/>
      <w:numFmt w:val="lowerLetter"/>
      <w:start w:val="22"/>
    </w:lvl>
  </w:abstractNum>
  <w:abstractNum w:abstractNumId="216">
    <w:nsid w:val="335A1DF1"/>
    <w:multiLevelType w:val="hybridMultilevel"/>
    <w:lvl w:ilvl="0">
      <w:lvlJc w:val="left"/>
      <w:lvlText w:val="(%1)"/>
      <w:numFmt w:val="lowerLetter"/>
      <w:start w:val="1"/>
    </w:lvl>
  </w:abstractNum>
  <w:abstractNum w:abstractNumId="217">
    <w:nsid w:val="28677B7C"/>
    <w:multiLevelType w:val="hybridMultilevel"/>
    <w:lvl w:ilvl="0">
      <w:lvlJc w:val="left"/>
      <w:lvlText w:val="["/>
      <w:numFmt w:val="bullet"/>
      <w:start w:val="1"/>
    </w:lvl>
  </w:abstractNum>
  <w:abstractNum w:abstractNumId="218">
    <w:nsid w:val="378D97C0"/>
    <w:multiLevelType w:val="hybridMultilevel"/>
    <w:lvl w:ilvl="0">
      <w:lvlJc w:val="left"/>
      <w:lvlText w:val="%1)"/>
      <w:numFmt w:val="lowerLetter"/>
      <w:start w:val="1"/>
    </w:lvl>
  </w:abstractNum>
  <w:abstractNum w:abstractNumId="219">
    <w:nsid w:val="1D91467C"/>
    <w:multiLevelType w:val="hybridMultilevel"/>
    <w:lvl w:ilvl="0">
      <w:lvlJc w:val="left"/>
      <w:lvlText w:val="%1)"/>
      <w:numFmt w:val="lowerLetter"/>
      <w:start w:val="8"/>
    </w:lvl>
  </w:abstractNum>
  <w:abstractNum w:abstractNumId="220">
    <w:nsid w:val="316032BB"/>
    <w:multiLevelType w:val="hybridMultilevel"/>
    <w:lvl w:ilvl="0">
      <w:lvlJc w:val="left"/>
      <w:lvlText w:val="●"/>
      <w:numFmt w:val="bullet"/>
      <w:start w:val="1"/>
    </w:lvl>
  </w:abstractNum>
  <w:abstractNum w:abstractNumId="221">
    <w:nsid w:val="44344C22"/>
    <w:multiLevelType w:val="hybridMultilevel"/>
    <w:lvl w:ilvl="0">
      <w:lvlJc w:val="left"/>
      <w:lvlText w:val="●"/>
      <w:numFmt w:val="bullet"/>
      <w:start w:val="1"/>
    </w:lvl>
  </w:abstractNum>
  <w:abstractNum w:abstractNumId="222">
    <w:nsid w:val="13CDFCFC"/>
    <w:multiLevelType w:val="hybridMultilevel"/>
    <w:lvl w:ilvl="0">
      <w:lvlJc w:val="left"/>
      <w:lvlText w:val="●"/>
      <w:numFmt w:val="bullet"/>
      <w:start w:val="1"/>
    </w:lvl>
  </w:abstractNum>
  <w:abstractNum w:abstractNumId="223">
    <w:nsid w:val="471745E4"/>
    <w:multiLevelType w:val="hybridMultilevel"/>
    <w:lvl w:ilvl="0">
      <w:lvlJc w:val="left"/>
      <w:lvlText w:val="●"/>
      <w:numFmt w:val="bullet"/>
      <w:start w:val="1"/>
    </w:lvl>
    <w:lvl w:ilvl="1">
      <w:lvlJc w:val="left"/>
      <w:lvlText w:val="(%2)"/>
      <w:numFmt w:val="lowerLetter"/>
      <w:start w:val="3"/>
    </w:lvl>
  </w:abstractNum>
  <w:abstractNum w:abstractNumId="224">
    <w:nsid w:val="1DDBC66"/>
    <w:multiLevelType w:val="hybridMultilevel"/>
    <w:lvl w:ilvl="0">
      <w:lvlJc w:val="left"/>
      <w:lvlText w:val="●"/>
      <w:numFmt w:val="bullet"/>
      <w:start w:val="1"/>
    </w:lvl>
  </w:abstractNum>
  <w:abstractNum w:abstractNumId="225">
    <w:nsid w:val="30AADFDA"/>
    <w:multiLevelType w:val="hybridMultilevel"/>
    <w:lvl w:ilvl="0">
      <w:lvlJc w:val="left"/>
      <w:lvlText w:val="(%1)"/>
      <w:numFmt w:val="decimal"/>
      <w:start w:val="1"/>
    </w:lvl>
  </w:abstractNum>
  <w:abstractNum w:abstractNumId="226">
    <w:nsid w:val="30EADA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jpe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8"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137" Type="http://schemas.openxmlformats.org/officeDocument/2006/relationships/image" Target="media/image110.png"/><Relationship Id="rId138" Type="http://schemas.openxmlformats.org/officeDocument/2006/relationships/image" Target="media/image111.png"/><Relationship Id="rId139" Type="http://schemas.openxmlformats.org/officeDocument/2006/relationships/image" Target="media/image112.png"/><Relationship Id="rId140" Type="http://schemas.openxmlformats.org/officeDocument/2006/relationships/image" Target="media/image113.png"/><Relationship Id="rId141" Type="http://schemas.openxmlformats.org/officeDocument/2006/relationships/image" Target="media/image114.png"/><Relationship Id="rId142"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png"/><Relationship Id="rId312" Type="http://schemas.openxmlformats.org/officeDocument/2006/relationships/image" Target="media/image285.png"/><Relationship Id="rId313" Type="http://schemas.openxmlformats.org/officeDocument/2006/relationships/image" Target="media/image286.png"/><Relationship Id="rId314" Type="http://schemas.openxmlformats.org/officeDocument/2006/relationships/image" Target="media/image287.png"/><Relationship Id="rId315" Type="http://schemas.openxmlformats.org/officeDocument/2006/relationships/image" Target="media/image288.png"/><Relationship Id="rId316" Type="http://schemas.openxmlformats.org/officeDocument/2006/relationships/image" Target="media/image289.png"/><Relationship Id="rId317" Type="http://schemas.openxmlformats.org/officeDocument/2006/relationships/image" Target="media/image290.png"/><Relationship Id="rId318" Type="http://schemas.openxmlformats.org/officeDocument/2006/relationships/image" Target="media/image291.png"/><Relationship Id="rId319" Type="http://schemas.openxmlformats.org/officeDocument/2006/relationships/image" Target="media/image292.png"/><Relationship Id="rId320"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png"/><Relationship Id="rId325" Type="http://schemas.openxmlformats.org/officeDocument/2006/relationships/image" Target="media/image298.png"/><Relationship Id="rId326" Type="http://schemas.openxmlformats.org/officeDocument/2006/relationships/image" Target="media/image299.png"/><Relationship Id="rId327" Type="http://schemas.openxmlformats.org/officeDocument/2006/relationships/image" Target="media/image300.png"/><Relationship Id="rId328" Type="http://schemas.openxmlformats.org/officeDocument/2006/relationships/image" Target="media/image301.png"/><Relationship Id="rId329" Type="http://schemas.openxmlformats.org/officeDocument/2006/relationships/image" Target="media/image302.png"/><Relationship Id="rId330" Type="http://schemas.openxmlformats.org/officeDocument/2006/relationships/image" Target="media/image303.jpeg"/><Relationship Id="rId331" Type="http://schemas.openxmlformats.org/officeDocument/2006/relationships/image" Target="media/image304.png"/><Relationship Id="rId332" Type="http://schemas.openxmlformats.org/officeDocument/2006/relationships/image" Target="media/image305.png"/><Relationship Id="rId333" Type="http://schemas.openxmlformats.org/officeDocument/2006/relationships/image" Target="media/image306.png"/><Relationship Id="rId334" Type="http://schemas.openxmlformats.org/officeDocument/2006/relationships/image" Target="media/image307.png"/><Relationship Id="rId335" Type="http://schemas.openxmlformats.org/officeDocument/2006/relationships/image" Target="media/image308.png"/><Relationship Id="rId336" Type="http://schemas.openxmlformats.org/officeDocument/2006/relationships/image" Target="media/image309.png"/><Relationship Id="rId337" Type="http://schemas.openxmlformats.org/officeDocument/2006/relationships/image" Target="media/image310.png"/><Relationship Id="rId60" Type="http://schemas.openxmlformats.org/officeDocument/2006/relationships/hyperlink" Target="http://www.sec.gov/Archives/edgar/data/1800637/000121390022016936/f10k2021_agrifycorp.htm" TargetMode="External"/><Relationship Id="rId61" Type="http://schemas.openxmlformats.org/officeDocument/2006/relationships/hyperlink" Target="http://www.sec.gov/Archives/edgar/data/1800637/000121390022027256/f10q0322_agrifycorp.htm" TargetMode="External"/><Relationship Id="rId62" Type="http://schemas.openxmlformats.org/officeDocument/2006/relationships/hyperlink" Target="https://www.sec.gov/Archives/edgar/data/1800637/000121390022022512/def14a0422_agrify.htm" TargetMode="External"/><Relationship Id="rId63" Type="http://schemas.openxmlformats.org/officeDocument/2006/relationships/hyperlink" Target="http://www.sec.gov/Archives/edgar/data/1800637/000162828021025312/agfy-20210929.htm" TargetMode="External"/><Relationship Id="rId64" Type="http://schemas.openxmlformats.org/officeDocument/2006/relationships/hyperlink" Target="http://www.sec.gov/Archives/edgar/data/1800637/000121390022000601/ea153490-8k_agrifycorp.htm" TargetMode="External"/><Relationship Id="rId65" Type="http://schemas.openxmlformats.org/officeDocument/2006/relationships/hyperlink" Target="http://www.sec.gov/Archives/edgar/data/1800637/000121390022003773/ea154520-8k_agrifycorp.htm" TargetMode="External"/><Relationship Id="rId66" Type="http://schemas.openxmlformats.org/officeDocument/2006/relationships/hyperlink" Target="http://www.sec.gov/Archives/edgar/data/1800637/000121390022004925/ea154783-8k_agrifycorp.htm" TargetMode="External"/><Relationship Id="rId67" Type="http://schemas.openxmlformats.org/officeDocument/2006/relationships/hyperlink" Target="http://www.sec.gov/Archives/edgar/data/1800637/000121390022013613/ea157101-8k_agrifycorp.htm" TargetMode="External"/><Relationship Id="rId68" Type="http://schemas.openxmlformats.org/officeDocument/2006/relationships/hyperlink" Target="http://www.sec.gov/Archives/edgar/data/1800637/000121390022019437/ea158347-8k_agrifycorp.htm" TargetMode="External"/><Relationship Id="rId69" Type="http://schemas.openxmlformats.org/officeDocument/2006/relationships/hyperlink" Target="http://www.sec.gov/Archives/edgar/data/1800637/000121390022032014/ea161353-8k_agrify.htm" TargetMode="External"/><Relationship Id="rId70" Type="http://schemas.openxmlformats.org/officeDocument/2006/relationships/hyperlink" Target="http://www.sec.gov/Archives/edgar/data/1800637/000121390021004285/ea133941-8a12b_agrifycorp.htm" TargetMode="External"/><Relationship Id="rId80" Type="http://schemas.openxmlformats.org/officeDocument/2006/relationships/hyperlink" Target="http://www.sec.gov/Archives/edgar/data/1800637/000121390020044121/fs12020ex2-1_agrifycorp.htm" TargetMode="External"/><Relationship Id="rId81" Type="http://schemas.openxmlformats.org/officeDocument/2006/relationships/hyperlink" Target="http://www.sec.gov/Archives/edgar/data/1800637/000101376221000191/ea148348ex2-1_agrifycorp.htm" TargetMode="External"/><Relationship Id="rId82" Type="http://schemas.openxmlformats.org/officeDocument/2006/relationships/hyperlink" Target="http://www.sec.gov/Archives/edgar/data/1800637/000121390022000601/ea153490ex2-1_agrifycorp.htm" TargetMode="External"/><Relationship Id="rId83" Type="http://schemas.openxmlformats.org/officeDocument/2006/relationships/hyperlink" Target="http://www.sec.gov/Archives/edgar/data/1800637/000121390022004925/ea154783ex2-1_agrifycorp.htm" TargetMode="External"/><Relationship Id="rId84" Type="http://schemas.openxmlformats.org/officeDocument/2006/relationships/hyperlink" Target="http://www.sec.gov/Archives/edgar/data/1800637/000121390021001799/fs12020a1ex3-1_agrify.htm" TargetMode="External"/><Relationship Id="rId85" Type="http://schemas.openxmlformats.org/officeDocument/2006/relationships/hyperlink" Target="http://www.sec.gov/Archives/edgar/data/1800637/000121390021001799/fs12020a1ex3-2_agrify.htm" TargetMode="External"/><Relationship Id="rId86" Type="http://schemas.openxmlformats.org/officeDocument/2006/relationships/hyperlink" Target="http://www.sec.gov/Archives/edgar/data/1800637/000121390021004220/fs12021a2ex3-3_agrifycorp.htm" TargetMode="External"/><Relationship Id="rId87" Type="http://schemas.openxmlformats.org/officeDocument/2006/relationships/hyperlink" Target="http://www.sec.gov/Archives/edgar/data/1800637/000121390021004220/fs12021a2ex4-1_agrifycorp.htm" TargetMode="External"/><Relationship Id="rId89" Type="http://schemas.openxmlformats.org/officeDocument/2006/relationships/hyperlink" Target="http://www.sec.gov/Archives/edgar/data/1800637/000121390022013613/ea157101ex4-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2022-06-17T16:14:47Z</dcterms:created>
  <dcterms:modified xsi:type="dcterms:W3CDTF">2022-06-17T16:14:47Z</dcterms:modified>
</cp:coreProperties>
</file>