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Alyeska Investment Group,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2,074,000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2,074,000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2,074,000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9.99% *</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persons are the beneficial owners of 2,074,000 shares of Common Stock of the Issuer, which constitute approximately 9.99% of the Issuer’s outstanding Common Stock shares. The percentage calculation assumes that there are currently 20,740,799 outstanding shares of Common Stock of the Issuer, based on the Issuer’s Proxy Statement filed with the Securities and Exchange Commission on 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367665</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6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7"/>
              </w:rPr>
              <w:t>Alyeska Fund GP, LLC</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2,074,000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2,074,000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2,074,000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9.99%*</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persons are the beneficial owners of 2,074,000 shares of Common Stock of the Issuer, which constitute approximately 9.99% of the Issuer’s outstanding Common Stock shares. The percentage calculation assumes that there are currently 20,740,799 outstanding shares of Common Stock of the Issuer, based on the Issuer’s Proxy Statement filed with the Securities and Exchange Commission on 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179070</wp:posOffset>
            </wp:positionV>
            <wp:extent cx="71361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Anand Parekh</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2,074,000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2,074,000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2,074,000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persons are the beneficial owners of 2,074,000 shares of Common Stock of the Issuer, which constitute approximately 9.99% of the Issuer’s outstanding Common Stock shares. The percentage calculation assumes that there are currently 20,740,799 outstanding shares of Common Stock of the Issuer, based on the Issuer’s Proxy Statement filed with the Securities and Exchange Commission on 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 w:name="page5"/>
    <w:bookmarkEnd w:id="4"/>
    <w:p>
      <w:pPr>
        <w:spacing w:after="0" w:line="62"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76 Treble Cove Rd., Building 3</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Investment Group, L.P.</w:t>
      </w:r>
    </w:p>
    <w:p>
      <w:pPr>
        <w:spacing w:after="0" w:line="225"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Fund GP, LLC</w:t>
      </w:r>
    </w:p>
    <w:p>
      <w:pPr>
        <w:spacing w:after="0" w:line="225"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Anand Parekh</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121" w:lineRule="exact"/>
        <w:rPr>
          <w:sz w:val="20"/>
          <w:szCs w:val="20"/>
          <w:color w:val="auto"/>
        </w:rPr>
      </w:pPr>
    </w:p>
    <w:p>
      <w:pPr>
        <w:ind w:left="1020" w:right="7840" w:hanging="220"/>
        <w:spacing w:after="0" w:line="282" w:lineRule="auto"/>
        <w:tabs>
          <w:tab w:leader="none" w:pos="10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West Wacker Drive, 7th Floor Chicago, IL 60601</w:t>
      </w:r>
    </w:p>
    <w:p>
      <w:pPr>
        <w:spacing w:after="0" w:line="161" w:lineRule="exact"/>
        <w:rPr>
          <w:rFonts w:ascii="Times New Roman" w:cs="Times New Roman" w:eastAsia="Times New Roman" w:hAnsi="Times New Roman"/>
          <w:sz w:val="18"/>
          <w:szCs w:val="18"/>
          <w:color w:val="auto"/>
        </w:rPr>
      </w:pPr>
    </w:p>
    <w:p>
      <w:pPr>
        <w:ind w:left="1040" w:right="7800" w:hanging="240"/>
        <w:spacing w:after="0" w:line="282" w:lineRule="auto"/>
        <w:tabs>
          <w:tab w:leader="none" w:pos="10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West Wacker Drive, 7th Floor Chicago, IL 60601</w:t>
      </w:r>
    </w:p>
    <w:p>
      <w:pPr>
        <w:spacing w:after="0" w:line="161" w:lineRule="exact"/>
        <w:rPr>
          <w:rFonts w:ascii="Times New Roman" w:cs="Times New Roman" w:eastAsia="Times New Roman" w:hAnsi="Times New Roman"/>
          <w:sz w:val="18"/>
          <w:szCs w:val="18"/>
          <w:color w:val="auto"/>
        </w:rPr>
      </w:pPr>
    </w:p>
    <w:p>
      <w:pPr>
        <w:ind w:left="1060" w:right="7740" w:hanging="260"/>
        <w:spacing w:after="0" w:line="282"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West Wacker Drive, 7th Floor Chicago, IL 60601</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00" w:hanging="200"/>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Investment Group, L.P. - Delaware</w:t>
      </w:r>
    </w:p>
    <w:p>
      <w:pPr>
        <w:spacing w:after="0" w:line="225"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Fund GP, LLC - Delaware</w:t>
      </w:r>
    </w:p>
    <w:p>
      <w:pPr>
        <w:spacing w:after="0" w:line="225" w:lineRule="exact"/>
        <w:rPr>
          <w:rFonts w:ascii="Times New Roman" w:cs="Times New Roman" w:eastAsia="Times New Roman" w:hAnsi="Times New Roman"/>
          <w:sz w:val="18"/>
          <w:szCs w:val="18"/>
          <w:color w:val="auto"/>
        </w:rPr>
      </w:pPr>
    </w:p>
    <w:p>
      <w:pPr>
        <w:ind w:left="1100" w:hanging="300"/>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Anand Parekh -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00853E206</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3"/>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bl>
    <w:p>
      <w:pPr>
        <w:sectPr>
          <w:pgSz w:w="11900" w:h="16900" w:orient="portrait"/>
          <w:cols w:equalWidth="0" w:num="1">
            <w:col w:w="11240"/>
          </w:cols>
          <w:pgMar w:left="320" w:top="663"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88900</wp:posOffset>
            </wp:positionV>
            <wp:extent cx="2138680" cy="74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8680" cy="74930"/>
                    </a:xfrm>
                    <a:prstGeom prst="rect">
                      <a:avLst/>
                    </a:prstGeom>
                    <a:noFill/>
                  </pic:spPr>
                </pic:pic>
              </a:graphicData>
            </a:graphic>
          </wp:anchor>
        </w:drawing>
        <w:drawing>
          <wp:anchor simplePos="0" relativeHeight="251657728" behindDoc="1" locked="0" layoutInCell="0" allowOverlap="1">
            <wp:simplePos x="0" y="0"/>
            <wp:positionH relativeFrom="page">
              <wp:posOffset>5208270</wp:posOffset>
            </wp:positionH>
            <wp:positionV relativeFrom="page">
              <wp:posOffset>88900</wp:posOffset>
            </wp:positionV>
            <wp:extent cx="2130425" cy="74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0425" cy="74930"/>
                    </a:xfrm>
                    <a:prstGeom prst="rect">
                      <a:avLst/>
                    </a:prstGeom>
                    <a:noFill/>
                  </pic:spPr>
                </pic:pic>
              </a:graphicData>
            </a:graphic>
          </wp:anchor>
        </w:drawing>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Please refer to items 5-9 of the cover pages attached hereto</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Please refer to item 11 of the cover pages attached hereto</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 Please refer to items 5-8 of the cover pages attached hereto</w:t>
      </w:r>
    </w:p>
    <w:p>
      <w:pPr>
        <w:spacing w:after="0" w:line="117" w:lineRule="exact"/>
        <w:rPr>
          <w:sz w:val="20"/>
          <w:szCs w:val="20"/>
          <w:color w:val="auto"/>
        </w:rPr>
      </w:pPr>
    </w:p>
    <w:p>
      <w:pPr>
        <w:jc w:val="both"/>
        <w:ind w:left="800" w:firstLine="360"/>
        <w:spacing w:after="0" w:line="255" w:lineRule="auto"/>
        <w:rPr>
          <w:sz w:val="20"/>
          <w:szCs w:val="20"/>
          <w:color w:val="auto"/>
        </w:rPr>
      </w:pPr>
      <w:r>
        <w:rPr>
          <w:rFonts w:ascii="Times New Roman" w:cs="Times New Roman" w:eastAsia="Times New Roman" w:hAnsi="Times New Roman"/>
          <w:sz w:val="18"/>
          <w:szCs w:val="18"/>
          <w:color w:val="auto"/>
        </w:rPr>
        <w:t>The reporting persons are the beneficial owners of 1,234,013 shares of Common Stock of the Issuer and hold warrants to purchase 2,000,000 shares of the Issuer’s Common Stock (the “Warrants”). However, per their terms, the Warrants can only be exercised into such number of shares that would constitute 9.9% of the total number of Common Stock of the Issuer outstanding immediately after giving effect to the issuance of shares of Common Stock upon exercise of this Warrant by the Holder. Accordingly, as of December 31, 2022 the reporting persons may only exercise up to 1,505,987 shares of Common Stock under the Warrant Agreement, and as such, is reporting beneficial ownership of only such number of shares. The percentage calculation assumes that there are currently 20,740,799 outstanding shares of Common Stock of the Issuer, based on the Issuer’s Proxy Statement filed with the Securities and Exchange Commission on February 6,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67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Investment Group,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Fund GP,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Anand Parekh</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Entity and Description</w:t>
      </w:r>
    </w:p>
    <w:p>
      <w:pPr>
        <w:spacing w:after="0" w:line="205"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Anand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Anand Parekh, Individually</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Investment Group,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Fund GP,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Anand Parekh</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Anand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Anand Parekh, Individually</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2023-02-14T13:05:30Z</dcterms:created>
  <dcterms:modified xsi:type="dcterms:W3CDTF">2023-02-14T13:05:30Z</dcterms:modified>
</cp:coreProperties>
</file>