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14,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incorporation or organization)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Ticker symbol(s)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on January 27, 2021, Agrify Corporation (the “Company”) entered into an Underwriting Agreement dated as of January 27, 2021 (the “Underwriting Agreement”) with Maxim Group LLC, as representative of the underwriters named therein (“Maxim”), in connection with its initial public offering. On September 14, 2021, the Company entered into a Letter Agreement and Waiver dated September 14, 2021 (the “Letter Agreement”), to amend the terms of the Underwriting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Letter Agreement, Maxim agreed to waive the right of first refusal included in the Underwriting Agreement in consideration of (i) a cash payment to Maxim of $2.4 million to be paid via wire transfer within three (3) business days of the execution of the Letter Agreement; and (ii) the right to participate as a co-manager with ten percent (10%) of the economics with respect to the Company’s next public offering of securities, payable in cash upon the closing of such offering. Except as specifically modified or amended by the terms of the Letter Agreement, the Underwriting Agreement and all provisions contained therein remain in full force and effect.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Letter Agreement is not complete and is qualified in its entirety by reference to the full text of the Letter Agreement, a copy of which is filed herewith as Exhibit 1.1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Letter Agreement and Waiver, dated September 14, 2021, by and between the registrant and Maxim Group LLC</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2"/>
          </w:tcPr>
          <w:p>
            <w:pPr>
              <w:ind w:left="2440"/>
              <w:spacing w:after="0"/>
              <w:rPr>
                <w:sz w:val="20"/>
                <w:szCs w:val="20"/>
                <w:color w:val="auto"/>
              </w:rPr>
            </w:pPr>
            <w:r>
              <w:rPr>
                <w:rFonts w:ascii="Arial" w:cs="Arial" w:eastAsia="Arial" w:hAnsi="Arial"/>
                <w:sz w:val="18"/>
                <w:szCs w:val="18"/>
                <w:b w:val="1"/>
                <w:bCs w:val="1"/>
                <w:color w:val="auto"/>
              </w:rPr>
              <w:t>AGRIFY CORPORATION</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Date: September 20, 2021</w:t>
            </w:r>
          </w:p>
        </w:tc>
        <w:tc>
          <w:tcPr>
            <w:tcW w:w="3000" w:type="dxa"/>
            <w:vAlign w:val="bottom"/>
          </w:tcPr>
          <w:p>
            <w:pPr>
              <w:ind w:left="24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Niv Krikov</w:t>
            </w:r>
          </w:p>
        </w:tc>
      </w:tr>
      <w:tr>
        <w:trPr>
          <w:trHeight w:val="202"/>
        </w:trPr>
        <w:tc>
          <w:tcPr>
            <w:tcW w:w="4320" w:type="dxa"/>
            <w:vAlign w:val="bottom"/>
          </w:tcPr>
          <w:p>
            <w:pPr>
              <w:spacing w:after="0"/>
              <w:rPr>
                <w:sz w:val="17"/>
                <w:szCs w:val="17"/>
                <w:color w:val="auto"/>
              </w:rPr>
            </w:pPr>
          </w:p>
        </w:tc>
        <w:tc>
          <w:tcPr>
            <w:tcW w:w="3000" w:type="dxa"/>
            <w:vAlign w:val="bottom"/>
          </w:tcPr>
          <w:p>
            <w:pPr>
              <w:ind w:left="24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Niv Krikov</w:t>
            </w:r>
          </w:p>
        </w:tc>
      </w:tr>
      <w:tr>
        <w:trPr>
          <w:trHeight w:val="230"/>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154305</wp:posOffset>
            </wp:positionV>
            <wp:extent cx="154305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MAIL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raymond.chang@agrify.com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Raymond Chang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Middlesex Turnpike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6, PMB 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Burlington, MA 01803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Letter Agreement and Waiver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Chang: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letter agreement (the “</w:t>
      </w:r>
      <w:r>
        <w:rPr>
          <w:rFonts w:ascii="Arial" w:cs="Arial" w:eastAsia="Arial" w:hAnsi="Arial"/>
          <w:sz w:val="18"/>
          <w:szCs w:val="18"/>
          <w:b w:val="1"/>
          <w:bCs w:val="1"/>
          <w:color w:val="auto"/>
        </w:rPr>
        <w:t>Letter Agreement</w:t>
      </w:r>
      <w:r>
        <w:rPr>
          <w:rFonts w:ascii="Arial" w:cs="Arial" w:eastAsia="Arial" w:hAnsi="Arial"/>
          <w:sz w:val="18"/>
          <w:szCs w:val="18"/>
          <w:color w:val="auto"/>
        </w:rPr>
        <w:t>”) memorializes the agreement of Maxim Group LLC (“</w:t>
      </w:r>
      <w:r>
        <w:rPr>
          <w:rFonts w:ascii="Arial" w:cs="Arial" w:eastAsia="Arial" w:hAnsi="Arial"/>
          <w:sz w:val="18"/>
          <w:szCs w:val="18"/>
          <w:b w:val="1"/>
          <w:bCs w:val="1"/>
          <w:color w:val="auto"/>
        </w:rPr>
        <w:t>Maxim</w:t>
      </w:r>
      <w:r>
        <w:rPr>
          <w:rFonts w:ascii="Arial" w:cs="Arial" w:eastAsia="Arial" w:hAnsi="Arial"/>
          <w:sz w:val="18"/>
          <w:szCs w:val="18"/>
          <w:color w:val="auto"/>
        </w:rPr>
        <w:t>”) and Agrify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to amend the terms of that certain Underwriting Agreement, dated January 27, 2021, as previously amended by that certain letter agreement, dated February 16, 2021 (collectively,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between Maxim and the Company.</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Underwriting Agreement, Maxim has a right of first refusal, for a period of twelve (12) months, to act as lead managing underwriter and bookrunner, or lead placement agent, with respect to any and all future public and private equity, equity-linked, convertible and debt offerings of the Company, or any Subsidiary of or successor to the Company, whether with or without or through an underwriter, placement agent or broker-dealer and whether pursuant to registration under the Securities Act or otherwise, subject to the Company’s right to include one or more additional co-managers for up to an aggregate of twenty percent (20%) of the economics with respect to such financing (the “</w:t>
      </w:r>
      <w:r>
        <w:rPr>
          <w:rFonts w:ascii="Arial" w:cs="Arial" w:eastAsia="Arial" w:hAnsi="Arial"/>
          <w:sz w:val="17"/>
          <w:szCs w:val="17"/>
          <w:b w:val="1"/>
          <w:bCs w:val="1"/>
          <w:color w:val="auto"/>
        </w:rPr>
        <w:t>ROFR</w:t>
      </w:r>
      <w:r>
        <w:rPr>
          <w:rFonts w:ascii="Arial" w:cs="Arial" w:eastAsia="Arial" w:hAnsi="Arial"/>
          <w:sz w:val="17"/>
          <w:szCs w:val="17"/>
          <w:color w:val="auto"/>
        </w:rPr>
        <w:t>”).</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Maxim and the Company hereby agree that Maxim shall waive the ROFR in consideration of (i) a cash payment to Maxim of $2.4 million to be paid via wire transfer within three (3) business days of the execution of this Letter Agreement; and (ii) the right to participate as a co-manager with ten percent (10%) of the economics with respect to the Company’s next public offering of securities, payable in cash upon the closing of such offering.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specifically modified or amended by the terms of this Letter Agreement, the Underwriting Agreement and all provisions contained therein are, and shall continue, in full force and effect and are hereby ratified and confirmed.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Letter Agreement may be executed in any number of separate counterparts, each of which shall be deemed an original and all of which shall be deemed to be one and the same instrument. This Letter Agreement shall be binding upon the parties and their respective successors and assigns.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FINRA &amp; SIPC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Park Ave. * New York, NY 10022 * tel (212) 895-3500 * (800) 724-0761 * fax (212) 895-3783 * www.maximgrp.com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6294755</wp:posOffset>
            </wp:positionH>
            <wp:positionV relativeFrom="page">
              <wp:posOffset>226060</wp:posOffset>
            </wp:positionV>
            <wp:extent cx="104584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22885"/>
                    </a:xfrm>
                    <a:prstGeom prst="rect">
                      <a:avLst/>
                    </a:prstGeom>
                    <a:noFill/>
                  </pic:spPr>
                </pic:pic>
              </a:graphicData>
            </a:graphic>
          </wp:anchor>
        </w:drawing>
        <w:t>September 14,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the laws of New York without regard to principles of conflict of laws.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MAXIM GROUP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Clifford Teller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Clifford Teller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4"/>
              </w:rPr>
              <w:t>Executive Managing Director, Investment Banking</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Chang</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Raymond Chang</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80" w:right="7180" w:hanging="372"/>
        <w:spacing w:after="0" w:line="342" w:lineRule="auto"/>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Mitchell Nussbaum, Esq. (mnussbaum@loeb.com) David Levine, Esq. (dlevine@loeb.com)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Members FINRA &amp; SIPC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Park Ave. * New York, NY 10022 * tel (212) 895-3500 * (800) 724-0761 * fax (212) 895-3783 * www.maximgrp.com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2021-09-20T15:36:14Z</dcterms:created>
  <dcterms:modified xsi:type="dcterms:W3CDTF">2021-09-20T15:36:14Z</dcterms:modified>
</cp:coreProperties>
</file>