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41"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RSLGH, LLC</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41"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325 WEST HURON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700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3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11/05/2024</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43" w:lineRule="exact"/>
        <w:rPr>
          <w:sz w:val="24"/>
          <w:szCs w:val="24"/>
          <w:color w:val="auto"/>
        </w:rPr>
      </w:pPr>
    </w:p>
    <w:p>
      <w:pPr>
        <w:sectPr>
          <w:pgSz w:w="11900" w:h="16838" w:orient="portrait"/>
          <w:cols w:equalWidth="0" w:num="3">
            <w:col w:w="4277" w:space="720"/>
            <w:col w:w="3003" w:space="260"/>
            <w:col w:w="2680"/>
          </w:cols>
          <w:pgMar w:left="480" w:top="230" w:right="479" w:bottom="41"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200" w:type="dxa"/>
            <w:vAlign w:val="bottom"/>
            <w:gridSpan w:val="3"/>
          </w:tcPr>
          <w:p>
            <w:pPr>
              <w:ind w:left="260"/>
              <w:spacing w:after="0"/>
              <w:rPr>
                <w:sz w:val="20"/>
                <w:szCs w:val="20"/>
                <w:color w:val="auto"/>
              </w:rPr>
            </w:pPr>
            <w:r>
              <w:rPr>
                <w:rFonts w:ascii="Arial" w:cs="Arial" w:eastAsia="Arial" w:hAnsi="Arial"/>
                <w:sz w:val="15"/>
                <w:szCs w:val="15"/>
                <w:b w:val="1"/>
                <w:bCs w:val="1"/>
                <w:color w:val="auto"/>
                <w:w w:val="97"/>
              </w:rPr>
              <w:t>3. Ownership</w:t>
            </w:r>
          </w:p>
        </w:tc>
        <w:tc>
          <w:tcPr>
            <w:tcW w:w="3020" w:type="dxa"/>
            <w:vAlign w:val="bottom"/>
            <w:gridSpan w:val="4"/>
          </w:tcPr>
          <w:p>
            <w:pPr>
              <w:ind w:left="240"/>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200" w:type="dxa"/>
            <w:vAlign w:val="bottom"/>
            <w:gridSpan w:val="3"/>
          </w:tcPr>
          <w:p>
            <w:pPr>
              <w:ind w:left="260"/>
              <w:spacing w:after="0" w:line="165" w:lineRule="exact"/>
              <w:rPr>
                <w:sz w:val="20"/>
                <w:szCs w:val="20"/>
                <w:color w:val="auto"/>
              </w:rPr>
            </w:pPr>
            <w:r>
              <w:rPr>
                <w:rFonts w:ascii="Arial" w:cs="Arial" w:eastAsia="Arial" w:hAnsi="Arial"/>
                <w:sz w:val="15"/>
                <w:szCs w:val="15"/>
                <w:b w:val="1"/>
                <w:bCs w:val="1"/>
                <w:color w:val="auto"/>
              </w:rPr>
              <w:t>Form: Direct</w:t>
            </w:r>
          </w:p>
        </w:tc>
        <w:tc>
          <w:tcPr>
            <w:tcW w:w="166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860" w:type="dxa"/>
            <w:vAlign w:val="bottom"/>
            <w:gridSpan w:val="4"/>
          </w:tcPr>
          <w:p>
            <w:pPr>
              <w:ind w:left="260"/>
              <w:spacing w:after="0" w:line="165" w:lineRule="exact"/>
              <w:rPr>
                <w:sz w:val="20"/>
                <w:szCs w:val="20"/>
                <w:color w:val="auto"/>
              </w:rPr>
            </w:pPr>
            <w:r>
              <w:rPr>
                <w:rFonts w:ascii="Arial" w:cs="Arial" w:eastAsia="Arial" w:hAnsi="Arial"/>
                <w:sz w:val="15"/>
                <w:szCs w:val="15"/>
                <w:b w:val="1"/>
                <w:bCs w:val="1"/>
                <w:color w:val="auto"/>
              </w:rPr>
              <w:t>(D) or Indirect</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Arial" w:cs="Arial" w:eastAsia="Arial" w:hAnsi="Arial"/>
                <w:sz w:val="15"/>
                <w:szCs w:val="15"/>
                <w:b w:val="1"/>
                <w:bCs w:val="1"/>
                <w:color w:val="auto"/>
              </w:rPr>
              <w:t>(I) (Instr. 5)</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666,661</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gridSpan w:val="2"/>
          </w:tcPr>
          <w:p>
            <w:pPr>
              <w:ind w:left="640"/>
              <w:spacing w:after="0" w:line="359" w:lineRule="exact"/>
              <w:rPr>
                <w:sz w:val="20"/>
                <w:szCs w:val="20"/>
                <w:color w:val="auto"/>
              </w:rPr>
            </w:pPr>
            <w:r>
              <w:rPr>
                <w:rFonts w:ascii="Times New Roman" w:cs="Times New Roman" w:eastAsia="Times New Roman" w:hAnsi="Times New Roman"/>
                <w:sz w:val="39"/>
                <w:szCs w:val="39"/>
                <w:color w:val="0000FF"/>
                <w:w w:val="82"/>
                <w:vertAlign w:val="subscript"/>
              </w:rPr>
              <w:t>D</w:t>
            </w:r>
            <w:r>
              <w:rPr>
                <w:rFonts w:ascii="Times New Roman" w:cs="Times New Roman" w:eastAsia="Times New Roman" w:hAnsi="Times New Roman"/>
                <w:sz w:val="13"/>
                <w:szCs w:val="13"/>
                <w:color w:val="008000"/>
                <w:w w:val="82"/>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8"/>
          </w:tcPr>
          <w:p>
            <w:pPr>
              <w:ind w:left="260"/>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6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080" w:type="dxa"/>
            <w:vAlign w:val="bottom"/>
            <w:gridSpan w:val="11"/>
          </w:tcPr>
          <w:p>
            <w:pPr>
              <w:ind w:left="128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60" w:type="dxa"/>
            <w:vAlign w:val="bottom"/>
          </w:tcPr>
          <w:p>
            <w:pPr>
              <w:spacing w:after="0"/>
              <w:rPr>
                <w:sz w:val="18"/>
                <w:szCs w:val="18"/>
                <w:color w:val="auto"/>
              </w:rPr>
            </w:pPr>
          </w:p>
        </w:tc>
        <w:tc>
          <w:tcPr>
            <w:tcW w:w="194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vMerge w:val="continue"/>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w w:val="96"/>
              </w:rPr>
              <w:t>Pre-Funded 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5,069,162</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0.015</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w w:val="96"/>
              </w:rPr>
              <w:t>Pre-Funded 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1,085,123</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0.015</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5"/>
              </w:rPr>
              <w:t>02/28/2023</w:t>
            </w:r>
            <w:r>
              <w:rPr>
                <w:rFonts w:ascii="Times New Roman" w:cs="Times New Roman" w:eastAsia="Times New Roman" w:hAnsi="Times New Roman"/>
                <w:sz w:val="25"/>
                <w:szCs w:val="25"/>
                <w:color w:val="008000"/>
                <w:w w:val="95"/>
                <w:vertAlign w:val="superscript"/>
              </w:rPr>
              <w:t>(4)</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3"/>
              </w:rPr>
              <w:t>02/28/2028</w:t>
            </w:r>
            <w:r>
              <w:rPr>
                <w:rFonts w:ascii="Times New Roman" w:cs="Times New Roman" w:eastAsia="Times New Roman" w:hAnsi="Times New Roman"/>
                <w:sz w:val="25"/>
                <w:szCs w:val="25"/>
                <w:color w:val="008000"/>
                <w:w w:val="93"/>
                <w:vertAlign w:val="superscript"/>
              </w:rPr>
              <w:t>(4)</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15,385</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20"/>
                <w:szCs w:val="20"/>
                <w:color w:val="0000FF"/>
                <w:w w:val="97"/>
              </w:rPr>
              <w:t>2.11</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9"/>
              </w:rPr>
              <w:t>09/18/2020</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09/18/2025</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22</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20"/>
                <w:szCs w:val="20"/>
                <w:color w:val="0000FF"/>
                <w:w w:val="89"/>
              </w:rPr>
              <w:t>60</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5"/>
              </w:rPr>
              <w:t>07/28/2022</w:t>
            </w:r>
            <w:r>
              <w:rPr>
                <w:rFonts w:ascii="Times New Roman" w:cs="Times New Roman" w:eastAsia="Times New Roman" w:hAnsi="Times New Roman"/>
                <w:sz w:val="25"/>
                <w:szCs w:val="25"/>
                <w:color w:val="008000"/>
                <w:w w:val="95"/>
                <w:vertAlign w:val="superscript"/>
              </w:rPr>
              <w:t>(4)</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3"/>
              </w:rPr>
              <w:t>07/28/2027</w:t>
            </w:r>
            <w:r>
              <w:rPr>
                <w:rFonts w:ascii="Times New Roman" w:cs="Times New Roman" w:eastAsia="Times New Roman" w:hAnsi="Times New Roman"/>
                <w:sz w:val="25"/>
                <w:szCs w:val="25"/>
                <w:color w:val="008000"/>
                <w:w w:val="93"/>
                <w:vertAlign w:val="superscript"/>
              </w:rPr>
              <w:t>(4)</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10</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8"/>
              </w:rPr>
              <w:t>22,440</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Employee Stock options (right to</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9"/>
                <w:szCs w:val="39"/>
                <w:color w:val="0000FF"/>
                <w:w w:val="85"/>
                <w:vertAlign w:val="subscript"/>
              </w:rPr>
              <w:t>0</w:t>
            </w:r>
            <w:r>
              <w:rPr>
                <w:rFonts w:ascii="Times New Roman" w:cs="Times New Roman" w:eastAsia="Times New Roman" w:hAnsi="Times New Roman"/>
                <w:sz w:val="13"/>
                <w:szCs w:val="13"/>
                <w:color w:val="008000"/>
                <w:w w:val="85"/>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vMerge w:val="restart"/>
          </w:tcPr>
          <w:p>
            <w:pPr>
              <w:jc w:val="center"/>
              <w:ind w:right="238"/>
              <w:spacing w:after="0"/>
              <w:rPr>
                <w:sz w:val="20"/>
                <w:szCs w:val="20"/>
                <w:color w:val="auto"/>
              </w:rPr>
            </w:pPr>
            <w:r>
              <w:rPr>
                <w:rFonts w:ascii="Times New Roman" w:cs="Times New Roman" w:eastAsia="Times New Roman" w:hAnsi="Times New Roman"/>
                <w:sz w:val="39"/>
                <w:szCs w:val="39"/>
                <w:color w:val="0000FF"/>
                <w:w w:val="92"/>
                <w:vertAlign w:val="subscript"/>
              </w:rPr>
              <w:t>0</w:t>
            </w:r>
            <w:r>
              <w:rPr>
                <w:rFonts w:ascii="Times New Roman" w:cs="Times New Roman" w:eastAsia="Times New Roman" w:hAnsi="Times New Roman"/>
                <w:sz w:val="13"/>
                <w:szCs w:val="13"/>
                <w:color w:val="008000"/>
                <w:w w:val="92"/>
              </w:rPr>
              <w:t>(5)</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Convertible Note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6,333,122</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3.158</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6"/>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RSLGH, LLC</w:t>
              </w:r>
            </w:hyperlink>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325 WEST HURON STREET,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SUITE 700</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IL</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60654</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2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41"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3">
        <w:r>
          <w:rPr>
            <w:rFonts w:ascii="Times New Roman" w:cs="Times New Roman" w:eastAsia="Times New Roman" w:hAnsi="Times New Roman"/>
            <w:sz w:val="23"/>
            <w:szCs w:val="23"/>
            <w:u w:val="single" w:color="auto"/>
            <w:color w:val="0000EE"/>
          </w:rPr>
          <w:t>Green Thumb Industries Inc.</w:t>
        </w:r>
      </w:hyperlink>
    </w:p>
    <w:p>
      <w:pPr>
        <w:sectPr>
          <w:pgSz w:w="11900" w:h="16838" w:orient="portrait"/>
          <w:cols w:equalWidth="0" w:num="1">
            <w:col w:w="10940"/>
          </w:cols>
          <w:pgMar w:left="480" w:top="230" w:right="479" w:bottom="41"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240"/>
              <w:spacing w:after="0"/>
              <w:rPr>
                <w:sz w:val="20"/>
                <w:szCs w:val="20"/>
                <w:color w:val="auto"/>
              </w:rPr>
            </w:pPr>
            <w:r>
              <w:rPr>
                <w:rFonts w:ascii="Arial" w:cs="Arial" w:eastAsia="Arial" w:hAnsi="Arial"/>
                <w:sz w:val="15"/>
                <w:szCs w:val="15"/>
                <w:color w:val="auto"/>
              </w:rPr>
              <w:t>(First)</w:t>
            </w:r>
          </w:p>
        </w:tc>
        <w:tc>
          <w:tcPr>
            <w:tcW w:w="152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325 WEST HURON STREET,</w:t>
            </w:r>
          </w:p>
        </w:tc>
        <w:tc>
          <w:tcPr>
            <w:tcW w:w="15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700</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r>
      <w:tr>
        <w:trPr>
          <w:trHeight w:val="303"/>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CHICAGO</w:t>
            </w:r>
          </w:p>
        </w:tc>
        <w:tc>
          <w:tcPr>
            <w:tcW w:w="14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IL</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60654</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240"/>
              <w:spacing w:after="0"/>
              <w:rPr>
                <w:sz w:val="20"/>
                <w:szCs w:val="20"/>
                <w:color w:val="auto"/>
              </w:rPr>
            </w:pPr>
            <w:r>
              <w:rPr>
                <w:rFonts w:ascii="Arial" w:cs="Arial" w:eastAsia="Arial" w:hAnsi="Arial"/>
                <w:sz w:val="15"/>
                <w:szCs w:val="15"/>
                <w:color w:val="auto"/>
              </w:rPr>
              <w:t>(State)</w:t>
            </w:r>
          </w:p>
        </w:tc>
        <w:tc>
          <w:tcPr>
            <w:tcW w:w="152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-1335405</wp:posOffset>
            </wp:positionV>
            <wp:extent cx="2798445" cy="1423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42303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amendment to the Form 3 filed on 11/05/2025 (the "Original Form"), is being filed to amend the Original Form's (i) inclusion of 22,783 shares of Common Stock (the "Award Stock") issuable upon vesting and settlement of RSUs held by Raymond Chang, the former CEO of the Issuer granted to Mr. Chang, and (ii) inclusion of 675 shares of Common Stock that had been included due to an administrative error. On November 5, 2024, RSLGH, LLC ("Investor") purchased securities of the Issuer from Mr. Chang, certain of his affiliated parties, and I-Tseng Jenny Chan, a former member of the Issuer's Board of Directors (the "Purchase Agreement"). Mr. Chang was required to (i) to promptly transfer the Award Stock to Investor upon receipt; and (ii) to not transfer any of the Award Stock except to Investor. Subsequently, it was determined that 22,783 RSUs had been forfeited by Mr. Chang upon execution of the Purchase Agreement, and as a result, no interest in these shares transferred to the Investor.</w:t>
      </w:r>
    </w:p>
    <w:p>
      <w:pPr>
        <w:spacing w:after="0" w:line="32" w:lineRule="exact"/>
        <w:rPr>
          <w:rFonts w:ascii="Times New Roman" w:cs="Times New Roman" w:eastAsia="Times New Roman" w:hAnsi="Times New Roman"/>
          <w:sz w:val="15"/>
          <w:szCs w:val="15"/>
          <w:color w:val="008000"/>
        </w:rPr>
      </w:pPr>
    </w:p>
    <w:p>
      <w:pPr>
        <w:jc w:val="both"/>
        <w:ind w:right="6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Investor is the direct beneficial owner of the Securities. Investor is an indirectly wholly-owned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Core Growth, LLC. Core Growth, LLC is the sole member of Investor.</w:t>
      </w:r>
    </w:p>
    <w:p>
      <w:pPr>
        <w:spacing w:after="0" w:line="29" w:lineRule="exact"/>
        <w:rPr>
          <w:rFonts w:ascii="Times New Roman" w:cs="Times New Roman" w:eastAsia="Times New Roman" w:hAnsi="Times New Roman"/>
          <w:sz w:val="15"/>
          <w:szCs w:val="15"/>
          <w:color w:val="008000"/>
        </w:rPr>
      </w:pPr>
    </w:p>
    <w:p>
      <w:pPr>
        <w:ind w:right="10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November 5, 2024, pursuant to the Purchase Agreement, each of GIC Acquisition, LLC, RTC3 2020 Irrevocable Family Trust, Chinwei Wang, Mr. Chang, and CP Acquisitions, LLC, an entity affiliated with and controlled by Mr. Chang and by I-Tseng Jenny Chan, sol\d or otherwise disposed of all of its pre-funded warrants and derivative securities in the Issuer to Investor. Each pre-funded warrant may be exercised for one share of common stock. The pre-funded warrants are exercisable at any tie and do not expire, and are subject to a 49.99% ownership limitation.</w:t>
      </w:r>
    </w:p>
    <w:p>
      <w:pPr>
        <w:spacing w:after="0" w:line="33" w:lineRule="exact"/>
        <w:rPr>
          <w:rFonts w:ascii="Times New Roman" w:cs="Times New Roman" w:eastAsia="Times New Roman" w:hAnsi="Times New Roman"/>
          <w:sz w:val="15"/>
          <w:szCs w:val="15"/>
          <w:color w:val="008000"/>
        </w:rPr>
      </w:pPr>
    </w:p>
    <w:p>
      <w:pPr>
        <w:jc w:val="both"/>
        <w:ind w:right="50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warrant will be exercisable during the period beginning on the date when approval for such exercise is obtained from the Issuer's stockholders and ending five years thereafter, at a current adjusted exercise price of $2.11, and subject to further adjustment as provided under the warrant agreement, and the reverse stock splits of the Issuer's Common Stock effective on July 5, 2023 and October 4, 2024.</w:t>
      </w:r>
    </w:p>
    <w:p>
      <w:pPr>
        <w:spacing w:after="0" w:line="29" w:lineRule="exact"/>
        <w:rPr>
          <w:rFonts w:ascii="Times New Roman" w:cs="Times New Roman" w:eastAsia="Times New Roman" w:hAnsi="Times New Roman"/>
          <w:sz w:val="15"/>
          <w:szCs w:val="15"/>
          <w:color w:val="008000"/>
        </w:rPr>
      </w:pPr>
    </w:p>
    <w:p>
      <w:pPr>
        <w:ind w:right="12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amendment to the Original Form is also being filed to amend the Original Form's inclusion of Stock Options (the "Award Options") to buy 423 shares of Common Stock held by Mr. Chang, at a purchase price of $14,580 per share for 88 shares; $6,840 per share for 118 shares, and $41,520 for 217 shares. Upon exercise, Mr. Chang is required to (i) to promptly transfer the Common Stock underlying the Award Options to Investor; (ii) to not transfer any of the Common Stock underlying the Award Options except to Investor, and (iii) to not exercise any Award Options unless in connection with transferring the underlying Common Stock to Investor with the consent of Investor. Subsequently, it was determined that the Award Options had been forfeited by Mr. Chang upon execution of the Purchase Agreement, and as a result, no interest in the Award Options transferred to the Investor.</w:t>
      </w:r>
    </w:p>
    <w:p>
      <w:pPr>
        <w:spacing w:after="0" w:line="32" w:lineRule="exact"/>
        <w:rPr>
          <w:rFonts w:ascii="Times New Roman" w:cs="Times New Roman" w:eastAsia="Times New Roman" w:hAnsi="Times New Roman"/>
          <w:sz w:val="15"/>
          <w:szCs w:val="15"/>
          <w:color w:val="008000"/>
        </w:rPr>
      </w:pPr>
    </w:p>
    <w:p>
      <w:pPr>
        <w:ind w:right="6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conversion of the Convertible Note is subject to certain customary conditions and the receipt of stockholder approval to the extent necessary under applicable listing rules of The Nasdaq Stock Market, Inc. Shareholder approval has not yet been obtained.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Bret Kravitz, Corporate</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12/16/2024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Secretary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20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0" Type="http://schemas.openxmlformats.org/officeDocument/2006/relationships/hyperlink" Target="http://www.sec.gov/cgi-bin/browse-edgar?action=getcompany&amp;CIK=0002043397" TargetMode="External"/><Relationship Id="rId11" Type="http://schemas.openxmlformats.org/officeDocument/2006/relationships/hyperlink" Target="http://www.sec.gov/cgi-bin/browse-edgar?action=getcompany&amp;CIK=0001800637" TargetMode="External"/><Relationship Id="rId13"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2024-12-16T06:43:32Z</dcterms:created>
  <dcterms:modified xsi:type="dcterms:W3CDTF">2024-12-16T06:43:32Z</dcterms:modified>
</cp:coreProperties>
</file>