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Varier Krishnan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Agrify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AGFY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617"/>
        <w:spacing w:after="0" w:line="3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101 MIDDLESEX TURNPIKE, SUITE 6, PMB 326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BURLINGTON MA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01803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2172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7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3"/>
              </w:rPr>
              <w:t>07/20/2030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3,161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2.28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3"/>
              </w:rPr>
              <w:t>08/10/2030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2,086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2.28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3"/>
              </w:rPr>
              <w:t>10/19/2030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35,873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4.86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-894715</wp:posOffset>
            </wp:positionV>
            <wp:extent cx="6927850" cy="7435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 w:right="46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25% of the options will vest on 7/20/21 and the balance vests in 36 equal monthly installments thereafter. This stock option grant provides that 50% of shares are subject to accelerated for vesting in the event of a change of control transaction or an initial public offering.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25% of the options will vest on 8/10/21 and the balance vests in 36 equal monthly installments thereafter.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60" w:firstLine="5"/>
        <w:spacing w:after="0" w:line="329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vest on 10/19/21 and the balance vests in 36 equal monthly installments thereafter. This stock option grant provides for accelerated vesting in the event of a change of control transaction or an initial public offering under which 50% of such options (assuming none have previously vested) will vest immediately prior to such event.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Krishnan Varier</w:t>
            </w:r>
          </w:p>
        </w:tc>
        <w:tc>
          <w:tcPr>
            <w:tcW w:w="9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0" Type="http://schemas.openxmlformats.org/officeDocument/2006/relationships/hyperlink" Target="http://www.sec.gov/cgi-bin/browse-edgar?action=getcompany&amp;CIK=0001834250" TargetMode="External"/><Relationship Id="rId11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2021-01-27T20:03:31Z</dcterms:created>
  <dcterms:modified xsi:type="dcterms:W3CDTF">2021-01-27T20:03:31Z</dcterms:modified>
</cp:coreProperties>
</file>