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Holtzman Max</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AGRIFY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2468 INDUSTRIAL ROW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TROY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48084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Agrify Corp</w:t>
              </w:r>
            </w:hyperlink>
            <w:r>
              <w:rPr/>
              <w:t xml:space="preserve"> [ </w:t>
            </w:r>
            <w:r>
              <w:rPr>
                <w:rFonts w:ascii="Times;serif" w:hAnsi="Times;serif"/>
                <w:color w:val="0000FF"/>
                <w:sz w:val="24"/>
                <w:shd w:fill="FFFFFF" w:val="clear"/>
              </w:rPr>
              <w:t>AGFY</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04/24/2024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04/24/2024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53,527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53,527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53,527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restricted stock units under the Agrify Corporation 2022 Omnibus Equity Incentive Plan (the "Plan"). The restricted stock units were granted in lieu of cash compensation that would otherwise be owed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the right to receive, at settlement, one share of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100% of the restricted stock unit will vest on April 24, 2025, subject to obtaining shareholder approval for an increase in shares available under the Plan sufficient to grant the units, and subject to the reporting person's continuous service through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Max Holtzman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04/26/2024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38929" TargetMode="External"/><Relationship Id="rId4" Type="http://schemas.openxmlformats.org/officeDocument/2006/relationships/hyperlink" Target="http://www.sec.gov/cgi-bin/browse-edgar?action=getcompany&amp;CIK=000180063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659</Words>
  <Characters>3568</Characters>
  <CharactersWithSpaces>4163</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