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16,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66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001-39946</w:t>
            </w:r>
          </w:p>
        </w:tc>
        <w:tc>
          <w:tcPr>
            <w:tcW w:w="6580" w:type="dxa"/>
            <w:vAlign w:val="bottom"/>
            <w:gridSpan w:val="3"/>
          </w:tcPr>
          <w:p>
            <w:pPr>
              <w:jc w:val="right"/>
              <w:ind w:right="2230"/>
              <w:spacing w:after="0"/>
              <w:rPr>
                <w:sz w:val="20"/>
                <w:szCs w:val="20"/>
                <w:color w:val="auto"/>
              </w:rPr>
            </w:pPr>
            <w:r>
              <w:rPr>
                <w:rFonts w:ascii="Arial" w:cs="Arial" w:eastAsia="Arial" w:hAnsi="Arial"/>
                <w:sz w:val="18"/>
                <w:szCs w:val="18"/>
                <w:b w:val="1"/>
                <w:bCs w:val="1"/>
                <w:color w:val="auto"/>
              </w:rPr>
              <w:t>30-0943453</w:t>
            </w:r>
          </w:p>
        </w:tc>
      </w:tr>
      <w:tr>
        <w:trPr>
          <w:trHeight w:val="230"/>
        </w:trPr>
        <w:tc>
          <w:tcPr>
            <w:tcW w:w="4660" w:type="dxa"/>
            <w:vAlign w:val="bottom"/>
            <w:tcBorders>
              <w:top w:val="single" w:sz="8" w:color="auto"/>
            </w:tcBorders>
          </w:tcPr>
          <w:p>
            <w:pPr>
              <w:jc w:val="center"/>
              <w:ind w:left="890"/>
              <w:spacing w:after="0"/>
              <w:rPr>
                <w:sz w:val="20"/>
                <w:szCs w:val="20"/>
                <w:color w:val="auto"/>
              </w:rPr>
            </w:pPr>
            <w:r>
              <w:rPr>
                <w:rFonts w:ascii="Arial" w:cs="Arial" w:eastAsia="Arial" w:hAnsi="Arial"/>
                <w:sz w:val="18"/>
                <w:szCs w:val="18"/>
                <w:color w:val="auto"/>
                <w:w w:val="93"/>
              </w:rPr>
              <w:t>(Commission File Number)</w:t>
            </w: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46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76 Treble Cove Rd.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6"/>
        </w:trPr>
        <w:tc>
          <w:tcPr>
            <w:tcW w:w="46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Building 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41"/>
        </w:trPr>
        <w:tc>
          <w:tcPr>
            <w:tcW w:w="4660" w:type="dxa"/>
            <w:vAlign w:val="bottom"/>
          </w:tcPr>
          <w:p>
            <w:pPr>
              <w:jc w:val="center"/>
              <w:ind w:left="890"/>
              <w:spacing w:after="0"/>
              <w:rPr>
                <w:sz w:val="20"/>
                <w:szCs w:val="20"/>
                <w:color w:val="auto"/>
              </w:rPr>
            </w:pPr>
            <w:r>
              <w:rPr>
                <w:rFonts w:ascii="Arial" w:cs="Arial" w:eastAsia="Arial" w:hAnsi="Arial"/>
                <w:sz w:val="18"/>
                <w:szCs w:val="18"/>
                <w:b w:val="1"/>
                <w:bCs w:val="1"/>
                <w:color w:val="auto"/>
                <w:w w:val="96"/>
              </w:rPr>
              <w:t>Billerica, MA</w:t>
            </w:r>
          </w:p>
        </w:tc>
        <w:tc>
          <w:tcPr>
            <w:tcW w:w="6580" w:type="dxa"/>
            <w:vAlign w:val="bottom"/>
            <w:gridSpan w:val="3"/>
          </w:tcPr>
          <w:p>
            <w:pPr>
              <w:jc w:val="right"/>
              <w:ind w:right="2430"/>
              <w:spacing w:after="0"/>
              <w:rPr>
                <w:sz w:val="20"/>
                <w:szCs w:val="20"/>
                <w:color w:val="auto"/>
              </w:rPr>
            </w:pPr>
            <w:r>
              <w:rPr>
                <w:rFonts w:ascii="Arial" w:cs="Arial" w:eastAsia="Arial" w:hAnsi="Arial"/>
                <w:sz w:val="18"/>
                <w:szCs w:val="18"/>
                <w:b w:val="1"/>
                <w:bCs w:val="1"/>
                <w:color w:val="auto"/>
              </w:rPr>
              <w:t>01862</w:t>
            </w:r>
          </w:p>
        </w:tc>
      </w:tr>
      <w:tr>
        <w:trPr>
          <w:trHeight w:val="230"/>
        </w:trPr>
        <w:tc>
          <w:tcPr>
            <w:tcW w:w="4660" w:type="dxa"/>
            <w:vAlign w:val="bottom"/>
            <w:tcBorders>
              <w:top w:val="single" w:sz="8" w:color="auto"/>
            </w:tcBorders>
          </w:tcPr>
          <w:p>
            <w:pPr>
              <w:jc w:val="center"/>
              <w:ind w:left="910"/>
              <w:spacing w:after="0"/>
              <w:rPr>
                <w:sz w:val="20"/>
                <w:szCs w:val="20"/>
                <w:color w:val="auto"/>
              </w:rPr>
            </w:pPr>
            <w:r>
              <w:rPr>
                <w:rFonts w:ascii="Arial" w:cs="Arial" w:eastAsia="Arial" w:hAnsi="Arial"/>
                <w:sz w:val="18"/>
                <w:szCs w:val="18"/>
                <w:color w:val="auto"/>
                <w:w w:val="92"/>
              </w:rPr>
              <w:t>(Address of principal executive offices)</w:t>
            </w: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4660" w:type="dxa"/>
            <w:vAlign w:val="bottom"/>
          </w:tcPr>
          <w:p>
            <w:pPr>
              <w:spacing w:after="0"/>
              <w:rPr>
                <w:sz w:val="24"/>
                <w:szCs w:val="24"/>
                <w:color w:val="auto"/>
              </w:rPr>
            </w:pPr>
          </w:p>
        </w:tc>
        <w:tc>
          <w:tcPr>
            <w:tcW w:w="6580" w:type="dxa"/>
            <w:vAlign w:val="bottom"/>
            <w:gridSpan w:val="3"/>
          </w:tcPr>
          <w:p>
            <w:pPr>
              <w:jc w:val="right"/>
              <w:ind w:right="4970"/>
              <w:spacing w:after="0"/>
              <w:rPr>
                <w:sz w:val="20"/>
                <w:szCs w:val="20"/>
                <w:color w:val="auto"/>
              </w:rPr>
            </w:pPr>
            <w:r>
              <w:rPr>
                <w:rFonts w:ascii="Arial" w:cs="Arial" w:eastAsia="Arial" w:hAnsi="Arial"/>
                <w:sz w:val="18"/>
                <w:szCs w:val="18"/>
                <w:b w:val="1"/>
                <w:bCs w:val="1"/>
                <w:color w:val="auto"/>
              </w:rPr>
              <w:t>(617) 896-5243</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34"/>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6"/>
        </w:trPr>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AGFY</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in the two Current Reports on Form 8-K filed by Agrify Corporation (the “Company”) on April 24, 2023 (the “April Nasdaq Notice”) and May 23, 2023 (the “May Nasdaq Notice”), the Company received notices from The Nasdaq Stock Market LLC (“Nasdaq”) stating that because the Company had not yet filed its Annual Report on Form 10-K for the fiscal year ended December 31, 2022 (the “Form 10-K”) and the Quarterly Report on Form 10-Q for the fiscal quarter ended March 31, 2023 (the “First Quarter Form 10-Q”), respectively, the Company is no longer in compliance with Nasdaq Listing Rule 5250(c)(1). Nasdaq Listing Rule 5250(c)(1) requires listed companies to timely file all required periodic financial reports with the Securities and Exchange Commission.</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16, 2023, the Company received a third notice from Nasdaq that the Company remains noncompliant with the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 As disclosed in the Current Report on Form 8-K filed by the Company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disclosed by the Company on its Notification of Late Filing on Form 12b-25 filed with the SEC on March 31, 2023, the Company was unable to timely file the Form 10-K and the First Quarter Form 10-Q without unreasonable effort or expense.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August Nasdaq Notice noted that Nasdaq has previously granted the Company an exception until September 30, 2023, to file its Form 10-K (the “Initial Delinquent Filing”) and First Quarter Form 10-Q. The August Nasdaq Notice also requires the Company to update its original plan to regain compliance with the filing requirement, including the Company’s plans to file the Second Quarter Form 10-Q, and indicate the progress the Company has made towards implementing the plan submitted in connection with the Initial Delinquent Filing. The Nasdaq Notices have no immediate effect on the listing of the Company’s common stock on The Nasdaq Stock Market LLC.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21, 2023, the Company issued a press release disclosing the receipt of the August Nasdaq Notice referenced above. A copy of the press release is furnished as Exhibit 99.1 to this Current Report on Form 8-K and is incorporated herein by reference.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herein, including Exhibit 99.1, is not deemed to be “filed” for purposes of Section 18 of the Exchange Act, or otherwise subject to the liability of that section. This information will not be deemed to be incorporated by reference into any filing under the Securities Act or the Exchange Act, except to the extent that the registrant specifically incorporates them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of the Company, dated as of August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5580" w:right="428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Nobu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21,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Agrify Receives Nasdaq Notification of Non-Compliance with Listing Rule 5250(c)(1)</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BILLERICA, Mass., August 21, 2023 (GLOBE NEWSWIRE) -- Agrify Corporation (Nasdaq: AGFY) (“Agrify” or the “Company”), a leading provider of innovative cultivation and extraction solutions for the cannabis industry, today announced that on August 16, 2023, it received a letter from the Listing Qualifications Department of the Nasdaq Stock Market LLC (“Nasdaq”) notifying Agrify that it was not in compliance with requirements of Nasdaq Listing Rule 5250(c)(1) as a result of not having timely filed its Quarterly Report on Form 10-Q for the fiscal quarter ended June 30, 2023, with the Securities and Exchange Commission (“SEC”).</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notification has no immediate effect on the listing of Agrify’s common stock on the Nasdaq. However, if Agrify fails to timely regain compliance with the Nasdaq Listing Rule, Agrify’s common stock will be subject to delisting from Nasdaq.</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disclosed in the Current Report on Form 8-K filed by the Company on April 17, 2023, Agrify’s audit committee concluded that, as a result of errors in the accounting for warrants previously issued by Agrify, it is appropriate to restate Agrify’s previously issued unaudited condensed consolidated financial statements as of and for the fiscal periods ended March 31, 2022, June 30, 2022 and September 30, 2022 in amended quarterly reports for the affected periods. Given the scope of the process for preparing the amended quarterly reports, Agrify was unable to complete and file the Form 10-K for the fiscal year ended December 31, 2022 and the Form 10-Q for the fiscal quarter ended March 31, 2023 by their respective due dates.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Nasdaq has previously granted the Company an exception until September 30, 2023, to file its Form 10-K for the fiscal year ended December 31, 2022 and Form 10-Q for the fiscal quarter ended March 31, 2023. Nasdaq requires the Company to update its original plan to regain compliance with the filing requirement, including the Company’s plans to file the Form 10-Q for the fiscal quarter ended June 30, 2023, and indicate the progress the Company has made towards implementing the plan submitted in connection with the Form 10-K for the fiscal year ended December 31, 2022.</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working diligently and expects to file its Form 10-Q within the prescribed period, which would eliminate the need for the Company to submit a formal plan to regain compliance.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Agrify (Nasdaq: AGFY)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Agrify is a leading provider of innovative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http://www.agrify.com.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the timing and filing of the amended Quarterly Reports on Form 10-Q and the delayed Annual Report on Form 10-K and Quarterly Reports on Form 10-Q and Agrify’s ability to regain compliance with applicable Nasdaq rules.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Agrify has based these forward-looking statements largely on its current expectations and projections about future events and financial trends that it believes may affect its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Agrify’s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and Media Inquiries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Caitlin Moakley Bricker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of Staff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caitlin.moakley@agrify.com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733-0584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2023-08-21T06:09:05Z</dcterms:created>
  <dcterms:modified xsi:type="dcterms:W3CDTF">2023-08-21T06:09:05Z</dcterms:modified>
</cp:coreProperties>
</file>