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0"/>
              </w:rPr>
              <w:t>Pursuant to Section 13 OR 15(d)</w:t>
            </w:r>
          </w:p>
        </w:tc>
        <w:tc>
          <w:tcPr>
            <w:tcW w:w="318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9"/>
              </w:rPr>
              <w:t>of The Securities Exchange Act of 1934</w:t>
            </w:r>
          </w:p>
        </w:tc>
        <w:tc>
          <w:tcPr>
            <w:tcW w:w="3180" w:type="dxa"/>
            <w:vAlign w:val="bottom"/>
          </w:tcPr>
          <w:p>
            <w:pPr>
              <w:spacing w:after="0"/>
              <w:rPr>
                <w:sz w:val="20"/>
                <w:szCs w:val="20"/>
                <w:color w:val="auto"/>
              </w:rPr>
            </w:pPr>
          </w:p>
        </w:tc>
      </w:tr>
      <w:tr>
        <w:trPr>
          <w:trHeight w:val="432"/>
        </w:trPr>
        <w:tc>
          <w:tcPr>
            <w:tcW w:w="8060" w:type="dxa"/>
            <w:vAlign w:val="bottom"/>
            <w:gridSpan w:val="7"/>
          </w:tcPr>
          <w:p>
            <w:pPr>
              <w:jc w:val="center"/>
              <w:ind w:left="309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January 19, 2023</w:t>
            </w:r>
          </w:p>
        </w:tc>
        <w:tc>
          <w:tcPr>
            <w:tcW w:w="3180" w:type="dxa"/>
            <w:vAlign w:val="bottom"/>
          </w:tcPr>
          <w:p>
            <w:pPr>
              <w:spacing w:after="0"/>
              <w:rPr>
                <w:sz w:val="24"/>
                <w:szCs w:val="24"/>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AGRIFY CORPORATION</w:t>
            </w:r>
          </w:p>
        </w:tc>
        <w:tc>
          <w:tcPr>
            <w:tcW w:w="318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52"/>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82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0"/>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362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1"/>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3"/>
              </w:rPr>
              <w:t>Billerica, MA 01862</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3180" w:type="dxa"/>
            <w:vAlign w:val="bottom"/>
          </w:tcPr>
          <w:p>
            <w:pPr>
              <w:jc w:val="center"/>
              <w:ind w:right="223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19, 2023, Agrify Corporation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Notice has no immediate effect on the listing of the Company’s common stock on Nasdaq. In accordance with Nasdaq Listing Rule 5810(c)(3)(A), the Company has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The compliance period for the Company will expire on July 18, 2023.</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that the Company does not regain compliance within the 180-day compliance period, the Company may be eligible for an additional 180 calendar day compliance period. To qualify, the Company would need to meet the continued listing requirement for market value of publicly held shares and all other initial listing standards for Nasdaq, with the exception of the Minimum Bid Requirement, and provide written notice to the Staff of its intention to cure the deficiency during the second compliance period. However, if it appears to the Staff that the Company will not be able to cure the deficiency, or if the Company does not meet the other listing standards, the Staff could provide notice that the Company’s common stock will become subject to delisting. In the event the Company receives notice that its common stock is being delisted, the Nasdaq Listing Rules permit the Company to appeal any such delisting determination by the Staff to a Hearings Panel.</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assurance that the Company will be able to regain compliance with the Minimum Bid Requirement or that the Company will otherwise remain in compliance with the other listing standards for the Nasdaq Stock Market.</w:t>
      </w:r>
    </w:p>
    <w:p>
      <w:pPr>
        <w:spacing w:after="0" w:line="166"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23, 2023, the Company’s Board of Directors appointed Timothy Hayden as the Company’s Interim Chief Financial Officer, and Mr. Hayden will assume the role of the Company’s principal financial and accounting officer, in each case effective as of March 1, 2023.</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Hayden, age 44, served as the Company’s Senior Vice President of Corporate Development since July 2022, and his role later expanded to become Chief Revenue Officer. During his career, Mr. Hayden, who is a Certified Public Accountant and Chartered Accountant in Ontario, Canada, has amassed 20 years of broad experience across corporate finance, business development, operations, and M&amp;A. Prior to joining Agrify, Mr. Hayden served in several roles at Vivo Cannabis Inc., a Canadian licensed cannabis producer, serving as Vice President of Corporate Development from August 2019 to August 2020, Chief Business Development Officer from August 2020 to November 2020 and Chief Operating Officer from November 2020 to May 2022. From January 2017 to August 2019, Mr. Hayden served as M&amp;A Senior Manager at Deloitte Canada, and from November 2015 through January 2017, he served as Corporate Finance Manager – Deal Advisory for the healthcare and public sector at KPMG UK LLP. Mr. Hayden’s previous experience includes positions at BDO UK LLP, National Health Service Improvement, HDI Group and Deloitte South Africa. Mr. Hayden received a B.A. in Accounting from Rhodes University.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9" w:lineRule="auto"/>
        <w:rPr>
          <w:sz w:val="20"/>
          <w:szCs w:val="20"/>
          <w:color w:val="auto"/>
        </w:rPr>
      </w:pPr>
      <w:r>
        <w:rPr>
          <w:rFonts w:ascii="Arial" w:cs="Arial" w:eastAsia="Arial" w:hAnsi="Arial"/>
          <w:sz w:val="17"/>
          <w:szCs w:val="17"/>
          <w:color w:val="auto"/>
        </w:rPr>
        <w:t>On July 25, 2022, the Company entered into an Employment Agreement (the “Employment Agreement”) with Mr. Hayden. Pursuant to the terms of the Employment Agreement, Mr. Hayden receives an annual base salary of $225,000 and be eligible to participate in all employee benefit programs sponsored by the Company. Mr. Hayden will also be eligible to receive a discretionary performance-based bonus of up to $75,000 with respect to each fiscal year of the Company, based on the mutually agreed upon goals that will be set by the compensation committee of the Board, and was previously issued 7,500 restricted stock units that will vest in three equal installments on the one-year, two-year and three-year anniversaries of grant. If Mr. Hayden’s employment with the Company is terminated for any reason, he will be entitled to (i) his annual base salary through the termination date, (ii) any accrued unused paid time off, (iii) any vested benefit due and owing under any employee benefit plan and (iv) any unreimbursed business expenses. If Mr. Hayden’s employment is terminated by the Company without Cause or by Mr. Hayden for Good Reason (as such terms are defined in the Employment Agreement), he will also be entitled to receive his base salary for a period of six months and continued participation in the Company’s group health insurance benefits for a period of six months.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is no family relationship between Mr. Hayden and any director or executive officer of the Company. There are no transactions between Mr. Hayden and the Company that would be required to be reported under Item 404(a) of Regulation S-K of the Securities Exchange Act of 1934, as amended.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summary of the material terms of the Employment Agreement does not purport to be complete and is subject to, and qualified in its entirety by, the full and complete terms of the Employment Agreement, a copy of which is filed with this Current Report on Form 8-K as Exhibit 10.1 and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23, 2023, the Company issued a press release announcing recently implemented cost efficiency measures, enhanced sales initiatives and leadership appointments. A copy of the press release is attached as Exhibit 99.1 to this Current Report on Form 8-K and is incorporated herein by reference.</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the following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79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91"/>
              </w:rPr>
              <w:t>Employment Agreement by and between Agrify Corporation and Timothy Hayden, dated as of July 25, 2022.</w:t>
            </w:r>
          </w:p>
        </w:tc>
        <w:tc>
          <w:tcPr>
            <w:tcW w:w="2200" w:type="dxa"/>
            <w:vAlign w:val="bottom"/>
            <w:tcBorders>
              <w:bottom w:val="single" w:sz="8" w:color="CCEEFF"/>
            </w:tcBorders>
            <w:shd w:val="clear" w:color="auto" w:fill="CCEEFF"/>
          </w:tcPr>
          <w:p>
            <w:pPr>
              <w:spacing w:after="0"/>
              <w:rPr>
                <w:sz w:val="19"/>
                <w:szCs w:val="19"/>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434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89"/>
              </w:rPr>
              <w:t>Press Release of Agrify Corporation dated January 23, 2023</w:t>
            </w:r>
          </w:p>
        </w:tc>
        <w:tc>
          <w:tcPr>
            <w:tcW w:w="5760" w:type="dxa"/>
            <w:vAlign w:val="bottom"/>
            <w:gridSpan w:val="2"/>
          </w:tcPr>
          <w:p>
            <w:pPr>
              <w:spacing w:after="0"/>
              <w:rPr>
                <w:sz w:val="15"/>
                <w:szCs w:val="15"/>
                <w:color w:val="auto"/>
              </w:rPr>
            </w:pPr>
          </w:p>
        </w:tc>
      </w:tr>
    </w:tbl>
    <w:p>
      <w:pPr>
        <w:spacing w:after="0" w:line="13"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January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25, 2022, between Agrify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Timothy Hayden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54" w:lineRule="auto"/>
        <w:tabs>
          <w:tab w:leader="none" w:pos="886"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Employment; Title; Duties and Location</w:t>
      </w:r>
      <w:r>
        <w:rPr>
          <w:rFonts w:ascii="Arial" w:cs="Arial" w:eastAsia="Arial" w:hAnsi="Arial"/>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Senior Vice President of Corporate Development and shall report exclusively and directly to the to the Chief Executive Officer of the Company. Executive shall perform the duties consistent with Executive’s title and position and such other duties commensurate with such position and title as shall be specified or designated by the Company from time to time. The principal place of Executive’s employment may change after one year of the date of this agreement. Reasonable relocation expenses shall be reimbursed by the Company. Executive may be required to travel on Company business during the Term.</w:t>
      </w:r>
    </w:p>
    <w:p>
      <w:pPr>
        <w:spacing w:after="0" w:line="194" w:lineRule="exact"/>
        <w:rPr>
          <w:rFonts w:ascii="Arial" w:cs="Arial" w:eastAsia="Arial" w:hAnsi="Arial"/>
          <w:sz w:val="18"/>
          <w:szCs w:val="18"/>
          <w:u w:val="single" w:color="auto"/>
          <w:color w:val="auto"/>
        </w:rPr>
      </w:pPr>
    </w:p>
    <w:p>
      <w:pPr>
        <w:ind w:left="880" w:hanging="224"/>
        <w:spacing w:after="0"/>
        <w:tabs>
          <w:tab w:leader="none" w:pos="880"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w:t>
      </w:r>
      <w:r>
        <w:rPr>
          <w:rFonts w:ascii="Arial" w:cs="Arial" w:eastAsia="Arial" w:hAnsi="Arial"/>
          <w:sz w:val="17"/>
          <w:szCs w:val="17"/>
          <w:color w:val="auto"/>
        </w:rPr>
        <w:t>. Executive’s employment hereunder shall commence on July 25, 2022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shall continue for a one-year period thereafter (the “</w:t>
      </w:r>
      <w:r>
        <w:rPr>
          <w:rFonts w:ascii="Arial" w:cs="Arial" w:eastAsia="Arial" w:hAnsi="Arial"/>
          <w:sz w:val="17"/>
          <w:szCs w:val="17"/>
          <w:u w:val="single" w:color="auto"/>
          <w:color w:val="auto"/>
        </w:rPr>
        <w:t>Initial Term</w:t>
      </w:r>
      <w:r>
        <w:rPr>
          <w:rFonts w:ascii="Arial" w:cs="Arial" w:eastAsia="Arial" w:hAnsi="Arial"/>
          <w:sz w:val="17"/>
          <w:szCs w:val="17"/>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one-year periods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subject to earlier termination exclusively as provided for in Section 6 below. For the purposes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at any given time shall mean the Initial Term as it may have been extended by one or more Renewal Terms as of such time (without regard to whether Executive’s employment is terminated prior to the end of such Term), and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means the period of Executive’s employment hereunder (regardless of whether such period ends prior to the end of the Term and regardless of the reason for Executive’s termination of employment hereunder).</w:t>
      </w:r>
    </w:p>
    <w:p>
      <w:pPr>
        <w:spacing w:after="0" w:line="178" w:lineRule="exact"/>
        <w:rPr>
          <w:sz w:val="20"/>
          <w:szCs w:val="20"/>
          <w:color w:val="auto"/>
        </w:rPr>
      </w:pPr>
    </w:p>
    <w:p>
      <w:pPr>
        <w:ind w:firstLine="656"/>
        <w:spacing w:after="0" w:line="277" w:lineRule="auto"/>
        <w:tabs>
          <w:tab w:leader="none" w:pos="927" w:val="left"/>
        </w:tabs>
        <w:numPr>
          <w:ilvl w:val="0"/>
          <w:numId w:val="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Salary</w:t>
      </w:r>
      <w:r>
        <w:rPr>
          <w:rFonts w:ascii="Arial" w:cs="Arial" w:eastAsia="Arial" w:hAnsi="Arial"/>
          <w:sz w:val="18"/>
          <w:szCs w:val="18"/>
          <w:color w:val="auto"/>
        </w:rPr>
        <w:t>. Executive shall receive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$225,000.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firstLine="1296"/>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Discretionary Bonus</w:t>
      </w:r>
      <w:r>
        <w:rPr>
          <w:rFonts w:ascii="Arial" w:cs="Arial" w:eastAsia="Arial" w:hAnsi="Arial"/>
          <w:sz w:val="17"/>
          <w:szCs w:val="17"/>
          <w:color w:val="auto"/>
        </w:rPr>
        <w:t>. Executive shall be eligible to receive a discretionary performance-based bonus of up to $75,000 (a “</w:t>
      </w:r>
      <w:r>
        <w:rPr>
          <w:rFonts w:ascii="Arial" w:cs="Arial" w:eastAsia="Arial" w:hAnsi="Arial"/>
          <w:sz w:val="17"/>
          <w:szCs w:val="17"/>
          <w:u w:val="single" w:color="auto"/>
          <w:color w:val="auto"/>
        </w:rPr>
        <w:t>Discretionary Bonus</w:t>
      </w:r>
      <w:r>
        <w:rPr>
          <w:rFonts w:ascii="Arial" w:cs="Arial" w:eastAsia="Arial" w:hAnsi="Arial"/>
          <w:sz w:val="17"/>
          <w:szCs w:val="17"/>
          <w:color w:val="auto"/>
        </w:rPr>
        <w:t>”) with respect to each fiscal year of the Company (a “</w:t>
      </w:r>
      <w:r>
        <w:rPr>
          <w:rFonts w:ascii="Arial" w:cs="Arial" w:eastAsia="Arial" w:hAnsi="Arial"/>
          <w:sz w:val="17"/>
          <w:szCs w:val="17"/>
          <w:u w:val="single" w:color="auto"/>
          <w:color w:val="auto"/>
        </w:rPr>
        <w:t>Fiscal Year</w:t>
      </w:r>
      <w:r>
        <w:rPr>
          <w:rFonts w:ascii="Arial" w:cs="Arial" w:eastAsia="Arial" w:hAnsi="Arial"/>
          <w:sz w:val="17"/>
          <w:szCs w:val="17"/>
          <w:color w:val="auto"/>
        </w:rPr>
        <w:t>”) based on the mutually agreed upon goals that will be set by the Compensation Committee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in consultation with the Company’s Chief Executive Officer. Based on achieving the agreed upon goals, the targeted annual cash bonus shall be paid in installments of up to $18,750 in conjunction with any other company quarterly bonus payments. Such bonus payments will be paid no later than 60 days from the close of the quarter to which the bonus is applicable. The Directors may from time to time elect to pay any additional bonuses based on performance that exceeds the mutually agreed upon goals. To be eligible for a Discretionary Bonus, Executive must be employed by the Company at the time such Bonus is paid.</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Subject to the terms of the Company’s 2022 Omnibus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Executive shall be issued following the Commencement Date 75,000 restricted stock units pursuant to the Plan, subject to approval by the Compensation Committee of the Company’s Board of Directors. In addition, the Compensation Committee may, in its sole discretion and in consultation with the Company’s Chief Executive Officer, grant additional restricted stock to Executive during the Employment Period.</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Benefits</w:t>
      </w:r>
      <w:r>
        <w:rPr>
          <w:rFonts w:ascii="Arial" w:cs="Arial" w:eastAsia="Arial" w:hAnsi="Arial"/>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executives, subject to the eligibility requirements and other terms of such programs and perquisites, and subject to the Company’s right to amend, terminate or take other action with respect to any such programs and perquisites.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Executive shall be entitled to four (4) weeks of paid vacation, as well as sick days and any other paid 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Required Taxes and Withholdings</w:t>
      </w:r>
      <w:r>
        <w:rPr>
          <w:rFonts w:ascii="Arial" w:cs="Arial" w:eastAsia="Arial" w:hAnsi="Arial"/>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184" w:lineRule="exact"/>
        <w:rPr>
          <w:sz w:val="20"/>
          <w:szCs w:val="20"/>
          <w:color w:val="auto"/>
        </w:rPr>
      </w:pPr>
    </w:p>
    <w:p>
      <w:pPr>
        <w:jc w:val="both"/>
        <w:ind w:firstLine="656"/>
        <w:spacing w:after="0" w:line="284" w:lineRule="auto"/>
        <w:tabs>
          <w:tab w:leader="none" w:pos="92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below in this Section 4; and</w:t>
      </w:r>
    </w:p>
    <w:p>
      <w:pPr>
        <w:spacing w:after="0" w:line="4" w:lineRule="exact"/>
        <w:rPr>
          <w:rFonts w:ascii="Arial" w:cs="Arial" w:eastAsia="Arial" w:hAnsi="Arial"/>
          <w:sz w:val="16"/>
          <w:szCs w:val="16"/>
          <w:color w:val="auto"/>
        </w:rPr>
      </w:pPr>
    </w:p>
    <w:p>
      <w:pPr>
        <w:jc w:val="both"/>
        <w:ind w:firstLine="8"/>
        <w:spacing w:after="0" w:line="290" w:lineRule="auto"/>
        <w:tabs>
          <w:tab w:leader="none" w:pos="313"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engage in any activity that, directly or indirectly, impairs or conflicts with the performance of Executive’s obligations and duties to the Company, provided,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10.3(f) below)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656"/>
        <w:spacing w:after="0" w:line="257" w:lineRule="auto"/>
        <w:tabs>
          <w:tab w:leader="none" w:pos="873"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u w:val="single" w:color="auto"/>
          <w:color w:val="auto"/>
        </w:rPr>
      </w:pPr>
    </w:p>
    <w:p>
      <w:pPr>
        <w:ind w:left="880" w:hanging="224"/>
        <w:spacing w:after="0"/>
        <w:tabs>
          <w:tab w:leader="none" w:pos="880"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Disability</w:t>
      </w:r>
      <w:r>
        <w:rPr>
          <w:rFonts w:ascii="Arial" w:cs="Arial" w:eastAsia="Arial" w:hAnsi="Arial"/>
          <w:sz w:val="17"/>
          <w:szCs w:val="17"/>
          <w:color w:val="auto"/>
        </w:rPr>
        <w:t>. The Company may, subject to applicable law, terminate Executive’s employment due to a Disability by providing written notice of such termination and its effective date to Executive.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For Cause by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83" w:lineRule="auto"/>
        <w:tabs>
          <w:tab w:leader="none" w:pos="22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may terminate Executive’s employment for Cause, at any time, by the Chief Executive Officer by providing written notice reasonably describing the nature of such Cause. For purposes of this Agreement, the term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the willful and continual failure by Executive to perform in any material respect the duties or obligations of his employment with the Company or to carry out the reasonable and lawful directives of the Chief Executive Officer (which directives are consistent with Executive's 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failure remains uncured (if capable of being cured) for a period of thirty (30)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Confidentiality Agreement (as defined below) or a material breach or violation of this Agreement or any Company policy then in effect which remains uncured (if capable of being cured) for a period of thirty (30) days after written notice describing the same is given to Executive; or</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attempt by the Executive to improperly secure any personal profit in connection with the business of the Company or any of its affiliates.</w:t>
      </w:r>
    </w:p>
    <w:p>
      <w:pPr>
        <w:spacing w:after="0" w:line="222"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Resignation by Executive for Good Reason</w:t>
      </w:r>
      <w:r>
        <w:rPr>
          <w:rFonts w:ascii="Arial" w:cs="Arial" w:eastAsia="Arial" w:hAnsi="Arial"/>
          <w:sz w:val="16"/>
          <w:szCs w:val="16"/>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6.2 above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more than fifty (50) miles from the location specified in Section 1 above; or (iv) other material breach by the Company of a material provision of this Agreement or any other agreement between the Company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w:t>
      </w:r>
    </w:p>
    <w:p>
      <w:pPr>
        <w:spacing w:after="0" w:line="5" w:lineRule="exact"/>
        <w:rPr>
          <w:sz w:val="20"/>
          <w:szCs w:val="20"/>
          <w:color w:val="auto"/>
        </w:rPr>
      </w:pPr>
    </w:p>
    <w:p>
      <w:pPr>
        <w:jc w:val="both"/>
        <w:ind w:firstLine="8"/>
        <w:spacing w:after="0" w:line="270" w:lineRule="auto"/>
        <w:tabs>
          <w:tab w:leader="none" w:pos="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296"/>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Without Cause or Without Good Reason</w:t>
      </w:r>
      <w:r>
        <w:rPr>
          <w:rFonts w:ascii="Arial" w:cs="Arial" w:eastAsia="Arial" w:hAnsi="Arial"/>
          <w:sz w:val="17"/>
          <w:szCs w:val="17"/>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Termination of Executive’s employment without Cause by the Company or without Good Reason by Executive shall not include termination of Executive’s employment due to Executive’s death or Disability or upon expiration of the Term as provided for in Section 2.1 above.</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Resignation from Other Positions</w:t>
      </w:r>
      <w:r>
        <w:rPr>
          <w:rFonts w:ascii="Arial" w:cs="Arial" w:eastAsia="Arial" w:hAnsi="Arial"/>
          <w:sz w:val="16"/>
          <w:szCs w:val="16"/>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Chief Executive Officer,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(i) Executive’s Base Salary through and including the effective date of Executive’s termination of employment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event that Executive’s employment is terminated (i) by the Company pursuant to Section 6.5 above (without Cause), (ii) by Executive pursuant to Section 6.4 hereof (Good Reason), or (iii) by the Company without Cause, or by Executive for Good Reason, upon the occurrence of, or within thirty (30) days prior to, or within six (6) months following, the effective date of a Change of Control (as defined in Section 10.3(f) below), in addition to the Accrued Obligations, Executive shall be entitled to receive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and in accordance with the terms of this Section 7.2.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2200" w:hanging="248"/>
        <w:spacing w:after="0"/>
        <w:tabs>
          <w:tab w:leader="none" w:pos="22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Severance Benefits shall consist of the payments and benefits provided by this Section 7.2(a).</w:t>
      </w:r>
    </w:p>
    <w:p>
      <w:pPr>
        <w:spacing w:after="0" w:line="225" w:lineRule="exact"/>
        <w:rPr>
          <w:rFonts w:ascii="Arial" w:cs="Arial" w:eastAsia="Arial" w:hAnsi="Arial"/>
          <w:sz w:val="18"/>
          <w:szCs w:val="18"/>
          <w:color w:val="auto"/>
        </w:rPr>
      </w:pPr>
    </w:p>
    <w:p>
      <w:pPr>
        <w:jc w:val="both"/>
        <w:ind w:firstLine="2600"/>
        <w:spacing w:after="0" w:line="290" w:lineRule="auto"/>
        <w:tabs>
          <w:tab w:leader="none" w:pos="2807" w:val="left"/>
        </w:tabs>
        <w:numPr>
          <w:ilvl w:val="2"/>
          <w:numId w:val="12"/>
        </w:numPr>
        <w:rPr>
          <w:rFonts w:ascii="Arial" w:cs="Arial" w:eastAsia="Arial" w:hAnsi="Arial"/>
          <w:sz w:val="16"/>
          <w:szCs w:val="16"/>
          <w:color w:val="auto"/>
        </w:rPr>
      </w:pPr>
      <w:r>
        <w:rPr>
          <w:rFonts w:ascii="Arial" w:cs="Arial" w:eastAsia="Arial" w:hAnsi="Arial"/>
          <w:sz w:val="16"/>
          <w:szCs w:val="16"/>
          <w:color w:val="auto"/>
        </w:rPr>
        <w:t>Executive shall receive payment of an amount (the “</w:t>
      </w:r>
      <w:r>
        <w:rPr>
          <w:rFonts w:ascii="Arial" w:cs="Arial" w:eastAsia="Arial" w:hAnsi="Arial"/>
          <w:sz w:val="16"/>
          <w:szCs w:val="16"/>
          <w:u w:val="single" w:color="auto"/>
          <w:color w:val="auto"/>
        </w:rPr>
        <w:t>Severance Pay</w:t>
      </w:r>
      <w:r>
        <w:rPr>
          <w:rFonts w:ascii="Arial" w:cs="Arial" w:eastAsia="Arial" w:hAnsi="Arial"/>
          <w:sz w:val="16"/>
          <w:szCs w:val="16"/>
          <w:color w:val="auto"/>
        </w:rPr>
        <w:t>”) equal to 6 months of Executive’s Base Salary immediately prior to the Termination Date. The Severance Pay shall be paid over the course of a six (6) month period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below). The first such payment shall include payment for any payroll dates between the Termination Date and the date of such payment.</w:t>
      </w:r>
    </w:p>
    <w:p>
      <w:pPr>
        <w:spacing w:after="0" w:line="165" w:lineRule="exact"/>
        <w:rPr>
          <w:rFonts w:ascii="Arial" w:cs="Arial" w:eastAsia="Arial" w:hAnsi="Arial"/>
          <w:sz w:val="16"/>
          <w:szCs w:val="16"/>
          <w:color w:val="auto"/>
        </w:rPr>
      </w:pPr>
    </w:p>
    <w:p>
      <w:pPr>
        <w:jc w:val="both"/>
        <w:ind w:firstLine="2600"/>
        <w:spacing w:after="0" w:line="289" w:lineRule="auto"/>
        <w:tabs>
          <w:tab w:leader="none" w:pos="2870" w:val="left"/>
        </w:tabs>
        <w:numPr>
          <w:ilvl w:val="2"/>
          <w:numId w:val="12"/>
        </w:numPr>
        <w:rPr>
          <w:rFonts w:ascii="Arial" w:cs="Arial" w:eastAsia="Arial" w:hAnsi="Arial"/>
          <w:sz w:val="16"/>
          <w:szCs w:val="16"/>
          <w:color w:val="auto"/>
        </w:rPr>
      </w:pPr>
      <w:r>
        <w:rPr>
          <w:rFonts w:ascii="Arial" w:cs="Arial" w:eastAsia="Arial" w:hAnsi="Arial"/>
          <w:sz w:val="16"/>
          <w:szCs w:val="16"/>
          <w:color w:val="auto"/>
        </w:rPr>
        <w:t xml:space="preserve">For a period of six (6) months following the Termination Date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66" w:lineRule="exact"/>
        <w:rPr>
          <w:rFonts w:ascii="Arial" w:cs="Arial" w:eastAsia="Arial" w:hAnsi="Arial"/>
          <w:sz w:val="16"/>
          <w:szCs w:val="16"/>
          <w:color w:val="auto"/>
        </w:rPr>
      </w:pPr>
    </w:p>
    <w:p>
      <w:pPr>
        <w:jc w:val="both"/>
        <w:ind w:firstLine="2600"/>
        <w:spacing w:after="0" w:line="263" w:lineRule="auto"/>
        <w:tabs>
          <w:tab w:leader="none" w:pos="2934"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83" w:lineRule="exact"/>
        <w:rPr>
          <w:rFonts w:ascii="Arial" w:cs="Arial" w:eastAsia="Arial" w:hAnsi="Arial"/>
          <w:sz w:val="18"/>
          <w:szCs w:val="18"/>
          <w:color w:val="auto"/>
        </w:rPr>
      </w:pPr>
    </w:p>
    <w:p>
      <w:pPr>
        <w:ind w:firstLine="2600"/>
        <w:spacing w:after="0" w:line="277" w:lineRule="auto"/>
        <w:tabs>
          <w:tab w:leader="none" w:pos="2910" w:val="left"/>
        </w:tabs>
        <w:numPr>
          <w:ilvl w:val="2"/>
          <w:numId w:val="12"/>
        </w:numPr>
        <w:rPr>
          <w:rFonts w:ascii="Arial" w:cs="Arial" w:eastAsia="Arial" w:hAnsi="Arial"/>
          <w:sz w:val="18"/>
          <w:szCs w:val="18"/>
          <w:color w:val="auto"/>
        </w:rPr>
      </w:pPr>
      <w:r>
        <w:rPr>
          <w:rFonts w:ascii="Arial" w:cs="Arial" w:eastAsia="Arial" w:hAnsi="Arial"/>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Other Conditions for Severance Benefits</w:t>
      </w:r>
      <w:r>
        <w:rPr>
          <w:rFonts w:ascii="Arial" w:cs="Arial" w:eastAsia="Arial" w:hAnsi="Arial"/>
          <w:sz w:val="16"/>
          <w:szCs w:val="16"/>
          <w:color w:val="auto"/>
        </w:rPr>
        <w:t>. Provision of the Severance Benefits is conditioned on</w:t>
      </w:r>
    </w:p>
    <w:p>
      <w:pPr>
        <w:spacing w:after="0" w:line="46" w:lineRule="exact"/>
        <w:rPr>
          <w:rFonts w:ascii="Arial" w:cs="Arial" w:eastAsia="Arial" w:hAnsi="Arial"/>
          <w:sz w:val="16"/>
          <w:szCs w:val="16"/>
          <w:color w:val="auto"/>
        </w:rPr>
      </w:pPr>
    </w:p>
    <w:p>
      <w:pPr>
        <w:jc w:val="both"/>
        <w:ind w:firstLine="8"/>
        <w:spacing w:after="0" w:line="271" w:lineRule="auto"/>
        <w:tabs>
          <w:tab w:leader="none" w:pos="233"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Executive must so execute the Separation Agreement within 60 days following the Termination Date (or such shorter time as may be set forth in the Separation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721"/>
        <w:spacing w:after="0" w:line="269" w:lineRule="auto"/>
        <w:tabs>
          <w:tab w:leader="none" w:pos="978" w:val="left"/>
        </w:tabs>
        <w:numPr>
          <w:ilvl w:val="0"/>
          <w:numId w:val="1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u w:val="single" w:color="auto"/>
          <w:color w:val="auto"/>
        </w:rPr>
      </w:pPr>
    </w:p>
    <w:p>
      <w:pPr>
        <w:jc w:val="both"/>
        <w:ind w:firstLine="721"/>
        <w:spacing w:after="0" w:line="273" w:lineRule="auto"/>
        <w:tabs>
          <w:tab w:leader="none" w:pos="906" w:val="left"/>
        </w:tabs>
        <w:numPr>
          <w:ilvl w:val="0"/>
          <w:numId w:val="1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Confidentiality, Restrictive Covenant, Intellectual Property, Return of Company Property and Non-Disparagement</w:t>
      </w:r>
      <w:r>
        <w:rPr>
          <w:rFonts w:ascii="Arial" w:cs="Arial" w:eastAsia="Arial" w:hAnsi="Arial"/>
          <w:sz w:val="17"/>
          <w:szCs w:val="17"/>
          <w:color w:val="auto"/>
        </w:rPr>
        <w:t>. Company and Executive have entered into the Company’s current standard Invention Assignment, Restrictive Covenants, and Confidentiality Agreement (the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 copy of which is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177" w:lineRule="exact"/>
        <w:rPr>
          <w:rFonts w:ascii="Arial" w:cs="Arial" w:eastAsia="Arial" w:hAnsi="Arial"/>
          <w:sz w:val="17"/>
          <w:szCs w:val="17"/>
          <w:u w:val="single" w:color="auto"/>
          <w:color w:val="auto"/>
        </w:rPr>
      </w:pPr>
    </w:p>
    <w:p>
      <w:pPr>
        <w:ind w:left="1040" w:hanging="319"/>
        <w:spacing w:after="0"/>
        <w:tabs>
          <w:tab w:leader="none" w:pos="104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Representations and Acknowledgements</w:t>
      </w:r>
      <w:r>
        <w:rPr>
          <w:rFonts w:ascii="Arial" w:cs="Arial" w:eastAsia="Arial" w:hAnsi="Arial"/>
          <w:sz w:val="17"/>
          <w:szCs w:val="17"/>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auto"/>
        </w:rPr>
        <w:t>Company Affiliates</w:t>
      </w:r>
      <w:r>
        <w:rPr>
          <w:rFonts w:ascii="Arial" w:cs="Arial" w:eastAsia="Arial" w:hAnsi="Arial"/>
          <w:sz w:val="17"/>
          <w:szCs w:val="17"/>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12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872"/>
        <w:spacing w:after="0" w:line="269" w:lineRule="auto"/>
        <w:tabs>
          <w:tab w:leader="none" w:pos="2168"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178" w:lineRule="exact"/>
        <w:rPr>
          <w:rFonts w:ascii="Arial" w:cs="Arial" w:eastAsia="Arial" w:hAnsi="Arial"/>
          <w:sz w:val="17"/>
          <w:szCs w:val="17"/>
          <w:u w:val="single" w:color="auto"/>
          <w:color w:val="auto"/>
        </w:rPr>
      </w:pPr>
    </w:p>
    <w:p>
      <w:pPr>
        <w:jc w:val="both"/>
        <w:ind w:firstLine="1872"/>
        <w:spacing w:after="0" w:line="268" w:lineRule="auto"/>
        <w:tabs>
          <w:tab w:leader="none" w:pos="2192"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12" w:name="page13"/>
    <w:bookmarkEnd w:id="12"/>
    <w:p>
      <w:pPr>
        <w:jc w:val="both"/>
        <w:ind w:firstLine="1872"/>
        <w:spacing w:after="0" w:line="257" w:lineRule="auto"/>
        <w:tabs>
          <w:tab w:leader="none" w:pos="2168"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Immunity for Certain Limited Disclosures</w:t>
      </w:r>
      <w:r>
        <w:rPr>
          <w:rFonts w:ascii="Arial" w:cs="Arial" w:eastAsia="Arial" w:hAnsi="Arial"/>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7" w:lineRule="exact"/>
        <w:rPr>
          <w:rFonts w:ascii="Arial" w:cs="Arial" w:eastAsia="Arial" w:hAnsi="Arial"/>
          <w:sz w:val="18"/>
          <w:szCs w:val="18"/>
          <w:u w:val="single" w:color="auto"/>
          <w:color w:val="auto"/>
        </w:rPr>
      </w:pPr>
    </w:p>
    <w:p>
      <w:pPr>
        <w:jc w:val="both"/>
        <w:ind w:firstLine="1872"/>
        <w:spacing w:after="0" w:line="259" w:lineRule="auto"/>
        <w:tabs>
          <w:tab w:leader="none" w:pos="2179"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Permitted Disclosures</w:t>
      </w:r>
      <w:r>
        <w:rPr>
          <w:rFonts w:ascii="Arial" w:cs="Arial" w:eastAsia="Arial" w:hAnsi="Arial"/>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Non-Interference, Non-Competition and Non-Diversion</w:t>
      </w:r>
      <w:r>
        <w:rPr>
          <w:rFonts w:ascii="Arial" w:cs="Arial" w:eastAsia="Arial" w:hAnsi="Arial"/>
          <w:sz w:val="18"/>
          <w:szCs w:val="18"/>
          <w:color w:val="auto"/>
        </w:rPr>
        <w:t>.</w:t>
      </w:r>
    </w:p>
    <w:p>
      <w:pPr>
        <w:spacing w:after="0" w:line="225" w:lineRule="exact"/>
        <w:rPr>
          <w:sz w:val="20"/>
          <w:szCs w:val="20"/>
          <w:color w:val="auto"/>
        </w:rPr>
      </w:pPr>
    </w:p>
    <w:p>
      <w:pPr>
        <w:jc w:val="both"/>
        <w:ind w:firstLine="1872"/>
        <w:spacing w:after="0" w:line="273" w:lineRule="auto"/>
        <w:tabs>
          <w:tab w:leader="none" w:pos="2209" w:val="left"/>
        </w:tabs>
        <w:numPr>
          <w:ilvl w:val="0"/>
          <w:numId w:val="1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177" w:lineRule="exact"/>
        <w:rPr>
          <w:rFonts w:ascii="Arial" w:cs="Arial" w:eastAsia="Arial" w:hAnsi="Arial"/>
          <w:sz w:val="17"/>
          <w:szCs w:val="17"/>
          <w:u w:val="single" w:color="auto"/>
          <w:color w:val="auto"/>
        </w:rPr>
      </w:pPr>
    </w:p>
    <w:p>
      <w:pPr>
        <w:jc w:val="both"/>
        <w:ind w:firstLine="1872"/>
        <w:spacing w:after="0" w:line="293" w:lineRule="auto"/>
        <w:tabs>
          <w:tab w:leader="none" w:pos="2219" w:val="left"/>
        </w:tabs>
        <w:numPr>
          <w:ilvl w:val="0"/>
          <w:numId w:val="1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 Interference with Employees and Other Suppliers</w:t>
      </w:r>
      <w:r>
        <w:rPr>
          <w:rFonts w:ascii="Arial" w:cs="Arial" w:eastAsia="Arial" w:hAnsi="Arial"/>
          <w:sz w:val="16"/>
          <w:szCs w:val="16"/>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13" w:name="page14"/>
    <w:bookmarkEnd w:id="13"/>
    <w:p>
      <w:pPr>
        <w:jc w:val="both"/>
        <w:ind w:firstLine="1952"/>
        <w:spacing w:after="0" w:line="257" w:lineRule="auto"/>
        <w:tabs>
          <w:tab w:leader="none" w:pos="2274"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Non-Diversion</w:t>
      </w:r>
      <w:r>
        <w:rPr>
          <w:rFonts w:ascii="Arial" w:cs="Arial" w:eastAsia="Arial" w:hAnsi="Arial"/>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7" w:lineRule="exact"/>
        <w:rPr>
          <w:rFonts w:ascii="Arial" w:cs="Arial" w:eastAsia="Arial" w:hAnsi="Arial"/>
          <w:sz w:val="18"/>
          <w:szCs w:val="18"/>
          <w:u w:val="single" w:color="auto"/>
          <w:color w:val="auto"/>
        </w:rPr>
      </w:pPr>
    </w:p>
    <w:p>
      <w:pPr>
        <w:jc w:val="both"/>
        <w:ind w:firstLine="1952"/>
        <w:spacing w:after="0" w:line="263" w:lineRule="auto"/>
        <w:tabs>
          <w:tab w:leader="none" w:pos="2284"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Employment Period and thereafter, for the Restricted Period, regardless of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83" w:lineRule="exact"/>
        <w:rPr>
          <w:rFonts w:ascii="Arial" w:cs="Arial" w:eastAsia="Arial" w:hAnsi="Arial"/>
          <w:sz w:val="18"/>
          <w:szCs w:val="18"/>
          <w:u w:val="single" w:color="auto"/>
          <w:color w:val="auto"/>
        </w:rPr>
      </w:pPr>
    </w:p>
    <w:p>
      <w:pPr>
        <w:jc w:val="both"/>
        <w:ind w:firstLine="1952"/>
        <w:spacing w:after="0" w:line="279" w:lineRule="auto"/>
        <w:tabs>
          <w:tab w:leader="none" w:pos="2287" w:val="left"/>
        </w:tabs>
        <w:numPr>
          <w:ilvl w:val="0"/>
          <w:numId w:val="1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Notice to Subsequent Employers</w:t>
      </w:r>
      <w:r>
        <w:rPr>
          <w:rFonts w:ascii="Arial" w:cs="Arial" w:eastAsia="Arial" w:hAnsi="Arial"/>
          <w:sz w:val="17"/>
          <w:szCs w:val="17"/>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7"/>
          <w:szCs w:val="17"/>
          <w:u w:val="single" w:color="auto"/>
          <w:color w:val="auto"/>
        </w:rPr>
        <w:t>Service Recipient</w:t>
      </w:r>
      <w:r>
        <w:rPr>
          <w:rFonts w:ascii="Arial" w:cs="Arial" w:eastAsia="Arial" w:hAnsi="Arial"/>
          <w:sz w:val="17"/>
          <w:szCs w:val="17"/>
          <w:color w:val="auto"/>
        </w:rPr>
        <w:t>”) of Executive’s continuing obligations to the Company under this Agreement and, in particular, this Section 10. Further, Executive hereby consents to the Company providing such notification to each such Service Recipient.</w:t>
      </w:r>
    </w:p>
    <w:p>
      <w:pPr>
        <w:spacing w:after="0" w:line="171" w:lineRule="exact"/>
        <w:rPr>
          <w:rFonts w:ascii="Arial" w:cs="Arial" w:eastAsia="Arial" w:hAnsi="Arial"/>
          <w:sz w:val="17"/>
          <w:szCs w:val="17"/>
          <w:u w:val="single" w:color="auto"/>
          <w:color w:val="auto"/>
        </w:rPr>
      </w:pPr>
    </w:p>
    <w:p>
      <w:pPr>
        <w:ind w:left="2220" w:hanging="268"/>
        <w:spacing w:after="0"/>
        <w:tabs>
          <w:tab w:leader="none" w:pos="2220"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u w:val="single" w:color="auto"/>
          <w:color w:val="auto"/>
        </w:rPr>
      </w:pPr>
    </w:p>
    <w:p>
      <w:pPr>
        <w:jc w:val="both"/>
        <w:ind w:firstLine="2600"/>
        <w:spacing w:after="0" w:line="255" w:lineRule="auto"/>
        <w:tabs>
          <w:tab w:leader="none" w:pos="28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192" w:lineRule="exact"/>
        <w:rPr>
          <w:rFonts w:ascii="Arial" w:cs="Arial" w:eastAsia="Arial" w:hAnsi="Arial"/>
          <w:sz w:val="18"/>
          <w:szCs w:val="18"/>
          <w:color w:val="auto"/>
        </w:rPr>
      </w:pPr>
    </w:p>
    <w:p>
      <w:pPr>
        <w:ind w:right="20" w:firstLine="2600"/>
        <w:spacing w:after="0" w:line="308" w:lineRule="auto"/>
        <w:tabs>
          <w:tab w:leader="none" w:pos="2857" w:val="left"/>
        </w:tabs>
        <w:numPr>
          <w:ilvl w:val="1"/>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auto"/>
        </w:rPr>
      </w:pPr>
    </w:p>
    <w:p>
      <w:pPr>
        <w:jc w:val="both"/>
        <w:ind w:firstLine="2600"/>
        <w:spacing w:after="0" w:line="275" w:lineRule="auto"/>
        <w:tabs>
          <w:tab w:leader="none" w:pos="2907" w:val="left"/>
        </w:tabs>
        <w:numPr>
          <w:ilvl w:val="1"/>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2600"/>
        <w:spacing w:after="0" w:line="255" w:lineRule="auto"/>
        <w:tabs>
          <w:tab w:leader="none" w:pos="2924"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92" w:lineRule="exact"/>
        <w:rPr>
          <w:rFonts w:ascii="Arial" w:cs="Arial" w:eastAsia="Arial" w:hAnsi="Arial"/>
          <w:sz w:val="18"/>
          <w:szCs w:val="18"/>
          <w:color w:val="auto"/>
        </w:rPr>
      </w:pPr>
    </w:p>
    <w:p>
      <w:pPr>
        <w:jc w:val="both"/>
        <w:ind w:firstLine="2600"/>
        <w:spacing w:after="0" w:line="263" w:lineRule="auto"/>
        <w:tabs>
          <w:tab w:leader="none" w:pos="28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83" w:lineRule="exact"/>
        <w:rPr>
          <w:rFonts w:ascii="Arial" w:cs="Arial" w:eastAsia="Arial" w:hAnsi="Arial"/>
          <w:sz w:val="18"/>
          <w:szCs w:val="18"/>
          <w:color w:val="auto"/>
        </w:rPr>
      </w:pPr>
    </w:p>
    <w:p>
      <w:pPr>
        <w:ind w:right="20" w:firstLine="2600"/>
        <w:spacing w:after="0" w:line="277" w:lineRule="auto"/>
        <w:tabs>
          <w:tab w:leader="none" w:pos="29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170" w:lineRule="exact"/>
        <w:rPr>
          <w:rFonts w:ascii="Arial" w:cs="Arial" w:eastAsia="Arial" w:hAnsi="Arial"/>
          <w:sz w:val="18"/>
          <w:szCs w:val="18"/>
          <w:color w:val="auto"/>
        </w:rPr>
      </w:pPr>
    </w:p>
    <w:p>
      <w:pPr>
        <w:ind w:left="2960" w:hanging="360"/>
        <w:spacing w:after="0"/>
        <w:tabs>
          <w:tab w:leader="none" w:pos="2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any state in which the Company is doing business or in which it is contemplating to do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a then current business plan.</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The Company’s Proprietary Rights</w:t>
      </w:r>
      <w:r>
        <w:rPr>
          <w:rFonts w:ascii="Arial" w:cs="Arial" w:eastAsia="Arial" w:hAnsi="Arial"/>
          <w:sz w:val="16"/>
          <w:szCs w:val="16"/>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auto"/>
        </w:rPr>
        <w:t>Moral Rights</w:t>
      </w:r>
      <w:r>
        <w:rPr>
          <w:rFonts w:ascii="Arial" w:cs="Arial" w:eastAsia="Arial" w:hAnsi="Arial"/>
          <w:sz w:val="16"/>
          <w:szCs w:val="16"/>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29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Cooperation Regarding Intellectual Property</w:t>
      </w:r>
      <w:r>
        <w:rPr>
          <w:rFonts w:ascii="Arial" w:cs="Arial" w:eastAsia="Arial" w:hAnsi="Arial"/>
          <w:sz w:val="16"/>
          <w:szCs w:val="16"/>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auto"/>
        </w:rPr>
        <w:t>Liens</w:t>
      </w:r>
      <w:r>
        <w:rPr>
          <w:rFonts w:ascii="Arial" w:cs="Arial" w:eastAsia="Arial" w:hAnsi="Arial"/>
          <w:sz w:val="16"/>
          <w:szCs w:val="16"/>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296"/>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infringement</w:t>
      </w:r>
      <w:r>
        <w:rPr>
          <w:rFonts w:ascii="Arial" w:cs="Arial" w:eastAsia="Arial" w:hAnsi="Arial"/>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License to Prior Invention</w:t>
      </w:r>
      <w:r>
        <w:rPr>
          <w:rFonts w:ascii="Arial" w:cs="Arial" w:eastAsia="Arial" w:hAnsi="Arial"/>
          <w:sz w:val="17"/>
          <w:szCs w:val="17"/>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auto"/>
        </w:rPr>
        <w:t>Prior Invention</w:t>
      </w:r>
      <w:r>
        <w:rPr>
          <w:rFonts w:ascii="Arial" w:cs="Arial" w:eastAsia="Arial" w:hAnsi="Arial"/>
          <w:sz w:val="17"/>
          <w:szCs w:val="17"/>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84" w:lineRule="exact"/>
        <w:rPr>
          <w:sz w:val="20"/>
          <w:szCs w:val="20"/>
          <w:color w:val="auto"/>
        </w:rPr>
      </w:pPr>
    </w:p>
    <w:p>
      <w:pPr>
        <w:jc w:val="both"/>
        <w:ind w:firstLine="721"/>
        <w:spacing w:after="0" w:line="284" w:lineRule="auto"/>
        <w:tabs>
          <w:tab w:leader="none" w:pos="1122" w:val="left"/>
        </w:tabs>
        <w:numPr>
          <w:ilvl w:val="1"/>
          <w:numId w:val="2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189" w:lineRule="exact"/>
        <w:rPr>
          <w:rFonts w:ascii="Arial" w:cs="Arial" w:eastAsia="Arial" w:hAnsi="Arial"/>
          <w:sz w:val="18"/>
          <w:szCs w:val="18"/>
          <w:color w:val="auto"/>
        </w:rPr>
      </w:pPr>
    </w:p>
    <w:p>
      <w:pPr>
        <w:jc w:val="both"/>
        <w:ind w:firstLine="721"/>
        <w:spacing w:after="0" w:line="271" w:lineRule="auto"/>
        <w:tabs>
          <w:tab w:leader="none" w:pos="1081" w:val="left"/>
        </w:tabs>
        <w:numPr>
          <w:ilvl w:val="1"/>
          <w:numId w:val="2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721"/>
        <w:spacing w:after="0" w:line="285" w:lineRule="auto"/>
        <w:tabs>
          <w:tab w:leader="none" w:pos="98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acknowledges and agrees that Executive shall not disclose the documents referenced in this clause (y) except to Executive’s representatives who have a need to know such information.</w:t>
      </w:r>
    </w:p>
    <w:p>
      <w:pPr>
        <w:spacing w:after="0" w:line="168" w:lineRule="exact"/>
        <w:rPr>
          <w:rFonts w:ascii="Arial" w:cs="Arial" w:eastAsia="Arial" w:hAnsi="Arial"/>
          <w:sz w:val="16"/>
          <w:szCs w:val="16"/>
          <w:color w:val="auto"/>
        </w:rPr>
      </w:pPr>
    </w:p>
    <w:p>
      <w:pPr>
        <w:jc w:val="both"/>
        <w:ind w:firstLine="721"/>
        <w:spacing w:after="0" w:line="285" w:lineRule="auto"/>
        <w:tabs>
          <w:tab w:leader="none" w:pos="99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720"/>
        <w:spacing w:after="0"/>
        <w:rPr>
          <w:sz w:val="20"/>
          <w:szCs w:val="20"/>
          <w:color w:val="auto"/>
        </w:rPr>
      </w:pPr>
      <w:r>
        <w:rPr>
          <w:rFonts w:ascii="Arial" w:cs="Arial" w:eastAsia="Arial" w:hAnsi="Arial"/>
          <w:sz w:val="18"/>
          <w:szCs w:val="18"/>
          <w:u w:val="single" w:color="auto"/>
          <w:color w:val="auto"/>
        </w:rPr>
        <w:t>16. 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16.3 Executive represents and agrees that the Executive has not and will not misappropriate any intellectual property belonging to any 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71" w:lineRule="exact"/>
        <w:rPr>
          <w:sz w:val="20"/>
          <w:szCs w:val="20"/>
          <w:color w:val="auto"/>
        </w:rPr>
      </w:pPr>
    </w:p>
    <w:p>
      <w:pPr>
        <w:jc w:val="both"/>
        <w:ind w:firstLine="721"/>
        <w:spacing w:after="0" w:line="268" w:lineRule="auto"/>
        <w:tabs>
          <w:tab w:leader="none" w:pos="1027" w:val="left"/>
        </w:tabs>
        <w:numPr>
          <w:ilvl w:val="0"/>
          <w:numId w:val="2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Indemnification and Liability Insurance</w:t>
      </w:r>
      <w:r>
        <w:rPr>
          <w:rFonts w:ascii="Arial" w:cs="Arial" w:eastAsia="Arial" w:hAnsi="Arial"/>
          <w:sz w:val="17"/>
          <w:szCs w:val="17"/>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IRCA Compliance</w:t>
      </w:r>
      <w:r>
        <w:rPr>
          <w:rFonts w:ascii="Arial" w:cs="Arial" w:eastAsia="Arial" w:hAnsi="Arial"/>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Unless otherwise expressly 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9"/>
          <w:szCs w:val="19"/>
          <w:i w:val="1"/>
          <w:iCs w:val="1"/>
          <w:color w:val="auto"/>
        </w:rPr>
        <w:t>i.e.</w:t>
      </w:r>
      <w:r>
        <w:rPr>
          <w:rFonts w:ascii="Arial" w:cs="Arial" w:eastAsia="Arial" w:hAnsi="Arial"/>
          <w:sz w:val="16"/>
          <w:szCs w:val="16"/>
          <w:color w:val="auto"/>
        </w:rPr>
        <w:t>, 2</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months) after the later of the end of the</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calendar year or the Company’s fiscal year in which Executive’s right to such payment vests (</w:t>
      </w:r>
      <w:r>
        <w:rPr>
          <w:rFonts w:ascii="Arial" w:cs="Arial" w:eastAsia="Arial" w:hAnsi="Arial"/>
          <w:sz w:val="19"/>
          <w:szCs w:val="19"/>
          <w:i w:val="1"/>
          <w:iCs w:val="1"/>
          <w:color w:val="auto"/>
        </w:rPr>
        <w:t>i.e</w:t>
      </w:r>
      <w:r>
        <w:rPr>
          <w:rFonts w:ascii="Arial" w:cs="Arial" w:eastAsia="Arial" w:hAnsi="Arial"/>
          <w:sz w:val="16"/>
          <w:szCs w:val="16"/>
          <w:color w:val="auto"/>
        </w:rPr>
        <w:t>., is not subject to a “substantial risk of forfeiture”) for purposes of Section 409A of the Internal Revenue Code of 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296"/>
        <w:spacing w:after="0" w:line="29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Assignability and Binding Effect</w:t>
      </w:r>
      <w:r>
        <w:rPr>
          <w:rFonts w:ascii="Arial" w:cs="Arial" w:eastAsia="Arial" w:hAnsi="Arial"/>
          <w:sz w:val="16"/>
          <w:szCs w:val="16"/>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Right of Set-Off</w:t>
      </w:r>
      <w:r>
        <w:rPr>
          <w:rFonts w:ascii="Arial" w:cs="Arial" w:eastAsia="Arial" w:hAnsi="Arial"/>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Severability and Blue Penciling</w:t>
      </w:r>
      <w:r>
        <w:rPr>
          <w:rFonts w:ascii="Arial" w:cs="Arial" w:eastAsia="Arial" w:hAnsi="Arial"/>
          <w:sz w:val="17"/>
          <w:szCs w:val="17"/>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Choice of Law and Forum; Attorneys’ Fees</w:t>
      </w:r>
      <w:r>
        <w:rPr>
          <w:rFonts w:ascii="Arial" w:cs="Arial" w:eastAsia="Arial" w:hAnsi="Arial"/>
          <w:sz w:val="18"/>
          <w:szCs w:val="18"/>
          <w:color w:val="auto"/>
        </w:rPr>
        <w:t>. This Agreement shall be interpreted and enforced in accordance with the laws of the State of Michigan, without regard to its conflict-of-law principles. The Parties agree that any dispute concerning or arising out of this Agreement or Executive’s employment hereunder (or termination thereof) shall be litigated exclusively in an appropriate state or federal court in or closest to Suffolk County, Massachusetts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296"/>
        <w:spacing w:after="0" w:line="273"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952"/>
        <w:spacing w:after="0" w:line="277" w:lineRule="auto"/>
        <w:tabs>
          <w:tab w:leader="none" w:pos="21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auto"/>
        </w:rPr>
      </w:pPr>
    </w:p>
    <w:p>
      <w:pPr>
        <w:ind w:left="2820" w:hanging="220"/>
        <w:spacing w:after="0"/>
        <w:tabs>
          <w:tab w:leader="none" w:pos="2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auto"/>
        </w:rPr>
      </w:pPr>
    </w:p>
    <w:p>
      <w:pPr>
        <w:ind w:firstLine="2600"/>
        <w:spacing w:after="0" w:line="277" w:lineRule="auto"/>
        <w:tabs>
          <w:tab w:leader="none" w:pos="2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Company, to 76 Treble Cove Rd., Bldg. 3, Billerica, MA 01862, or at such other mailing address, email address or facsimile number as it may have furnished in writing to Executive.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2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Survival of Terms</w:t>
      </w:r>
      <w:r>
        <w:rPr>
          <w:rFonts w:ascii="Arial" w:cs="Arial" w:eastAsia="Arial" w:hAnsi="Arial"/>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Interpretation</w:t>
      </w:r>
      <w:r>
        <w:rPr>
          <w:rFonts w:ascii="Arial" w:cs="Arial" w:eastAsia="Arial" w:hAnsi="Arial"/>
          <w:sz w:val="17"/>
          <w:szCs w:val="17"/>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1296"/>
        <w:spacing w:after="0" w:line="259"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Voluntary and Knowing Execution of Agreement</w:t>
      </w:r>
      <w:r>
        <w:rPr>
          <w:rFonts w:ascii="Arial" w:cs="Arial" w:eastAsia="Arial" w:hAnsi="Arial"/>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Timothy Hayden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HAYDEN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INVENTION ASSIGNMENT, RESTRICTIVE COVENANTS, AND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5" w:name="page26"/>
    <w:bookmarkEnd w:id="25"/>
    <w:p>
      <w:pPr>
        <w:jc w:val="center"/>
        <w:ind w:right="-4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LIST OF PRIOR INVENTIONS AND ORIGINAL WORKS OF AUTHORSHIP</w:t>
      </w:r>
    </w:p>
    <w:p>
      <w:pPr>
        <w:spacing w:after="0" w:line="229" w:lineRule="exact"/>
        <w:rPr>
          <w:sz w:val="20"/>
          <w:szCs w:val="20"/>
          <w:color w:val="auto"/>
        </w:rPr>
      </w:pPr>
    </w:p>
    <w:p>
      <w:pPr>
        <w:spacing w:after="0"/>
        <w:tabs>
          <w:tab w:leader="none" w:pos="1900" w:val="left"/>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23495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743585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59"/>
          </w:cols>
          <w:pgMar w:left="1000" w:top="904" w:right="1440" w:bottom="1440" w:gutter="0" w:footer="0" w:header="0"/>
        </w:sectPr>
      </w:pPr>
    </w:p>
    <w:bookmarkStart w:id="26" w:name="page27"/>
    <w:bookmarkEnd w:id="26"/>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Strategic Plan to Foster Sustainable Long-Term Growth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Cost Efficiency Measures, Enhanced Sales Initiatives, and Leadership Appointments Designed to Provide Responsible and Compelling Path Forward</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BILLERICA, Mass., Jan. 23, 2023 (GLOBE NEWSWIRE) -- Agrify Corporation (Nasdaq:AGFY) (“Agrify” or the “Company”), a leading provider of innovative cultivation and extraction solutions for the cannabis industry, today announced it is actively taking steps to better align its resources and growth plan with the current operating environment, measures that the Company believes could put it in a position to be cash flow positive by the end of 2023.</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which offers both domestic and international customers one of the most comprehensive portfolios of cultivation and extraction solutions, has responded to the turbulence facing the entire cannabis industry by developing and instituting a plan to provide stability during the market downturn as well as a sustainable path forward. The plan primarily consists of reducing certain costs and leveraging various cost synergies to achieve new operational efficiencies, growing the top-line revenue through targeted sales efforts in the most attractive channels, and assembling the best leadership and talent in the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Efficiency Measures, Synergies, and Consolidated Buying Power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Agrify has identified several cost improvement measures that it believes will significantly reduce its cash burn, help to improve margins, and increase the likelihood that it will be cash flow positive by the end of the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in the process of benefitting from various cost synergies, many of which are largely attributable to the four extraction brands it acquired in 2021 and 2022. Agrify has reduced its manufacturing and production costs through more effective supplier agreements, volume discounts driven by increased purchasing power, and less of a reliance on contract manufacturers. Additionally, the Company implemented a new enterprise resource planning (“ERP”) system toward the end of 2022 and now has better visibility into its supply chain and inventory needs, allowing those needs to be better aligned with near-term revenue expectations. Agrify has also been able to simplify its organizational structure and embark on a strategic consolidation of its offices and facilities.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Agrify believes that these improvements could result in up to $7 million in cost savings during 2023, and the Company anticipates that it may be able to accrue more savings as the year progresses.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Enhanced Sales and Growth Initiatives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Agrify’s diversified mix of products and services gives the Company flexibility to adjust its sales approach to capitalize on the market opportunities or sales channels that are most attractive at a given point in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focused on growing its cultivation business by helping its existing Agrify Total Turn-Key Solution (“Agrify TTK Solution”) customers bring their facilities online, driving additional sales through its Rapid Deployment Pack (“RDP”) program, and making a concerted effort to successfully capture market share in the academic and pharmaceutical research verticals.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expects to have several more customer cultivation facilities coming online in 2023, including some highly anticipated Agrify TTK Solution customer sites. Once these new Agrify TTK Solution facilities are fully operational, the underlying business model for this program, which includes high-margin recurring revenue streams, should be instrumental in creating substantial long-term value for the Company’s shareholders.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the attractive returns the Company expects from its existing Agrify TTK Solution customers, Agrify will temporarily wait to pursue new opportunities that require construction financing until the market stabilizes, as those engagements are capital intensive upfront with a deferred payback period. This should significantly reduce the cash burn of the Company. In the interim, the Company expects to shift its resources to pursue other more appealing growth initiatives such as the RDP program and the academic and pharmaceutical research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Agrify’s RDP program was established to make it easier for a broader range of customers, both domestically and abroad, to access Agrify’s award-winning cultivation technology. Featuring Agrify’s flagship Vertical Farming Units (“VFUs”) in a prepackaged, self-contained, and quick-to-deploy format, the thoughtfully designed and engineered RDPs offer an accelerated path to production, cash flow, and profitability for customers. By removing certain barriers and points of friction with the RDPs, Agrify is able to provide customers who have properly equipped facilities best-in-class cultivation capabilities in potentially as little as 90 days. Once installed, the modular nature of the RDPs allows for seamless expansion opportunities, enabling customers the flexibility to grow and scale.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the general expansion of the RDP program, the Company is looking to further introduce its fully integrated cultivation solution into the historically underserved academic and pharmaceutical research channels. In the past, progress in these channels had been stifled by stringent government restrictions, but the recent directive by the Biden administration to review the classification of cannabis under federal law and Congress’ enactment of the Medical Marijuana and Cannabidiol Research Expansion Act have opened up a potentially lucrative opportunity to support these budding verticals, which are aiding both the advancement and acceptance of cannabis. This has led to an influx of educational programs and research grants related to cannabis. In 2023, Agrify hopes to be able to begin serving the needs of an increasing number of universities, research institutions, and pharmaceutical companies as they look to push the boundaries within the field of cannabis science and bring higher quality products to the market.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extraction business, which consists of Precision Extraction Solutions, PurePressure, Lab Society, and Cascade Sciences with leading products across hydrocarbon, ethanol, solventless, post-processing, and lab equipment, has also made certain adjustments to meet the shift in the market toward small licenses as compared to larger vertical licenses. In the past two years, many licenses awarded were smaller and limited licenses focused on social equity and diversity, including within states such as Illinois, New York, Connecticut, Virginia, and Massachusetts. Agrify has streamlined its expansive extraction product portfolio to better support its sales efforts in 2023 and has also continued to innovate with several new products scheduled to launch this year. Additionally, the Company has amassed an extensive customer database it intends to leverage for compelling cross-selling and upselling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Appointments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Agrify has promoted Rachel Soulsby to Vice President of Marketing, Sheryl Elliott to Vice President of Human Resources, Caitlin Moakley Bricker to Chief of Staff, and Makenna Thompson to Director of Customer Experience. These well-deserved promotions reflect the Company’s continued commitment to diversity and offering career advancement opportunities for its highly talented and accomplished professionals.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Soulsby, Ms. Elliott, Ms. Moakley Bricker, and Ms. Thompson have already added substantial value to the Company across each of their respective areas of focus, and they are all expected to have an even greater impact on the future of Agrify now that they have assumed more prominent and integral roles.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Lastly, as previously announced, Timothy Oakes, Agrify’s Chief Financial Officer, recently notified the Company of his intent to resign to pursue other opportunities. Mr. Oakes has agreed to continue in his current position until the end of February and is expected to support the organization during this transitional period. A search for Mr. Oakes’ successor is well underway.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past few years, Agrify has fortified its position as one of the leading solution providers in the cannabis industry, offering customers a full suite of highly compelling products and services across cultivation and extraction,” said Raymond Chang, Chairman and Chief Executive Officer of Agrify. “However, like many organizations in our industry and within the broader business landscape, we continue to encounter various headwinds that have necessitated significant adjustments to our short-term operating plan. Consequently, we have taken steps to create more stability during these uncertain times by better aligning our resources with the most attractive growth opportunities currently at our disposal, optimizing our sales strategy, and ensuring we have the right team in place to execute on our goals.”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Mr. Chang continued, “As we forge ahead, we are confident in our collective ability to withstand these challenging circumstances and pursue a more suitable path for growth. We believe the plan we are carrying out will enable us to become cash flow positive by the end of the year and support the creation of greater value for our shareholders, customers, and employees. While some of the dynamics in the current macro environment have undoubtedly impeded progress for all, we believe the cannabis industry continues to offer substantial long-term upside, with robust global growth expected in the coming years. We have worked diligently to establish ourselves as a leading brand across cultivation and extraction, and we remain undeterred in our quest to become the world’s most innovative end-to-end solution provider in the cannabis industry, offering a comprehensive ecosystem of products and services to help our customers succeed at any stage of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potential to be cash flow positive by the end of 2023, the expected effect of cost improvement measures on cash burn and margins, the expected operational savings to be realized as a result of cost efficiency measures and the ERP system, Agrify’s ability to adjust its sales approach to capitalize on changing market opportunities, the timing of Agrify TTK Solution facilities coming online and the expected revenue and margins to be realized from those facilities, the effect on Agrify’s cash burn of temporarily waiting to pursue additional Agrify TTK Solution opportunities, the potential benefits of Agrify’s RDP program and the timing thereof, Agrify’s ability to expand in the university, pharmaceutical, and research markets, Agrify’s ability to launch new extraction products this year and the timing thereof, the expected long-term growth of the cannabis industry, and Agrify’s ability to deliver solutions and services, including the development of new solutions.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Jared Jaffe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of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jared.jaffe@agrify.com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686-1309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Rachel Soulsby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rachel.soulsby@agrify.com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 660-9125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lowerRoman"/>
      <w:start w:val="1"/>
    </w:lvl>
    <w:lvl w:ilvl="1">
      <w:lvlJc w:val="left"/>
      <w:lvlText w:val="%2."/>
      <w:numFmt w:val="decimal"/>
      <w:start w:val="4"/>
    </w:lvl>
  </w:abstractNum>
  <w:abstractNum w:abstractNumId="5">
    <w:nsid w:val="6B68079A"/>
    <w:multiLevelType w:val="hybridMultilevel"/>
    <w:lvl w:ilvl="0">
      <w:lvlJc w:val="left"/>
      <w:lvlText w:val="(%1)"/>
      <w:numFmt w:val="lowerRoman"/>
      <w:start w:val="6"/>
    </w:lvl>
    <w:lvl w:ilvl="1">
      <w:lvlJc w:val="left"/>
      <w:lvlText w:val="%2"/>
      <w:numFmt w:val="decimal"/>
      <w:start w:val="1"/>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lowerLetter"/>
      <w:start w:val="1"/>
    </w:lvl>
    <w:lvl w:ilvl="1">
      <w:lvlJc w:val="left"/>
      <w:lvlText w:val="(%2)"/>
      <w:numFmt w:val="lowerLetter"/>
      <w:start w:val="1"/>
    </w:lvl>
  </w:abstractNum>
  <w:abstractNum w:abstractNumId="8">
    <w:nsid w:val="519B500D"/>
    <w:multiLevelType w:val="hybridMultilevel"/>
    <w:lvl w:ilvl="0">
      <w:lvlJc w:val="left"/>
      <w:lvlText w:val="(%1)"/>
      <w:numFmt w:val="lowerLetter"/>
      <w:start w:val="22"/>
    </w:lvl>
    <w:lvl w:ilvl="1">
      <w:lvlJc w:val="left"/>
      <w:lvlText w:val="%2"/>
      <w:numFmt w:val="lowerLetter"/>
      <w:start w:val="1"/>
    </w:lvl>
  </w:abstractNum>
  <w:abstractNum w:abstractNumId="9">
    <w:nsid w:val="431BD7B7"/>
    <w:multiLevelType w:val="hybridMultilevel"/>
    <w:lvl w:ilvl="0">
      <w:lvlJc w:val="left"/>
      <w:lvlText w:val="(%1)"/>
      <w:numFmt w:val="decimal"/>
      <w:start w:val="30"/>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
    <w:nsid w:val="257130A3"/>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3">
    <w:nsid w:val="62BBD95A"/>
    <w:multiLevelType w:val="hybridMultilevel"/>
    <w:lvl w:ilvl="0">
      <w:lvlJc w:val="left"/>
      <w:lvlText w:val="%1."/>
      <w:numFmt w:val="decimal"/>
      <w:start w:val="8"/>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3"/>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3"/>
    </w:lvl>
    <w:lvl w:ilvl="1">
      <w:lvlJc w:val="left"/>
      <w:lvlText w:val="(%2)"/>
      <w:numFmt w:val="lowerRoman"/>
      <w:start w:val="1"/>
    </w:lvl>
  </w:abstractNum>
  <w:abstractNum w:abstractNumId="18">
    <w:nsid w:val="2443A858"/>
    <w:multiLevelType w:val="hybridMultilevel"/>
    <w:lvl w:ilvl="0">
      <w:lvlJc w:val="left"/>
      <w:lvlText w:val="%1"/>
      <w:numFmt w:val="decimal"/>
      <w:start w:val="1"/>
    </w:lvl>
    <w:lvl w:ilvl="1">
      <w:lvlJc w:val="left"/>
      <w:lvlText w:val="(%2)"/>
      <w:numFmt w:val="lowerRoman"/>
      <w:start w:val="4"/>
    </w:lvl>
  </w:abstractNum>
  <w:abstractNum w:abstractNumId="19">
    <w:nsid w:val="2D1D5AE9"/>
    <w:multiLevelType w:val="hybridMultilevel"/>
    <w:lvl w:ilvl="0">
      <w:lvlJc w:val="left"/>
      <w:lvlText w:val="%1."/>
      <w:numFmt w:val="decimal"/>
      <w:start w:val="11"/>
    </w:lvl>
    <w:lvl w:ilvl="1">
      <w:lvlJc w:val="left"/>
      <w:lvlText w:val="%2"/>
      <w:numFmt w:val="lowerRoman"/>
      <w:start w:val="1"/>
    </w:lvl>
  </w:abstractNum>
  <w:abstractNum w:abstractNumId="20">
    <w:nsid w:val="6763845E"/>
    <w:multiLevelType w:val="hybridMultilevel"/>
    <w:lvl w:ilvl="0">
      <w:lvlJc w:val="left"/>
      <w:lvlText w:val="%1"/>
      <w:numFmt w:val="lowerRoman"/>
      <w:start w:val="1"/>
    </w:lvl>
    <w:lvl w:ilvl="1">
      <w:lvlJc w:val="left"/>
      <w:lvlText w:val="%2."/>
      <w:numFmt w:val="decimal"/>
      <w:start w:val="12"/>
    </w:lvl>
  </w:abstractNum>
  <w:abstractNum w:abstractNumId="21">
    <w:nsid w:val="75A2A8D4"/>
    <w:multiLevelType w:val="hybridMultilevel"/>
    <w:lvl w:ilvl="0">
      <w:lvlJc w:val="left"/>
      <w:lvlText w:val="(%1)"/>
      <w:numFmt w:val="lowerRoman"/>
      <w:start w:val="1"/>
    </w:lvl>
    <w:lvl w:ilvl="1">
      <w:lvlJc w:val="left"/>
      <w:lvlText w:val="%2."/>
      <w:numFmt w:val="decimal"/>
      <w:start w:val="13"/>
    </w:lvl>
  </w:abstractNum>
  <w:abstractNum w:abstractNumId="22">
    <w:nsid w:val="8EDBDAB"/>
    <w:multiLevelType w:val="hybridMultilevel"/>
    <w:lvl w:ilvl="0">
      <w:lvlJc w:val="left"/>
      <w:lvlText w:val="%1."/>
      <w:numFmt w:val="decimal"/>
      <w:start w:val="14"/>
    </w:lvl>
  </w:abstractNum>
  <w:abstractNum w:abstractNumId="23">
    <w:nsid w:val="79838CB2"/>
    <w:multiLevelType w:val="hybridMultilevel"/>
    <w:lvl w:ilvl="0">
      <w:lvlJc w:val="left"/>
      <w:lvlText w:val="%1."/>
      <w:numFmt w:val="decimal"/>
      <w:start w:val="17"/>
    </w:lvl>
  </w:abstractNum>
  <w:abstractNum w:abstractNumId="24">
    <w:nsid w:val="4353D0CD"/>
    <w:multiLevelType w:val="hybridMultilevel"/>
    <w:lvl w:ilvl="0">
      <w:lvlJc w:val="left"/>
      <w:lvlText w:val="%1."/>
      <w:numFmt w:val="decimal"/>
      <w:start w:val="18"/>
    </w:lvl>
  </w:abstractNum>
  <w:abstractNum w:abstractNumId="25">
    <w:nsid w:val="B03E0C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2023-01-24T15:37:16Z</dcterms:created>
  <dcterms:modified xsi:type="dcterms:W3CDTF">2023-01-24T15:37:16Z</dcterms:modified>
</cp:coreProperties>
</file>