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12,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AGRIFY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0"/>
              </w:rPr>
              <w:t>Nevada</w:t>
            </w:r>
          </w:p>
        </w:tc>
        <w:tc>
          <w:tcPr>
            <w:tcW w:w="2980" w:type="dxa"/>
            <w:vAlign w:val="bottom"/>
            <w:gridSpan w:val="3"/>
          </w:tcPr>
          <w:p>
            <w:pPr>
              <w:jc w:val="right"/>
              <w:ind w:right="1400"/>
              <w:spacing w:after="0"/>
              <w:rPr>
                <w:sz w:val="20"/>
                <w:szCs w:val="20"/>
                <w:color w:val="auto"/>
              </w:rPr>
            </w:pPr>
            <w:r>
              <w:rPr>
                <w:rFonts w:ascii="Arial" w:cs="Arial" w:eastAsia="Arial" w:hAnsi="Arial"/>
                <w:sz w:val="18"/>
                <w:szCs w:val="18"/>
                <w:b w:val="1"/>
                <w:bCs w:val="1"/>
                <w:color w:val="auto"/>
              </w:rPr>
              <w:t>001-39946</w:t>
            </w:r>
          </w:p>
        </w:tc>
        <w:tc>
          <w:tcPr>
            <w:tcW w:w="382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30-0943453</w:t>
            </w:r>
          </w:p>
        </w:tc>
      </w:tr>
      <w:tr>
        <w:trPr>
          <w:trHeight w:val="224"/>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3"/>
          </w:tcPr>
          <w:p>
            <w:pPr>
              <w:jc w:val="center"/>
              <w:ind w:right="620"/>
              <w:spacing w:after="0"/>
              <w:rPr>
                <w:sz w:val="20"/>
                <w:szCs w:val="20"/>
                <w:color w:val="auto"/>
              </w:rPr>
            </w:pPr>
            <w:r>
              <w:rPr>
                <w:rFonts w:ascii="Arial" w:cs="Arial" w:eastAsia="Arial" w:hAnsi="Arial"/>
                <w:sz w:val="18"/>
                <w:szCs w:val="18"/>
                <w:color w:val="auto"/>
                <w:w w:val="93"/>
              </w:rPr>
              <w:t>(Commission File Number)</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4440" w:type="dxa"/>
            <w:vAlign w:val="bottom"/>
            <w:gridSpan w:val="3"/>
          </w:tcPr>
          <w:p>
            <w:pPr>
              <w:jc w:val="center"/>
              <w:ind w:left="1110"/>
              <w:spacing w:after="0"/>
              <w:rPr>
                <w:sz w:val="20"/>
                <w:szCs w:val="20"/>
                <w:color w:val="auto"/>
              </w:rPr>
            </w:pPr>
            <w:r>
              <w:rPr>
                <w:rFonts w:ascii="Arial" w:cs="Arial" w:eastAsia="Arial" w:hAnsi="Arial"/>
                <w:sz w:val="18"/>
                <w:szCs w:val="18"/>
                <w:b w:val="1"/>
                <w:bCs w:val="1"/>
                <w:color w:val="auto"/>
                <w:w w:val="91"/>
              </w:rPr>
              <w:t>76 Treble Cove Rd.</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40" w:type="dxa"/>
            <w:vAlign w:val="bottom"/>
            <w:gridSpan w:val="3"/>
          </w:tcPr>
          <w:p>
            <w:pPr>
              <w:jc w:val="center"/>
              <w:ind w:left="1110"/>
              <w:spacing w:after="0"/>
              <w:rPr>
                <w:sz w:val="20"/>
                <w:szCs w:val="20"/>
                <w:color w:val="auto"/>
              </w:rPr>
            </w:pPr>
            <w:r>
              <w:rPr>
                <w:rFonts w:ascii="Arial" w:cs="Arial" w:eastAsia="Arial" w:hAnsi="Arial"/>
                <w:sz w:val="18"/>
                <w:szCs w:val="18"/>
                <w:b w:val="1"/>
                <w:bCs w:val="1"/>
                <w:color w:val="auto"/>
                <w:w w:val="91"/>
              </w:rPr>
              <w:t>Building 3</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440" w:type="dxa"/>
            <w:vAlign w:val="bottom"/>
            <w:tcBorders>
              <w:bottom w:val="single" w:sz="8" w:color="auto"/>
            </w:tcBorders>
            <w:gridSpan w:val="3"/>
          </w:tcPr>
          <w:p>
            <w:pPr>
              <w:jc w:val="center"/>
              <w:ind w:left="1110"/>
              <w:spacing w:after="0"/>
              <w:rPr>
                <w:sz w:val="20"/>
                <w:szCs w:val="20"/>
                <w:color w:val="auto"/>
              </w:rPr>
            </w:pPr>
            <w:r>
              <w:rPr>
                <w:rFonts w:ascii="Arial" w:cs="Arial" w:eastAsia="Arial" w:hAnsi="Arial"/>
                <w:sz w:val="18"/>
                <w:szCs w:val="18"/>
                <w:b w:val="1"/>
                <w:bCs w:val="1"/>
                <w:color w:val="auto"/>
                <w:w w:val="93"/>
              </w:rPr>
              <w:t>Billerica, MA 01862</w:t>
            </w:r>
          </w:p>
        </w:tc>
        <w:tc>
          <w:tcPr>
            <w:tcW w:w="11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2"/>
          </w:tcPr>
          <w:p>
            <w:pPr>
              <w:jc w:val="right"/>
              <w:ind w:right="2390"/>
              <w:spacing w:after="0"/>
              <w:rPr>
                <w:sz w:val="20"/>
                <w:szCs w:val="20"/>
                <w:color w:val="auto"/>
              </w:rPr>
            </w:pPr>
            <w:r>
              <w:rPr>
                <w:rFonts w:ascii="Arial" w:cs="Arial" w:eastAsia="Arial" w:hAnsi="Arial"/>
                <w:sz w:val="18"/>
                <w:szCs w:val="18"/>
                <w:b w:val="1"/>
                <w:bCs w:val="1"/>
                <w:color w:val="auto"/>
              </w:rPr>
              <w:t>01862</w:t>
            </w:r>
          </w:p>
        </w:tc>
      </w:tr>
      <w:tr>
        <w:trPr>
          <w:trHeight w:val="224"/>
        </w:trPr>
        <w:tc>
          <w:tcPr>
            <w:tcW w:w="4440" w:type="dxa"/>
            <w:vAlign w:val="bottom"/>
            <w:gridSpan w:val="3"/>
          </w:tcPr>
          <w:p>
            <w:pPr>
              <w:jc w:val="center"/>
              <w:ind w:left="1090"/>
              <w:spacing w:after="0"/>
              <w:rPr>
                <w:sz w:val="20"/>
                <w:szCs w:val="20"/>
                <w:color w:val="auto"/>
              </w:rPr>
            </w:pPr>
            <w:r>
              <w:rPr>
                <w:rFonts w:ascii="Arial" w:cs="Arial" w:eastAsia="Arial" w:hAnsi="Arial"/>
                <w:sz w:val="18"/>
                <w:szCs w:val="18"/>
                <w:color w:val="auto"/>
                <w:w w:val="92"/>
              </w:rPr>
              <w:t>(Address of principal executive offices)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Pr>
          <w:p>
            <w:pPr>
              <w:jc w:val="center"/>
              <w:ind w:right="171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940" w:firstLine="8"/>
        <w:spacing w:after="0" w:line="498" w:lineRule="auto"/>
        <w:tabs>
          <w:tab w:leader="none" w:pos="27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jc w:val="center"/>
              <w:ind w:right="390"/>
              <w:spacing w:after="0"/>
              <w:rPr>
                <w:sz w:val="20"/>
                <w:szCs w:val="20"/>
                <w:color w:val="auto"/>
              </w:rPr>
            </w:pPr>
            <w:r>
              <w:rPr>
                <w:rFonts w:ascii="Arial" w:cs="Arial" w:eastAsia="Arial" w:hAnsi="Arial"/>
                <w:sz w:val="18"/>
                <w:szCs w:val="18"/>
                <w:b w:val="1"/>
                <w:bCs w:val="1"/>
                <w:color w:val="auto"/>
                <w:w w:val="87"/>
              </w:rPr>
              <w:t>Title of each class</w:t>
            </w: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160" w:type="dxa"/>
            <w:vAlign w:val="bottom"/>
          </w:tcPr>
          <w:p>
            <w:pPr>
              <w:jc w:val="center"/>
              <w:ind w:left="4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34"/>
        </w:trPr>
        <w:tc>
          <w:tcPr>
            <w:tcW w:w="42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16"/>
        </w:trPr>
        <w:tc>
          <w:tcPr>
            <w:tcW w:w="420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89"/>
              </w:rPr>
              <w:t>Common Stock, par value $0.001 per share</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AGFY</w:t>
            </w:r>
          </w:p>
        </w:tc>
        <w:tc>
          <w:tcPr>
            <w:tcW w:w="41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On July 12, 2023, the Board of Directors of Agrify Corporation (the “Company”) approved the issuance of an unsecured promissory note (the “Note”) in favor of GIC Acquisition, LLC (the “Investor”), an entity that is owned and managed by Raymond Chang, the Company’s Chairman and Chief Executive Officer. Pursuant to the Note, the Investor will lend up to $500,000 to the Company. The Note bears interest at a rate of 10% per annum, will mature in full on August 6, 2023, and may be prepaid without any fee or penalty. The Note ranks junior to all existing secured indebtedness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set forth in Item 1.01 of this Current Report on Form 8-K regarding the Note is incorporated herein by reference into this Item 2.03.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files or furnishes, as applicable, the following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220" w:type="dxa"/>
            <w:vAlign w:val="bottom"/>
            <w:gridSpan w:val="4"/>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78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0220" w:type="dxa"/>
            <w:vAlign w:val="bottom"/>
            <w:gridSpan w:val="4"/>
            <w:shd w:val="clear" w:color="auto" w:fill="CCEEFF"/>
          </w:tcPr>
          <w:p>
            <w:pPr>
              <w:ind w:left="220"/>
              <w:spacing w:after="0" w:line="176" w:lineRule="exact"/>
              <w:rPr>
                <w:sz w:val="20"/>
                <w:szCs w:val="20"/>
                <w:color w:val="auto"/>
              </w:rPr>
            </w:pPr>
            <w:r>
              <w:rPr>
                <w:rFonts w:ascii="Arial" w:cs="Arial" w:eastAsia="Arial" w:hAnsi="Arial"/>
                <w:sz w:val="18"/>
                <w:szCs w:val="18"/>
                <w:color w:val="0000EE"/>
              </w:rPr>
              <w:t>Promissory Note</w:t>
            </w:r>
          </w:p>
        </w:tc>
      </w:tr>
      <w:tr>
        <w:trPr>
          <w:trHeight w:val="216"/>
        </w:trPr>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878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02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gridSpan w:val="4"/>
          </w:tcPr>
          <w:p>
            <w:pPr>
              <w:jc w:val="right"/>
              <w:ind w:right="5560"/>
              <w:spacing w:after="0"/>
              <w:rPr>
                <w:sz w:val="20"/>
                <w:szCs w:val="20"/>
                <w:color w:val="auto"/>
              </w:rPr>
            </w:pPr>
            <w:r>
              <w:rPr>
                <w:rFonts w:ascii="Arial" w:cs="Arial" w:eastAsia="Arial" w:hAnsi="Arial"/>
                <w:sz w:val="22"/>
                <w:szCs w:val="22"/>
                <w:color w:val="auto"/>
              </w:rPr>
              <w:t>1</w:t>
            </w:r>
          </w:p>
        </w:tc>
      </w:tr>
    </w:tbl>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0"/>
        <w:spacing w:after="0"/>
        <w:tabs>
          <w:tab w:leader="none" w:pos="7180" w:val="left"/>
          <w:tab w:leader="none" w:pos="7620" w:val="left"/>
        </w:tabs>
        <w:rPr>
          <w:sz w:val="20"/>
          <w:szCs w:val="20"/>
          <w:color w:val="auto"/>
        </w:rPr>
      </w:pPr>
      <w:r>
        <w:rPr>
          <w:rFonts w:ascii="Arial" w:cs="Arial" w:eastAsia="Arial" w:hAnsi="Arial"/>
          <w:sz w:val="18"/>
          <w:szCs w:val="18"/>
          <w:color w:val="auto"/>
        </w:rPr>
        <w:t>Date: July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14605</wp:posOffset>
            </wp:positionV>
            <wp:extent cx="22802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Raymond Nobu Chang</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4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740" w:type="dxa"/>
            <w:vAlign w:val="bottom"/>
          </w:tcPr>
          <w:p>
            <w:pPr>
              <w:jc w:val="right"/>
              <w:spacing w:after="0"/>
              <w:rPr>
                <w:sz w:val="20"/>
                <w:szCs w:val="20"/>
                <w:color w:val="auto"/>
              </w:rPr>
            </w:pPr>
            <w:r>
              <w:rPr>
                <w:rFonts w:ascii="Arial" w:cs="Arial" w:eastAsia="Arial" w:hAnsi="Arial"/>
                <w:sz w:val="22"/>
                <w:szCs w:val="22"/>
                <w:b w:val="1"/>
                <w:bCs w:val="1"/>
                <w:color w:val="auto"/>
              </w:rPr>
              <w:t>Exhibit 4.1</w:t>
            </w:r>
          </w:p>
        </w:tc>
      </w:tr>
      <w:tr>
        <w:trPr>
          <w:trHeight w:val="408"/>
        </w:trPr>
        <w:tc>
          <w:tcPr>
            <w:tcW w:w="4740" w:type="dxa"/>
            <w:vAlign w:val="bottom"/>
          </w:tcPr>
          <w:p>
            <w:pPr>
              <w:spacing w:after="0"/>
              <w:rPr>
                <w:sz w:val="24"/>
                <w:szCs w:val="24"/>
                <w:color w:val="auto"/>
              </w:rPr>
            </w:pPr>
          </w:p>
        </w:tc>
        <w:tc>
          <w:tcPr>
            <w:tcW w:w="6500" w:type="dxa"/>
            <w:vAlign w:val="bottom"/>
            <w:gridSpan w:val="2"/>
          </w:tcPr>
          <w:p>
            <w:pPr>
              <w:jc w:val="right"/>
              <w:ind w:right="4644"/>
              <w:spacing w:after="0"/>
              <w:rPr>
                <w:sz w:val="20"/>
                <w:szCs w:val="20"/>
                <w:color w:val="auto"/>
              </w:rPr>
            </w:pPr>
            <w:r>
              <w:rPr>
                <w:rFonts w:ascii="Arial" w:cs="Arial" w:eastAsia="Arial" w:hAnsi="Arial"/>
                <w:sz w:val="18"/>
                <w:szCs w:val="18"/>
                <w:b w:val="1"/>
                <w:bCs w:val="1"/>
                <w:color w:val="auto"/>
                <w:w w:val="98"/>
              </w:rPr>
              <w:t>PROMISSORY NOTE</w:t>
            </w:r>
          </w:p>
        </w:tc>
      </w:tr>
      <w:tr>
        <w:trPr>
          <w:trHeight w:val="438"/>
        </w:trPr>
        <w:tc>
          <w:tcPr>
            <w:tcW w:w="4740" w:type="dxa"/>
            <w:vAlign w:val="bottom"/>
          </w:tcPr>
          <w:p>
            <w:pPr>
              <w:jc w:val="right"/>
              <w:ind w:right="3750"/>
              <w:spacing w:after="0"/>
              <w:rPr>
                <w:sz w:val="20"/>
                <w:szCs w:val="20"/>
                <w:color w:val="auto"/>
              </w:rPr>
            </w:pPr>
            <w:r>
              <w:rPr>
                <w:rFonts w:ascii="Arial" w:cs="Arial" w:eastAsia="Arial" w:hAnsi="Arial"/>
                <w:sz w:val="18"/>
                <w:szCs w:val="18"/>
                <w:color w:val="auto"/>
                <w:w w:val="87"/>
              </w:rPr>
              <w:t>$500,000.00</w:t>
            </w:r>
          </w:p>
        </w:tc>
        <w:tc>
          <w:tcPr>
            <w:tcW w:w="1760" w:type="dxa"/>
            <w:vAlign w:val="bottom"/>
            <w:tcBorders>
              <w:top w:val="single" w:sz="8" w:color="auto"/>
            </w:tcBorders>
          </w:tcPr>
          <w:p>
            <w:pPr>
              <w:spacing w:after="0"/>
              <w:rPr>
                <w:sz w:val="24"/>
                <w:szCs w:val="24"/>
                <w:color w:val="auto"/>
              </w:rPr>
            </w:pPr>
          </w:p>
        </w:tc>
        <w:tc>
          <w:tcPr>
            <w:tcW w:w="4740" w:type="dxa"/>
            <w:vAlign w:val="bottom"/>
          </w:tcPr>
          <w:p>
            <w:pPr>
              <w:jc w:val="right"/>
              <w:spacing w:after="0"/>
              <w:rPr>
                <w:sz w:val="20"/>
                <w:szCs w:val="20"/>
                <w:color w:val="auto"/>
              </w:rPr>
            </w:pPr>
            <w:r>
              <w:rPr>
                <w:rFonts w:ascii="Arial" w:cs="Arial" w:eastAsia="Arial" w:hAnsi="Arial"/>
                <w:sz w:val="18"/>
                <w:szCs w:val="18"/>
                <w:color w:val="auto"/>
              </w:rPr>
              <w:t>July 12, 2023</w:t>
            </w:r>
          </w:p>
        </w:tc>
      </w:tr>
      <w:tr>
        <w:trPr>
          <w:trHeight w:val="230"/>
        </w:trPr>
        <w:tc>
          <w:tcPr>
            <w:tcW w:w="4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740" w:type="dxa"/>
            <w:vAlign w:val="bottom"/>
          </w:tcPr>
          <w:p>
            <w:pPr>
              <w:jc w:val="right"/>
              <w:spacing w:after="0"/>
              <w:rPr>
                <w:sz w:val="20"/>
                <w:szCs w:val="20"/>
                <w:color w:val="auto"/>
              </w:rPr>
            </w:pPr>
            <w:r>
              <w:rPr>
                <w:rFonts w:ascii="Arial" w:cs="Arial" w:eastAsia="Arial" w:hAnsi="Arial"/>
                <w:sz w:val="18"/>
                <w:szCs w:val="18"/>
                <w:color w:val="auto"/>
              </w:rPr>
              <w:t>Boston, Massachusetts</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FOR VALUE RECEIVED, </w:t>
      </w:r>
      <w:r>
        <w:rPr>
          <w:rFonts w:ascii="Arial" w:cs="Arial" w:eastAsia="Arial" w:hAnsi="Arial"/>
          <w:sz w:val="18"/>
          <w:szCs w:val="18"/>
          <w:b w:val="1"/>
          <w:bCs w:val="1"/>
          <w:color w:val="auto"/>
        </w:rPr>
        <w:t>AGRIFY CORPORATION</w:t>
      </w:r>
      <w:r>
        <w:rPr>
          <w:rFonts w:ascii="Arial" w:cs="Arial" w:eastAsia="Arial" w:hAnsi="Arial"/>
          <w:sz w:val="18"/>
          <w:szCs w:val="18"/>
          <w:color w:val="auto"/>
        </w:rPr>
        <w:t>, a Nevada corporation (</w:t>
      </w:r>
      <w:r>
        <w:rPr>
          <w:rFonts w:ascii="Arial" w:cs="Arial" w:eastAsia="Arial" w:hAnsi="Arial"/>
          <w:sz w:val="18"/>
          <w:szCs w:val="18"/>
          <w:b w:val="1"/>
          <w:bCs w:val="1"/>
          <w:color w:val="auto"/>
        </w:rPr>
        <w:t>“Maker”</w:t>
      </w:r>
      <w:r>
        <w:rPr>
          <w:rFonts w:ascii="Arial" w:cs="Arial" w:eastAsia="Arial" w:hAnsi="Arial"/>
          <w:sz w:val="18"/>
          <w:szCs w:val="18"/>
          <w:color w:val="auto"/>
        </w:rPr>
        <w:t xml:space="preserve">), promises to pay to the order of </w:t>
      </w:r>
      <w:r>
        <w:rPr>
          <w:rFonts w:ascii="Arial" w:cs="Arial" w:eastAsia="Arial" w:hAnsi="Arial"/>
          <w:sz w:val="18"/>
          <w:szCs w:val="18"/>
          <w:b w:val="1"/>
          <w:bCs w:val="1"/>
          <w:color w:val="auto"/>
        </w:rPr>
        <w:t>GIC</w:t>
      </w:r>
      <w:r>
        <w:rPr>
          <w:rFonts w:ascii="Arial" w:cs="Arial" w:eastAsia="Arial" w:hAnsi="Arial"/>
          <w:sz w:val="18"/>
          <w:szCs w:val="18"/>
          <w:color w:val="auto"/>
        </w:rPr>
        <w:t xml:space="preserve"> </w:t>
      </w:r>
      <w:r>
        <w:rPr>
          <w:rFonts w:ascii="Arial" w:cs="Arial" w:eastAsia="Arial" w:hAnsi="Arial"/>
          <w:sz w:val="18"/>
          <w:szCs w:val="18"/>
          <w:b w:val="1"/>
          <w:bCs w:val="1"/>
          <w:color w:val="auto"/>
        </w:rPr>
        <w:t>ACQUISITION, LLC</w:t>
      </w:r>
      <w:r>
        <w:rPr>
          <w:rFonts w:ascii="Arial" w:cs="Arial" w:eastAsia="Arial" w:hAnsi="Arial"/>
          <w:sz w:val="18"/>
          <w:szCs w:val="18"/>
          <w:color w:val="auto"/>
        </w:rPr>
        <w:t>, a Delaware limited liability company with an office at 675 VFW Parkway, Suite 152, Chestnut Hill, Massachusetts 02467-3656</w:t>
      </w:r>
      <w:r>
        <w:rPr>
          <w:rFonts w:ascii="Arial" w:cs="Arial" w:eastAsia="Arial" w:hAnsi="Arial"/>
          <w:sz w:val="18"/>
          <w:szCs w:val="18"/>
          <w:b w:val="1"/>
          <w:bCs w:val="1"/>
          <w:color w:val="auto"/>
        </w:rPr>
        <w:t xml:space="preserve"> (“Holder”)</w:t>
      </w:r>
      <w:r>
        <w:rPr>
          <w:rFonts w:ascii="Arial" w:cs="Arial" w:eastAsia="Arial" w:hAnsi="Arial"/>
          <w:sz w:val="18"/>
          <w:szCs w:val="18"/>
          <w:color w:val="auto"/>
        </w:rPr>
        <w:t>, the principal sum advanced to Maker from time to time up to a maximum of</w:t>
      </w:r>
      <w:r>
        <w:rPr>
          <w:rFonts w:ascii="Arial" w:cs="Arial" w:eastAsia="Arial" w:hAnsi="Arial"/>
          <w:sz w:val="18"/>
          <w:szCs w:val="18"/>
          <w:b w:val="1"/>
          <w:bCs w:val="1"/>
          <w:color w:val="auto"/>
        </w:rPr>
        <w:t xml:space="preserve"> FIVE HUNDRED THOUSAND DOLLARS ($500,000.00) </w:t>
      </w:r>
      <w:r>
        <w:rPr>
          <w:rFonts w:ascii="Arial" w:cs="Arial" w:eastAsia="Arial" w:hAnsi="Arial"/>
          <w:sz w:val="18"/>
          <w:szCs w:val="18"/>
          <w:color w:val="auto"/>
        </w:rPr>
        <w:t>in</w:t>
      </w:r>
      <w:r>
        <w:rPr>
          <w:rFonts w:ascii="Arial" w:cs="Arial" w:eastAsia="Arial" w:hAnsi="Arial"/>
          <w:sz w:val="18"/>
          <w:szCs w:val="18"/>
          <w:b w:val="1"/>
          <w:bCs w:val="1"/>
          <w:color w:val="auto"/>
        </w:rPr>
        <w:t xml:space="preserve"> </w:t>
      </w:r>
      <w:r>
        <w:rPr>
          <w:rFonts w:ascii="Arial" w:cs="Arial" w:eastAsia="Arial" w:hAnsi="Arial"/>
          <w:sz w:val="18"/>
          <w:szCs w:val="18"/>
          <w:color w:val="auto"/>
        </w:rPr>
        <w:t>lawful money of the United States of America, under the terms and at the times stated herein.</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and interest due under this Note shall be payable in full on August 6, 2023.</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may be prepaid, in whole or in part, at any time without any penalty, fee, or premium of any kind.</w:t>
      </w:r>
    </w:p>
    <w:p>
      <w:pPr>
        <w:spacing w:after="0" w:line="11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principal balance outstanding under this Note from time to time shall bear interest at the rate of ten percent (10%) per annum computed on the basis of a 360 day year.</w:t>
      </w:r>
    </w:p>
    <w:p>
      <w:pPr>
        <w:spacing w:after="0" w:line="6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Upon the occurrence a payment default, and at all times thereafter until this Note is paid in full, the principal balance of this Note shall bear interest at the default rate of eighteen percent (18%) per annum computed on the basis of a 360 day year.</w:t>
      </w:r>
    </w:p>
    <w:p>
      <w:pPr>
        <w:spacing w:after="0" w:line="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Maker waives presentment, demand, notice, protest, and delay in connection with the delivery, acceptance, performance, collection, and enforcement of this Note.</w:t>
      </w:r>
    </w:p>
    <w:p>
      <w:pPr>
        <w:spacing w:after="0" w:line="6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No delay or omission on the part of Holder in exercising any right hereunder shall operate as a waiver of such right or of any other right under this Note. A waiver on anyone occasion shall not be construed as a bar to or a waiver of any such right and/or remedy on any future occasion.</w:t>
      </w:r>
    </w:p>
    <w:p>
      <w:pPr>
        <w:spacing w:after="0" w:line="3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Holder shall be entitled to an award of its reasonable costs and expenses, including, but not limited to, reasonable attorney’s fees, incurred in enforcing and collecting the amounts due under this Note.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shall be governed by the laws of the Commonwealth of Massachusetts.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Maker has executed this Note as a sealed instrument as of the date first hereinabove written.</w:t>
      </w:r>
    </w:p>
    <w:p>
      <w:pPr>
        <w:spacing w:after="0" w:line="113"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7080"/>
        <w:spacing w:after="0"/>
        <w:tabs>
          <w:tab w:leader="none" w:pos="7520" w:val="left"/>
        </w:tabs>
        <w:rPr>
          <w:sz w:val="20"/>
          <w:szCs w:val="20"/>
          <w:color w:val="auto"/>
        </w:rPr>
      </w:pPr>
      <w:r>
        <w:rPr>
          <w:rFonts w:ascii="Arial" w:cs="Arial" w:eastAsia="Arial" w:hAnsi="Arial"/>
          <w:sz w:val="18"/>
          <w:szCs w:val="18"/>
          <w:color w:val="auto"/>
        </w:rPr>
        <w:t>By:</w:t>
        <w:tab/>
        <w:t>/s/ Josh Savitz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14605</wp:posOffset>
            </wp:positionV>
            <wp:extent cx="23577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57755" cy="1714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Name: Josh Savitz</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Title: General Counsel</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2023-07-14T15:11:07Z</dcterms:created>
  <dcterms:modified xsi:type="dcterms:W3CDTF">2023-07-14T15:11:07Z</dcterms:modified>
</cp:coreProperties>
</file>