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160" w:type="dxa"/>
            <w:vAlign w:val="bottom"/>
          </w:tcPr>
          <w:p>
            <w:pPr>
              <w:spacing w:after="0"/>
              <w:rPr>
                <w:sz w:val="20"/>
                <w:szCs w:val="20"/>
                <w:color w:val="auto"/>
              </w:rPr>
            </w:pPr>
          </w:p>
        </w:tc>
      </w:tr>
      <w:tr>
        <w:trPr>
          <w:trHeight w:val="410"/>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16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3160" w:type="dxa"/>
            <w:vAlign w:val="bottom"/>
          </w:tcPr>
          <w:p>
            <w:pPr>
              <w:spacing w:after="0"/>
              <w:rPr>
                <w:sz w:val="18"/>
                <w:szCs w:val="18"/>
                <w:color w:val="auto"/>
              </w:rPr>
            </w:pPr>
          </w:p>
        </w:tc>
      </w:tr>
      <w:tr>
        <w:trPr>
          <w:trHeight w:val="238"/>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16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492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September 4, 2024</w:t>
            </w:r>
          </w:p>
        </w:tc>
        <w:tc>
          <w:tcPr>
            <w:tcW w:w="3160" w:type="dxa"/>
            <w:vAlign w:val="bottom"/>
          </w:tcPr>
          <w:p>
            <w:pPr>
              <w:spacing w:after="0"/>
              <w:rPr>
                <w:sz w:val="24"/>
                <w:szCs w:val="24"/>
                <w:color w:val="auto"/>
              </w:rPr>
            </w:pPr>
          </w:p>
        </w:tc>
      </w:tr>
      <w:tr>
        <w:trPr>
          <w:trHeight w:val="414"/>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316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6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60" w:type="dxa"/>
            <w:vAlign w:val="bottom"/>
          </w:tcPr>
          <w:p>
            <w:pPr>
              <w:spacing w:after="0"/>
              <w:rPr>
                <w:sz w:val="20"/>
                <w:szCs w:val="20"/>
                <w:color w:val="auto"/>
              </w:rPr>
            </w:pPr>
          </w:p>
        </w:tc>
      </w:tr>
      <w:tr>
        <w:trPr>
          <w:trHeight w:val="439"/>
        </w:trPr>
        <w:tc>
          <w:tcPr>
            <w:tcW w:w="316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280" w:type="dxa"/>
            <w:vAlign w:val="bottom"/>
            <w:gridSpan w:val="5"/>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160" w:type="dxa"/>
            <w:vAlign w:val="bottom"/>
            <w:tcBorders>
              <w:top w:val="single" w:sz="8" w:color="auto"/>
            </w:tcBorders>
          </w:tcPr>
          <w:p>
            <w:pPr>
              <w:jc w:val="center"/>
              <w:ind w:left="3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160" w:type="dxa"/>
            <w:vAlign w:val="bottom"/>
            <w:tcBorders>
              <w:top w:val="single" w:sz="8" w:color="auto"/>
            </w:tcBorders>
          </w:tcPr>
          <w:p>
            <w:pPr>
              <w:jc w:val="center"/>
              <w:ind w:right="33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8080" w:type="dxa"/>
            <w:vAlign w:val="bottom"/>
            <w:gridSpan w:val="8"/>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3160" w:type="dxa"/>
            <w:vAlign w:val="bottom"/>
          </w:tcPr>
          <w:p>
            <w:pPr>
              <w:spacing w:after="0"/>
              <w:rPr>
                <w:sz w:val="24"/>
                <w:szCs w:val="24"/>
                <w:color w:val="auto"/>
              </w:rPr>
            </w:pPr>
          </w:p>
        </w:tc>
      </w:tr>
      <w:tr>
        <w:trPr>
          <w:trHeight w:val="245"/>
        </w:trPr>
        <w:tc>
          <w:tcPr>
            <w:tcW w:w="3160" w:type="dxa"/>
            <w:vAlign w:val="bottom"/>
            <w:tcBorders>
              <w:bottom w:val="single" w:sz="8" w:color="auto"/>
            </w:tcBorders>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4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340" w:type="dxa"/>
            <w:vAlign w:val="bottom"/>
            <w:gridSpan w:val="3"/>
          </w:tcPr>
          <w:p>
            <w:pPr>
              <w:spacing w:after="0"/>
              <w:rPr>
                <w:sz w:val="20"/>
                <w:szCs w:val="20"/>
                <w:color w:val="auto"/>
              </w:rPr>
            </w:pPr>
          </w:p>
        </w:tc>
        <w:tc>
          <w:tcPr>
            <w:tcW w:w="3160" w:type="dxa"/>
            <w:vAlign w:val="bottom"/>
          </w:tcPr>
          <w:p>
            <w:pPr>
              <w:jc w:val="center"/>
              <w:ind w:right="2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reported, on March 5, 2024, Agrify Corporation (the “Company”) received written notice (the “Notice Letter”) from the Listing Qualifications Department (the “Staff”) of The Nasdaq Stock Market, LLC (“Nasdaq”) notifying the Company that, for the last 30 consecutive business days, the bid price for the Company’s common stock had closed below $1.00 per share, which is the minimum closing price required to maintain continued listing on the Nasdaq Stock Market under Nasdaq Listing Rule 5550(a)(2) (the “Bid Price Rule”). The Notice Letter stated that the Company had 180 calendar days, or until September 3, 2024, to regain compliance by maintaining a minimum closing bid price of at least $1.00 for a minimum of 10 consecutive business days unless the Staff exercises its discretion to extend this period pursuant to Nasdaq Listing Rule 5810(c)(3)(H).</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4, 2024, the Staff notified the Company in writing (the “Extension Letter”) that while the Company had not regained compliance with the Bid Price Rule, it was eligible for an additional 180-day compliance period, or until March 3, 2025, to regain compliance with the Bid Price Rule. Nasdaq’s determination was based on the Company having met the continued listing requirement for market value of publicly held shares and all other applicable requirements for initial listing on The Nasdaq Capital Market, with the exception of the Bid Price Rule, and on the Company’s written notice to Nasdaq of its intention to cure the deficiency during the second compliance period by effecting a reverse stock split, if necessary.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does not regain compliance during the second 180-day period, then Nasdaq will notify the Company of its determination to delist the Company’s common stock, at which point the Company would have an opportunity to appeal the delisting determination to a hearings panel. The Company would remain listed on Nasdaq pending the hearings panel’s decision. There can be no assurance that, if the Company does appeal the delisting determination by Nasdaq to the hearings panel, that such appeal would be successful.</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intends to regain compliance with the minimum bid price requirement under the Nasdaq Listing Rules by effective a reverse stock split. As previously reported, on September 3, 2024, the Company received a written consent signed by a holders of a majority of its outstanding common stock authorizing the Company’s Board of Directors to, without further stockholder approval, effect a reverse stock split of the Company’s issued and outstanding common stock within a range of between 1-for-2 and 1-for-20 by filing an amendment to the Company’s Articles of Incorporation, as amended, with the Secretary of State of the State of Nevada, with the final determination of whether to proceed, the effective time, and the exact ratio of the Reverse Stock Split to be determined by the Board. The Company cannot provide any assurances, however, that it will be able to regain compliance.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regarding, among other things, the Company’s plans to regain compliance with the Bid Price Rule. Such forward-looking statements are based on current expectations and involve inherent risks and uncertainties, including factors that could delay, divert or change them, and could cause actual results to differ materially from those projected in the forward-looking statements. Meaningful factors that could cause actual results to differ include, but are not limited to, (a) Nasdaq’s discretion in applying listing requirements so that, among other things, the Company might be required to maintain a closing bid price of $1.00 or more for more than 10 consecutive business days to regain compliance, (b) the continued failure of the Company’s common stock to trade at prices above $1.00 per share, and (c) other factors discussed in the “Risk Factors” section of the Company’s Annual Report on Form 10-K for the year ended December 31, 2023, which is on file with the Securities and Exchange Commission and available on its website at http://www.sec.gov.</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report speak only as of the date of this report (unless another date is indicated). The Company undertakes no obligation, and specifically declines any obligation, to publicly update or revise any such forward-looking statements, whether as a result of new information, future events or otherwise.</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September 5, 2024</w:t>
      </w:r>
      <w:r>
        <w:rPr>
          <w:sz w:val="20"/>
          <w:szCs w:val="20"/>
          <w:color w:val="auto"/>
        </w:rPr>
        <w:tab/>
      </w:r>
      <w:r>
        <w:rPr>
          <w:rFonts w:ascii="Times New Roman" w:cs="Times New Roman" w:eastAsia="Times New Roman" w:hAnsi="Times New Roman"/>
          <w:sz w:val="18"/>
          <w:szCs w:val="18"/>
          <w:color w:val="auto"/>
        </w:rPr>
        <w:t>By:</w:t>
        <w:tab/>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Raymond Nobu Chang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2024-09-06T05:14:07Z</dcterms:created>
  <dcterms:modified xsi:type="dcterms:W3CDTF">2024-09-06T05:14:07Z</dcterms:modified>
</cp:coreProperties>
</file>