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647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647690"/>
                    </a:xfrm>
                    <a:prstGeom prst="rect">
                      <a:avLst/>
                    </a:prstGeom>
                    <a:noFill/>
                  </pic:spPr>
                </pic:pic>
              </a:graphicData>
            </a:graphic>
          </wp:anchor>
        </w:drawing>
      </w:r>
    </w:p>
    <w:p>
      <w:pPr>
        <w:sectPr>
          <w:pgSz w:w="11900" w:h="16838" w:orient="portrait"/>
          <w:cols w:equalWidth="0" w:num="1">
            <w:col w:w="10940"/>
          </w:cols>
          <w:pgMar w:left="480" w:top="230" w:right="479" w:bottom="23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Drucker Steve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07/14/2022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235"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AGRIFY CORPORATION</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76 TREBLE COVE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3</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BILLERICA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01862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Information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235"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3,985</w:t>
            </w:r>
          </w:p>
        </w:tc>
        <w:tc>
          <w:tcPr>
            <w:tcW w:w="880" w:type="dxa"/>
            <w:vAlign w:val="bottom"/>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05/06/2030</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30,022</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2.28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05/06/2030</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40,202</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2.28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07/20/2030</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14,120</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2.28</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10/19/2030</w:t>
            </w:r>
          </w:p>
        </w:tc>
        <w:tc>
          <w:tcPr>
            <w:tcW w:w="1740" w:type="dxa"/>
            <w:vAlign w:val="bottom"/>
          </w:tcPr>
          <w:p>
            <w:pPr>
              <w:jc w:val="center"/>
              <w:ind w:left="32"/>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51,721</w:t>
            </w:r>
          </w:p>
        </w:tc>
        <w:tc>
          <w:tcPr>
            <w:tcW w:w="4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4.86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received an option to purchase Common Stock from the issuer on May 6, 2020. All of the shares underlying the option vested on February 1, 2021.</w:t>
      </w:r>
    </w:p>
    <w:p>
      <w:pPr>
        <w:spacing w:after="0" w:line="52" w:lineRule="exact"/>
        <w:rPr>
          <w:rFonts w:ascii="Times New Roman" w:cs="Times New Roman" w:eastAsia="Times New Roman" w:hAnsi="Times New Roman"/>
          <w:sz w:val="15"/>
          <w:szCs w:val="15"/>
          <w:color w:val="008000"/>
        </w:rPr>
      </w:pPr>
    </w:p>
    <w:p>
      <w:pPr>
        <w:ind w:left="40" w:right="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received an option to purchase Common Stock from the issuer on May 6, 2020. 50% of the shares underlying the option vested on February 1, 2021, and the remaining underlying shares vest in 24 equal monthly installments on the first day of each month thereafter.</w:t>
      </w:r>
    </w:p>
    <w:p>
      <w:pPr>
        <w:spacing w:after="0" w:line="17" w:lineRule="exact"/>
        <w:rPr>
          <w:rFonts w:ascii="Times New Roman" w:cs="Times New Roman" w:eastAsia="Times New Roman" w:hAnsi="Times New Roman"/>
          <w:sz w:val="15"/>
          <w:szCs w:val="15"/>
          <w:color w:val="008000"/>
        </w:rPr>
      </w:pPr>
    </w:p>
    <w:p>
      <w:pPr>
        <w:ind w:left="40" w:right="2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received an option to purchase Common Stock from the issuer on July 20, 2020. 50% of the shares underlying the option vested on February 1, 2021, and the remaining underlying shares vest in 24 equal monthly installments on the first day of each month thereafter.</w:t>
      </w:r>
    </w:p>
    <w:p>
      <w:pPr>
        <w:spacing w:after="0" w:line="17" w:lineRule="exact"/>
        <w:rPr>
          <w:rFonts w:ascii="Times New Roman" w:cs="Times New Roman" w:eastAsia="Times New Roman" w:hAnsi="Times New Roman"/>
          <w:sz w:val="15"/>
          <w:szCs w:val="15"/>
          <w:color w:val="008000"/>
        </w:rPr>
      </w:pPr>
    </w:p>
    <w:p>
      <w:pPr>
        <w:ind w:left="40" w:right="24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received an option to purchase Common Stock from the issuer on October 19, 2020. 50% of the shares underlying the option vested on February 1, 2021, and the remaining underlying shares vest in 24 equal monthly installments on the first day of each month thereafter.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Josh Savitz, attorney-</w:t>
            </w:r>
          </w:p>
        </w:tc>
        <w:tc>
          <w:tcPr>
            <w:tcW w:w="2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07/28/2022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235"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24.1</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LIMITED POWER OF ATTORNEY</w:t>
      </w:r>
    </w:p>
    <w:p>
      <w:pPr>
        <w:spacing w:after="0" w:line="250" w:lineRule="exact"/>
        <w:rPr>
          <w:sz w:val="20"/>
          <w:szCs w:val="20"/>
          <w:color w:val="auto"/>
        </w:rPr>
      </w:pPr>
    </w:p>
    <w:p>
      <w:pPr>
        <w:ind w:right="420" w:firstLine="720"/>
        <w:spacing w:after="0" w:line="261" w:lineRule="auto"/>
        <w:rPr>
          <w:sz w:val="20"/>
          <w:szCs w:val="20"/>
          <w:color w:val="auto"/>
        </w:rPr>
      </w:pPr>
      <w:r>
        <w:rPr>
          <w:rFonts w:ascii="Times New Roman" w:cs="Times New Roman" w:eastAsia="Times New Roman" w:hAnsi="Times New Roman"/>
          <w:sz w:val="20"/>
          <w:szCs w:val="20"/>
          <w:color w:val="auto"/>
        </w:rPr>
        <w:t>The undersigned, Steve Drucker, hereby appoints Robert Petitt and Chad Porter of Burns &amp; Levinson LLP of Boston, Massachusetts, and other designated attorneys, and Kathrine LeBlanc and Michael Cifelli, each a paralegal of such firm, as well as Joshua Savitz, Associate General Counsel of Agrify Corporation, a Nevada corporation (the “</w:t>
      </w:r>
      <w:r>
        <w:rPr>
          <w:rFonts w:ascii="Times New Roman" w:cs="Times New Roman" w:eastAsia="Times New Roman" w:hAnsi="Times New Roman"/>
          <w:sz w:val="20"/>
          <w:szCs w:val="20"/>
          <w:b w:val="1"/>
          <w:bCs w:val="1"/>
          <w:u w:val="single" w:color="auto"/>
          <w:color w:val="auto"/>
        </w:rPr>
        <w:t>Company</w:t>
      </w:r>
      <w:r>
        <w:rPr>
          <w:rFonts w:ascii="Times New Roman" w:cs="Times New Roman" w:eastAsia="Times New Roman" w:hAnsi="Times New Roman"/>
          <w:sz w:val="20"/>
          <w:szCs w:val="20"/>
          <w:color w:val="auto"/>
        </w:rPr>
        <w:t>”), to be his true and lawful attorney-in-fact (his “</w:t>
      </w:r>
      <w:r>
        <w:rPr>
          <w:rFonts w:ascii="Times New Roman" w:cs="Times New Roman" w:eastAsia="Times New Roman" w:hAnsi="Times New Roman"/>
          <w:sz w:val="20"/>
          <w:szCs w:val="20"/>
          <w:b w:val="1"/>
          <w:bCs w:val="1"/>
          <w:u w:val="single" w:color="auto"/>
          <w:color w:val="auto"/>
        </w:rPr>
        <w:t>Attorney</w:t>
      </w:r>
      <w:r>
        <w:rPr>
          <w:rFonts w:ascii="Times New Roman" w:cs="Times New Roman" w:eastAsia="Times New Roman" w:hAnsi="Times New Roman"/>
          <w:sz w:val="20"/>
          <w:szCs w:val="20"/>
          <w:color w:val="auto"/>
        </w:rPr>
        <w:t>”) in his name and on his behalf to:</w:t>
      </w:r>
    </w:p>
    <w:p>
      <w:pPr>
        <w:spacing w:after="0" w:line="200" w:lineRule="exact"/>
        <w:rPr>
          <w:sz w:val="20"/>
          <w:szCs w:val="20"/>
          <w:color w:val="auto"/>
        </w:rPr>
      </w:pPr>
    </w:p>
    <w:p>
      <w:pPr>
        <w:ind w:right="160" w:firstLine="720"/>
        <w:spacing w:after="0" w:line="282" w:lineRule="auto"/>
        <w:tabs>
          <w:tab w:leader="none" w:pos="100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SEC Form ID’s and any other documents necessary with the United States Securities and Exchange Commission on behalf of the undersigned to obtain filing codes for the undersigned;</w:t>
      </w:r>
    </w:p>
    <w:p>
      <w:pPr>
        <w:spacing w:after="0" w:line="179" w:lineRule="exact"/>
        <w:rPr>
          <w:rFonts w:ascii="Times New Roman" w:cs="Times New Roman" w:eastAsia="Times New Roman" w:hAnsi="Times New Roman"/>
          <w:sz w:val="20"/>
          <w:szCs w:val="20"/>
          <w:color w:val="auto"/>
        </w:rPr>
      </w:pPr>
    </w:p>
    <w:p>
      <w:pPr>
        <w:ind w:right="240" w:firstLine="720"/>
        <w:spacing w:after="0" w:line="261" w:lineRule="auto"/>
        <w:tabs>
          <w:tab w:leader="none" w:pos="10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Forms 3, 4, and 5 (including any amendments thereto) with respect to the securities of the Company, with the United States Securities and Exchange Commission, any national securities exchanges and the Company, all as considered necessary or advisable under Section 16(a) of the Securities Exchange Act of 1934 and the rules and regulations promulgated thereunder, as amended from time to time (the “</w:t>
      </w:r>
      <w:r>
        <w:rPr>
          <w:rFonts w:ascii="Times New Roman" w:cs="Times New Roman" w:eastAsia="Times New Roman" w:hAnsi="Times New Roman"/>
          <w:sz w:val="20"/>
          <w:szCs w:val="20"/>
          <w:b w:val="1"/>
          <w:bCs w:val="1"/>
          <w:u w:val="single" w:color="auto"/>
          <w:color w:val="auto"/>
        </w:rPr>
        <w:t>Exchange Act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0"/>
          <w:szCs w:val="20"/>
          <w:color w:val="auto"/>
        </w:rPr>
      </w:pPr>
    </w:p>
    <w:p>
      <w:pPr>
        <w:ind w:right="160" w:firstLine="720"/>
        <w:spacing w:after="0" w:line="258" w:lineRule="auto"/>
        <w:tabs>
          <w:tab w:leader="none" w:pos="10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if necessary or advisable in connection with performing the acts described in (1) above or under Section 16(a) of the Exchange Act,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04" w:lineRule="exact"/>
        <w:rPr>
          <w:rFonts w:ascii="Times New Roman" w:cs="Times New Roman" w:eastAsia="Times New Roman" w:hAnsi="Times New Roman"/>
          <w:sz w:val="20"/>
          <w:szCs w:val="20"/>
          <w:color w:val="auto"/>
        </w:rPr>
      </w:pPr>
    </w:p>
    <w:p>
      <w:pPr>
        <w:ind w:right="200" w:firstLine="720"/>
        <w:spacing w:after="0" w:line="282" w:lineRule="auto"/>
        <w:tabs>
          <w:tab w:leader="none" w:pos="10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 any and all other acts which in the discretion of such attorney-in-fact are necessary or desirable for and on behalf of the undersigned in connection with the foregoing.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acknowledges and agrees that:</w:t>
      </w:r>
    </w:p>
    <w:p>
      <w:pPr>
        <w:spacing w:after="0" w:line="250" w:lineRule="exact"/>
        <w:rPr>
          <w:sz w:val="20"/>
          <w:szCs w:val="20"/>
          <w:color w:val="auto"/>
        </w:rPr>
      </w:pPr>
    </w:p>
    <w:p>
      <w:pPr>
        <w:ind w:right="240" w:firstLine="720"/>
        <w:spacing w:after="0" w:line="258" w:lineRule="auto"/>
        <w:tabs>
          <w:tab w:leader="none" w:pos="10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authorizes, but does not require, such attorney-in-fact to act in their discretion on information provided to such attorney-in-fact without independent verification of such information and such attorney-in-fact may presume that any such information he receives is accurate and complete and he has no obligation to independently verify such information and is not responsible for any liability based on the inaccuracy or incompleteness of such information as it is provided by the undersigned;</w:t>
      </w:r>
    </w:p>
    <w:p>
      <w:pPr>
        <w:spacing w:after="0" w:line="204" w:lineRule="exact"/>
        <w:rPr>
          <w:rFonts w:ascii="Times New Roman" w:cs="Times New Roman" w:eastAsia="Times New Roman" w:hAnsi="Times New Roman"/>
          <w:sz w:val="20"/>
          <w:szCs w:val="20"/>
          <w:color w:val="auto"/>
        </w:rPr>
      </w:pPr>
    </w:p>
    <w:p>
      <w:pPr>
        <w:ind w:right="400" w:firstLine="720"/>
        <w:spacing w:after="0" w:line="266" w:lineRule="auto"/>
        <w:tabs>
          <w:tab w:leader="none" w:pos="1004"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and/or executed by such attorney-in-fact on behalf of the undersigned pursuant to this Limited Power of Attorney will be in such form and will contain such information and disclosure as such attorney-in-fact, in his or her discretion, deems necessary or desirable;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461010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jc w:val="both"/>
        <w:ind w:right="140" w:firstLine="720"/>
        <w:spacing w:after="0" w:line="266" w:lineRule="auto"/>
        <w:tabs>
          <w:tab w:leader="none" w:pos="10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w:t>
      </w:r>
    </w:p>
    <w:p>
      <w:pPr>
        <w:spacing w:after="0" w:line="195" w:lineRule="exact"/>
        <w:rPr>
          <w:rFonts w:ascii="Times New Roman" w:cs="Times New Roman" w:eastAsia="Times New Roman" w:hAnsi="Times New Roman"/>
          <w:sz w:val="20"/>
          <w:szCs w:val="20"/>
          <w:color w:val="auto"/>
        </w:rPr>
      </w:pPr>
    </w:p>
    <w:p>
      <w:pPr>
        <w:jc w:val="both"/>
        <w:ind w:right="60" w:firstLine="720"/>
        <w:spacing w:after="0" w:line="282" w:lineRule="auto"/>
        <w:tabs>
          <w:tab w:leader="none" w:pos="10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does not relieve the undersigned from responsibility for compliance with the undersigned's obligations under the Exchange Act, including without limitation the reporting requirements under Section 16 of the Exchange Act; and</w:t>
      </w:r>
    </w:p>
    <w:p>
      <w:pPr>
        <w:spacing w:after="0" w:line="179" w:lineRule="exact"/>
        <w:rPr>
          <w:rFonts w:ascii="Times New Roman" w:cs="Times New Roman" w:eastAsia="Times New Roman" w:hAnsi="Times New Roman"/>
          <w:sz w:val="20"/>
          <w:szCs w:val="20"/>
          <w:color w:val="auto"/>
        </w:rPr>
      </w:pPr>
    </w:p>
    <w:p>
      <w:pPr>
        <w:jc w:val="both"/>
        <w:ind w:right="40" w:firstLine="720"/>
        <w:spacing w:after="0" w:line="261" w:lineRule="auto"/>
        <w:tabs>
          <w:tab w:leader="none" w:pos="100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also hereby agrees that the Attorney shall not be liable for any error of judgment or for any act reasonably done or step reasonably taken or omitted in good faith, and that the undersigned agrees to indemnify, defend on a current basis, and hold harmless the Attorney from and against any and all claims, obligations, liabilities or causes of action asserted by any person relating to or arising out of, or as a consequence of, any such action or omission hereunder.</w:t>
      </w:r>
    </w:p>
    <w:p>
      <w:pPr>
        <w:spacing w:after="0" w:line="185" w:lineRule="exact"/>
        <w:rPr>
          <w:sz w:val="20"/>
          <w:szCs w:val="20"/>
          <w:color w:val="auto"/>
        </w:rPr>
      </w:pPr>
    </w:p>
    <w:p>
      <w:pPr>
        <w:ind w:right="280" w:firstLine="720"/>
        <w:spacing w:after="0" w:line="258" w:lineRule="auto"/>
        <w:rPr>
          <w:sz w:val="20"/>
          <w:szCs w:val="20"/>
          <w:color w:val="auto"/>
        </w:rPr>
      </w:pPr>
      <w:r>
        <w:rPr>
          <w:rFonts w:ascii="Times New Roman" w:cs="Times New Roman" w:eastAsia="Times New Roman" w:hAnsi="Times New Roman"/>
          <w:sz w:val="20"/>
          <w:szCs w:val="20"/>
          <w:color w:val="auto"/>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 on behalf of the undersigned, shall lawfully do or cause to be done by virtue of this Limited Power of Attorney. This Limited Power of Attorney shall remain in full force and effect until revoked by the undersigned in a signed writing delivered to such attorney-in-fact.</w:t>
      </w:r>
    </w:p>
    <w:p>
      <w:pPr>
        <w:spacing w:after="0" w:line="205" w:lineRule="exact"/>
        <w:rPr>
          <w:sz w:val="20"/>
          <w:szCs w:val="20"/>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This Limited Power of Attorney may be filed with the United States Securities and Exchange Commission, any other federal, state or foreign securities regulators, and other entities as a confirming statement of the authority granted herein.</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this Limited Power of Attorney has been duly executed this 18th day of July, 2022.</w:t>
      </w:r>
    </w:p>
    <w:p>
      <w:pPr>
        <w:spacing w:after="0" w:line="2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/s/ Steve Drucker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19050</wp:posOffset>
            </wp:positionV>
            <wp:extent cx="27730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Steve Drucker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476885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X"/>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39609"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2022-07-28T17:30:54Z</dcterms:created>
  <dcterms:modified xsi:type="dcterms:W3CDTF">2022-07-28T17:30:54Z</dcterms:modified>
</cp:coreProperties>
</file>