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755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5551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Kovler Benjamin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57"/>
        <w:spacing w:after="0"/>
        <w:rPr>
          <w:sz w:val="20"/>
          <w:szCs w:val="20"/>
          <w:color w:val="auto"/>
        </w:rPr>
      </w:pPr>
      <w:r>
        <w:rPr>
          <w:rFonts w:ascii="Times New Roman" w:cs="Times New Roman" w:eastAsia="Times New Roman" w:hAnsi="Times New Roman"/>
          <w:sz w:val="17"/>
          <w:szCs w:val="17"/>
          <w:color w:val="0000FF"/>
        </w:rPr>
        <w:t>Interim 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9"/>
            <w:vMerge w:val="restart"/>
          </w:tcPr>
          <w:p>
            <w:pPr>
              <w:jc w:val="center"/>
              <w:ind w:right="34"/>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9"/>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840" w:type="dxa"/>
            <w:vAlign w:val="bottom"/>
          </w:tcPr>
          <w:p>
            <w:pPr>
              <w:ind w:left="640"/>
              <w:spacing w:after="0"/>
              <w:rPr>
                <w:sz w:val="20"/>
                <w:szCs w:val="20"/>
                <w:color w:val="auto"/>
              </w:rPr>
            </w:pPr>
            <w:r>
              <w:rPr>
                <w:rFonts w:ascii="Times New Roman" w:cs="Times New Roman" w:eastAsia="Times New Roman" w:hAnsi="Times New Roman"/>
                <w:sz w:val="17"/>
                <w:szCs w:val="17"/>
                <w:color w:val="0000FF"/>
                <w:w w:val="86"/>
              </w:rPr>
              <w:t>MI</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48084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6"/>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11/20/2024</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2"/>
                <w:szCs w:val="22"/>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10,000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98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0000FF"/>
              </w:rPr>
              <w:t>11/19/2024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2"/>
                <w:szCs w:val="12"/>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50,000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4" w:lineRule="exact"/>
        <w:rPr>
          <w:rFonts w:ascii="Times New Roman" w:cs="Times New Roman" w:eastAsia="Times New Roman" w:hAnsi="Times New Roman"/>
          <w:sz w:val="13"/>
          <w:szCs w:val="13"/>
          <w:color w:val="008000"/>
        </w:rPr>
      </w:pPr>
    </w:p>
    <w:p>
      <w:pPr>
        <w:ind w:left="40" w:right="5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November 19, 2025, subject to obtaining shareholder approval for an increase in shares available under the Plan sufficient to grant shares of common stock underlying the restricted stock units, and subject to the reporting person's continuous service to the issuer through such vesting date.</w:t>
      </w:r>
    </w:p>
    <w:p>
      <w:pPr>
        <w:spacing w:after="0" w:line="16"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purchased by the Reporting Person for a purchase price of $38.76 per share of common stock in connection with the Issuer's private placement that closed on November 21, 2024, which purchase price was determined in accordance with applicable Nasdaq listing rules.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Lindsey Ford, attorney-in-</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11/21/2024</w:t>
            </w:r>
          </w:p>
        </w:tc>
        <w:tc>
          <w:tcPr>
            <w:tcW w:w="0" w:type="dxa"/>
            <w:vAlign w:val="bottom"/>
          </w:tcPr>
          <w:p>
            <w:pPr>
              <w:spacing w:after="0"/>
              <w:rPr>
                <w:sz w:val="1"/>
                <w:szCs w:val="1"/>
                <w:color w:val="auto"/>
              </w:rPr>
            </w:pPr>
          </w:p>
        </w:tc>
      </w:tr>
      <w:tr>
        <w:trPr>
          <w:trHeight w:val="88"/>
        </w:trPr>
        <w:tc>
          <w:tcPr>
            <w:tcW w:w="26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3"/>
              </w:rPr>
              <w:t>fact</w:t>
            </w:r>
          </w:p>
        </w:tc>
        <w:tc>
          <w:tcPr>
            <w:tcW w:w="19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3392"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2024-11-21T19:07:44Z</dcterms:created>
  <dcterms:modified xsi:type="dcterms:W3CDTF">2024-11-21T19:07:44Z</dcterms:modified>
</cp:coreProperties>
</file>