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60" w:right="479"/>
        <w:spacing w:after="0" w:line="257" w:lineRule="auto"/>
        <w:rPr>
          <w:sz w:val="20"/>
          <w:szCs w:val="20"/>
          <w:color w:val="auto"/>
        </w:rPr>
      </w:pPr>
      <w:r>
        <w:rPr>
          <w:rFonts w:ascii="Arial" w:cs="Arial" w:eastAsia="Arial" w:hAnsi="Arial"/>
          <w:sz w:val="18"/>
          <w:szCs w:val="18"/>
          <w:b w:val="1"/>
          <w:bCs w:val="1"/>
          <w:color w:val="auto"/>
        </w:rPr>
        <w:t>Confidentially submitted to the Securities and Exchange Commission on August 12, 2020.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5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48895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91440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AGRIFY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2680" w:type="dxa"/>
            <w:vAlign w:val="bottom"/>
            <w:gridSpan w:val="2"/>
          </w:tcPr>
          <w:p>
            <w:pPr>
              <w:ind w:left="980"/>
              <w:spacing w:after="0"/>
              <w:rPr>
                <w:sz w:val="20"/>
                <w:szCs w:val="20"/>
                <w:color w:val="auto"/>
              </w:rPr>
            </w:pPr>
            <w:r>
              <w:rPr>
                <w:rFonts w:ascii="Arial" w:cs="Arial" w:eastAsia="Arial" w:hAnsi="Arial"/>
                <w:sz w:val="18"/>
                <w:szCs w:val="18"/>
                <w:b w:val="1"/>
                <w:bCs w:val="1"/>
                <w:color w:val="auto"/>
              </w:rPr>
              <w:t>Nevada</w:t>
            </w:r>
          </w:p>
        </w:tc>
        <w:tc>
          <w:tcPr>
            <w:tcW w:w="2620" w:type="dxa"/>
            <w:vAlign w:val="bottom"/>
          </w:tcPr>
          <w:p>
            <w:pPr>
              <w:jc w:val="right"/>
              <w:ind w:right="1030"/>
              <w:spacing w:after="0"/>
              <w:rPr>
                <w:sz w:val="20"/>
                <w:szCs w:val="20"/>
                <w:color w:val="auto"/>
              </w:rPr>
            </w:pPr>
            <w:r>
              <w:rPr>
                <w:rFonts w:ascii="Arial" w:cs="Arial" w:eastAsia="Arial" w:hAnsi="Arial"/>
                <w:sz w:val="18"/>
                <w:szCs w:val="18"/>
                <w:b w:val="1"/>
                <w:bCs w:val="1"/>
                <w:color w:val="auto"/>
              </w:rPr>
              <w:t>8742</w:t>
            </w:r>
          </w:p>
        </w:tc>
        <w:tc>
          <w:tcPr>
            <w:tcW w:w="80" w:type="dxa"/>
            <w:vAlign w:val="bottom"/>
          </w:tcPr>
          <w:p>
            <w:pPr>
              <w:spacing w:after="0"/>
              <w:rPr>
                <w:sz w:val="20"/>
                <w:szCs w:val="20"/>
                <w:color w:val="auto"/>
              </w:rPr>
            </w:pPr>
          </w:p>
        </w:tc>
        <w:tc>
          <w:tcPr>
            <w:tcW w:w="2720" w:type="dxa"/>
            <w:vAlign w:val="bottom"/>
          </w:tcPr>
          <w:p>
            <w:pPr>
              <w:jc w:val="right"/>
              <w:ind w:right="830"/>
              <w:spacing w:after="0"/>
              <w:rPr>
                <w:sz w:val="20"/>
                <w:szCs w:val="20"/>
                <w:color w:val="auto"/>
              </w:rPr>
            </w:pPr>
            <w:r>
              <w:rPr>
                <w:rFonts w:ascii="Arial" w:cs="Arial" w:eastAsia="Arial" w:hAnsi="Arial"/>
                <w:sz w:val="18"/>
                <w:szCs w:val="18"/>
                <w:b w:val="1"/>
                <w:bCs w:val="1"/>
                <w:color w:val="auto"/>
              </w:rPr>
              <w:t>30-0943453</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600" w:type="dxa"/>
            <w:vAlign w:val="bottom"/>
          </w:tcPr>
          <w:p>
            <w:pPr>
              <w:ind w:left="220"/>
              <w:spacing w:after="0" w:line="195" w:lineRule="exact"/>
              <w:rPr>
                <w:sz w:val="20"/>
                <w:szCs w:val="20"/>
                <w:color w:val="auto"/>
              </w:rPr>
            </w:pPr>
            <w:r>
              <w:rPr>
                <w:rFonts w:ascii="Arial" w:cs="Arial" w:eastAsia="Arial" w:hAnsi="Arial"/>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ind w:left="280"/>
              <w:spacing w:after="0" w:line="195" w:lineRule="exact"/>
              <w:rPr>
                <w:sz w:val="20"/>
                <w:szCs w:val="20"/>
                <w:color w:val="auto"/>
              </w:rPr>
            </w:pPr>
            <w:r>
              <w:rPr>
                <w:rFonts w:ascii="Arial" w:cs="Arial" w:eastAsia="Arial" w:hAnsi="Arial"/>
                <w:sz w:val="18"/>
                <w:szCs w:val="18"/>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5"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2680" w:type="dxa"/>
            <w:vAlign w:val="bottom"/>
            <w:gridSpan w:val="2"/>
          </w:tcPr>
          <w:p>
            <w:pPr>
              <w:ind w:left="220"/>
              <w:spacing w:after="0"/>
              <w:rPr>
                <w:sz w:val="20"/>
                <w:szCs w:val="20"/>
                <w:color w:val="auto"/>
              </w:rPr>
            </w:pPr>
            <w:r>
              <w:rPr>
                <w:rFonts w:ascii="Arial" w:cs="Arial" w:eastAsia="Arial" w:hAnsi="Arial"/>
                <w:sz w:val="18"/>
                <w:szCs w:val="18"/>
                <w:color w:val="auto"/>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classification code number)</w:t>
            </w:r>
          </w:p>
        </w:tc>
        <w:tc>
          <w:tcPr>
            <w:tcW w:w="2720" w:type="dxa"/>
            <w:vAlign w:val="bottom"/>
          </w:tcPr>
          <w:p>
            <w:pPr>
              <w:jc w:val="center"/>
              <w:spacing w:after="0"/>
              <w:rPr>
                <w:sz w:val="20"/>
                <w:szCs w:val="20"/>
                <w:color w:val="auto"/>
              </w:rPr>
            </w:pPr>
            <w:r>
              <w:rPr>
                <w:rFonts w:ascii="Arial" w:cs="Arial" w:eastAsia="Arial" w:hAnsi="Arial"/>
                <w:sz w:val="18"/>
                <w:szCs w:val="18"/>
                <w:color w:val="auto"/>
                <w:w w:val="92"/>
              </w:rPr>
              <w:t>identification number)</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1600 District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 106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Burlington, MA 01803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(714) 613-1900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Raymond Chang, Chief Executive Officer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Middlesex Turnpike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6, PMB 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Burlington, MA 01803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(714) 613-1900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194"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Mitchell S. Nussbaum, Esq.</w:t>
            </w:r>
          </w:p>
        </w:tc>
        <w:tc>
          <w:tcPr>
            <w:tcW w:w="444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Barry I. Grossman, Esq.</w:t>
            </w:r>
          </w:p>
        </w:tc>
      </w:t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Norwood P. Beveridge, Esq.</w:t>
            </w:r>
          </w:p>
        </w:tc>
        <w:tc>
          <w:tcPr>
            <w:tcW w:w="4440" w:type="dxa"/>
            <w:vAlign w:val="bottom"/>
          </w:tcPr>
          <w:p>
            <w:pPr>
              <w:jc w:val="center"/>
              <w:ind w:left="1290"/>
              <w:spacing w:after="0"/>
              <w:rPr>
                <w:sz w:val="20"/>
                <w:szCs w:val="20"/>
                <w:color w:val="auto"/>
              </w:rPr>
            </w:pPr>
            <w:r>
              <w:rPr>
                <w:rFonts w:ascii="Arial" w:cs="Arial" w:eastAsia="Arial" w:hAnsi="Arial"/>
                <w:sz w:val="18"/>
                <w:szCs w:val="18"/>
                <w:b w:val="1"/>
                <w:bCs w:val="1"/>
                <w:color w:val="auto"/>
                <w:w w:val="88"/>
              </w:rPr>
              <w:t>Lawrence A. Rosenbloom, Esq.</w:t>
            </w:r>
          </w:p>
        </w:tc>
      </w:tr>
      <w:tr>
        <w:trPr>
          <w:trHeight w:val="216"/>
        </w:trPr>
        <w:tc>
          <w:tcPr>
            <w:tcW w:w="22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David J. Levine, Esq.</w:t>
            </w:r>
          </w:p>
        </w:tc>
        <w:tc>
          <w:tcPr>
            <w:tcW w:w="444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Ellenoff Grossman &amp; Schole LLP</w:t>
            </w:r>
          </w:p>
        </w:tc>
      </w:t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Loeb &amp; Loeb LLP</w:t>
            </w:r>
          </w:p>
        </w:tc>
        <w:tc>
          <w:tcPr>
            <w:tcW w:w="4440" w:type="dxa"/>
            <w:vAlign w:val="bottom"/>
          </w:tcPr>
          <w:p>
            <w:pPr>
              <w:jc w:val="center"/>
              <w:ind w:left="1290"/>
              <w:spacing w:after="0" w:line="216" w:lineRule="exact"/>
              <w:rPr>
                <w:sz w:val="20"/>
                <w:szCs w:val="20"/>
                <w:color w:val="auto"/>
              </w:rPr>
            </w:pPr>
            <w:r>
              <w:rPr>
                <w:rFonts w:ascii="Arial" w:cs="Arial" w:eastAsia="Arial" w:hAnsi="Arial"/>
                <w:sz w:val="18"/>
                <w:szCs w:val="18"/>
                <w:b w:val="1"/>
                <w:bCs w:val="1"/>
                <w:color w:val="auto"/>
                <w:w w:val="89"/>
              </w:rPr>
              <w:t>1345 Avenue of the Americas, 11</w:t>
            </w:r>
            <w:r>
              <w:rPr>
                <w:rFonts w:ascii="Arial" w:cs="Arial" w:eastAsia="Arial" w:hAnsi="Arial"/>
                <w:sz w:val="20"/>
                <w:szCs w:val="20"/>
                <w:b w:val="1"/>
                <w:bCs w:val="1"/>
                <w:color w:val="auto"/>
                <w:w w:val="89"/>
                <w:vertAlign w:val="superscript"/>
              </w:rPr>
              <w:t>th</w:t>
            </w:r>
            <w:r>
              <w:rPr>
                <w:rFonts w:ascii="Arial" w:cs="Arial" w:eastAsia="Arial" w:hAnsi="Arial"/>
                <w:sz w:val="18"/>
                <w:szCs w:val="18"/>
                <w:b w:val="1"/>
                <w:bCs w:val="1"/>
                <w:color w:val="auto"/>
                <w:w w:val="89"/>
              </w:rPr>
              <w:t xml:space="preserve"> Floor</w:t>
            </w:r>
          </w:p>
        </w:tc>
      </w:t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345 Park Avenue</w:t>
            </w:r>
          </w:p>
        </w:tc>
        <w:tc>
          <w:tcPr>
            <w:tcW w:w="4440" w:type="dxa"/>
            <w:vAlign w:val="bottom"/>
          </w:tcPr>
          <w:p>
            <w:pPr>
              <w:jc w:val="center"/>
              <w:ind w:left="1290"/>
              <w:spacing w:after="0"/>
              <w:rPr>
                <w:sz w:val="20"/>
                <w:szCs w:val="20"/>
                <w:color w:val="auto"/>
              </w:rPr>
            </w:pPr>
            <w:r>
              <w:rPr>
                <w:rFonts w:ascii="Arial" w:cs="Arial" w:eastAsia="Arial" w:hAnsi="Arial"/>
                <w:sz w:val="18"/>
                <w:szCs w:val="18"/>
                <w:b w:val="1"/>
                <w:bCs w:val="1"/>
                <w:color w:val="auto"/>
                <w:w w:val="94"/>
              </w:rPr>
              <w:t>New York, NY 10105</w:t>
            </w:r>
          </w:p>
        </w:tc>
      </w:t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New York, NY 10154</w:t>
            </w:r>
          </w:p>
        </w:tc>
        <w:tc>
          <w:tcPr>
            <w:tcW w:w="444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Tel: (212) 370-1300</w:t>
            </w:r>
          </w:p>
        </w:tc>
      </w:tr>
      <w:tr>
        <w:trPr>
          <w:trHeight w:val="216"/>
        </w:trPr>
        <w:tc>
          <w:tcPr>
            <w:tcW w:w="22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Tel: (212) 407-4000</w:t>
            </w:r>
          </w:p>
        </w:tc>
        <w:tc>
          <w:tcPr>
            <w:tcW w:w="4440" w:type="dxa"/>
            <w:vAlign w:val="bottom"/>
          </w:tcPr>
          <w:p>
            <w:pPr>
              <w:jc w:val="center"/>
              <w:ind w:left="1270"/>
              <w:spacing w:after="0"/>
              <w:rPr>
                <w:sz w:val="20"/>
                <w:szCs w:val="20"/>
                <w:color w:val="auto"/>
              </w:rPr>
            </w:pPr>
            <w:r>
              <w:rPr>
                <w:rFonts w:ascii="Arial" w:cs="Arial" w:eastAsia="Arial" w:hAnsi="Arial"/>
                <w:sz w:val="18"/>
                <w:szCs w:val="18"/>
                <w:b w:val="1"/>
                <w:bCs w:val="1"/>
                <w:color w:val="auto"/>
                <w:w w:val="92"/>
              </w:rPr>
              <w:t>Fax: (212) 370-7889</w:t>
            </w:r>
          </w:p>
        </w:tc>
      </w:tr>
      <w:tr>
        <w:trPr>
          <w:trHeight w:val="234"/>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Fax: (212) 937-3943</w:t>
            </w:r>
          </w:p>
        </w:tc>
        <w:tc>
          <w:tcPr>
            <w:tcW w:w="444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4440" w:type="dxa"/>
            <w:vAlign w:val="bottom"/>
          </w:tcPr>
          <w:p>
            <w:pPr>
              <w:jc w:val="right"/>
              <w:ind w:right="2710"/>
              <w:spacing w:after="0"/>
              <w:rPr>
                <w:sz w:val="20"/>
                <w:szCs w:val="20"/>
                <w:color w:val="auto"/>
              </w:rPr>
            </w:pPr>
            <w:r>
              <w:rPr>
                <w:rFonts w:ascii="Arial" w:cs="Arial" w:eastAsia="Arial" w:hAnsi="Arial"/>
                <w:sz w:val="18"/>
                <w:szCs w:val="18"/>
                <w:color w:val="auto"/>
                <w:w w:val="95"/>
              </w:rPr>
              <w:t>_________________</w:t>
            </w:r>
          </w:p>
        </w:tc>
      </w:tr>
    </w:tbl>
    <w:p>
      <w:pPr>
        <w:spacing w:after="0" w:line="36" w:lineRule="exact"/>
        <w:rPr>
          <w:sz w:val="24"/>
          <w:szCs w:val="24"/>
          <w:color w:val="auto"/>
        </w:rPr>
      </w:pPr>
    </w:p>
    <w:p>
      <w:pPr>
        <w:ind w:left="460" w:right="659" w:firstLine="432"/>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of this registration statement.</w:t>
      </w:r>
    </w:p>
    <w:p>
      <w:pPr>
        <w:spacing w:after="0" w:line="4" w:lineRule="exact"/>
        <w:rPr>
          <w:sz w:val="24"/>
          <w:szCs w:val="24"/>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w:t>
      </w:r>
    </w:p>
    <w:p>
      <w:pPr>
        <w:spacing w:after="0" w:line="8" w:lineRule="exact"/>
        <w:rPr>
          <w:sz w:val="24"/>
          <w:szCs w:val="24"/>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22" w:lineRule="exact"/>
        <w:rPr>
          <w:sz w:val="24"/>
          <w:szCs w:val="24"/>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22" w:lineRule="exact"/>
        <w:rPr>
          <w:sz w:val="24"/>
          <w:szCs w:val="24"/>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22" w:lineRule="exact"/>
        <w:rPr>
          <w:sz w:val="24"/>
          <w:szCs w:val="24"/>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0" w:lineRule="exact"/>
        <w:rPr>
          <w:sz w:val="24"/>
          <w:szCs w:val="24"/>
          <w:color w:val="auto"/>
        </w:rPr>
      </w:pPr>
    </w:p>
    <w:tbl>
      <w:tblPr>
        <w:tblLayout w:type="fixed"/>
        <w:tblInd w:w="46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Large accelerated filer £</w:t>
            </w:r>
          </w:p>
        </w:tc>
        <w:tc>
          <w:tcPr>
            <w:tcW w:w="4240" w:type="dxa"/>
            <w:vAlign w:val="bottom"/>
          </w:tcPr>
          <w:p>
            <w:pPr>
              <w:ind w:left="620"/>
              <w:spacing w:after="0"/>
              <w:rPr>
                <w:sz w:val="20"/>
                <w:szCs w:val="20"/>
                <w:color w:val="auto"/>
              </w:rPr>
            </w:pPr>
            <w:r>
              <w:rPr>
                <w:rFonts w:ascii="Arial" w:cs="Arial" w:eastAsia="Arial" w:hAnsi="Arial"/>
                <w:sz w:val="18"/>
                <w:szCs w:val="18"/>
                <w:color w:val="auto"/>
              </w:rPr>
              <w:t>Accelerated filer £</w:t>
            </w:r>
          </w:p>
        </w:tc>
      </w:tr>
      <w:tr>
        <w:trPr>
          <w:trHeight w:val="283"/>
        </w:trPr>
        <w:tc>
          <w:tcPr>
            <w:tcW w:w="3860" w:type="dxa"/>
            <w:vAlign w:val="bottom"/>
          </w:tcPr>
          <w:p>
            <w:pPr>
              <w:spacing w:after="0"/>
              <w:rPr>
                <w:sz w:val="20"/>
                <w:szCs w:val="20"/>
                <w:color w:val="auto"/>
              </w:rPr>
            </w:pPr>
            <w:r>
              <w:rPr>
                <w:rFonts w:ascii="Arial" w:cs="Arial" w:eastAsia="Arial" w:hAnsi="Arial"/>
                <w:sz w:val="18"/>
                <w:szCs w:val="18"/>
                <w:color w:val="auto"/>
              </w:rPr>
              <w:t>Non-accelerated filer £</w:t>
            </w:r>
          </w:p>
        </w:tc>
        <w:tc>
          <w:tcPr>
            <w:tcW w:w="4240" w:type="dxa"/>
            <w:vAlign w:val="bottom"/>
          </w:tcPr>
          <w:p>
            <w:pPr>
              <w:ind w:left="620"/>
              <w:spacing w:after="0"/>
              <w:rPr>
                <w:sz w:val="20"/>
                <w:szCs w:val="20"/>
                <w:color w:val="auto"/>
              </w:rPr>
            </w:pPr>
            <w:r>
              <w:rPr>
                <w:rFonts w:ascii="Arial" w:cs="Arial" w:eastAsia="Arial" w:hAnsi="Arial"/>
                <w:sz w:val="18"/>
                <w:szCs w:val="18"/>
                <w:color w:val="auto"/>
              </w:rPr>
              <w:t>Smaller reporting company S</w:t>
            </w:r>
          </w:p>
        </w:tc>
      </w:tr>
      <w:tr>
        <w:trPr>
          <w:trHeight w:val="284"/>
        </w:trPr>
        <w:tc>
          <w:tcPr>
            <w:tcW w:w="3860" w:type="dxa"/>
            <w:vAlign w:val="bottom"/>
          </w:tcPr>
          <w:p>
            <w:pPr>
              <w:spacing w:after="0"/>
              <w:rPr>
                <w:sz w:val="20"/>
                <w:szCs w:val="20"/>
                <w:color w:val="auto"/>
              </w:rPr>
            </w:pPr>
            <w:r>
              <w:rPr>
                <w:rFonts w:ascii="Arial" w:cs="Arial" w:eastAsia="Arial" w:hAnsi="Arial"/>
                <w:sz w:val="18"/>
                <w:szCs w:val="18"/>
                <w:color w:val="auto"/>
              </w:rPr>
              <w:t>(Do not check if smaller reporting company)</w:t>
            </w:r>
          </w:p>
        </w:tc>
        <w:tc>
          <w:tcPr>
            <w:tcW w:w="4240" w:type="dxa"/>
            <w:vAlign w:val="bottom"/>
          </w:tcPr>
          <w:p>
            <w:pPr>
              <w:ind w:left="620"/>
              <w:spacing w:after="0"/>
              <w:rPr>
                <w:sz w:val="20"/>
                <w:szCs w:val="20"/>
                <w:color w:val="auto"/>
              </w:rPr>
            </w:pPr>
            <w:r>
              <w:rPr>
                <w:rFonts w:ascii="Arial" w:cs="Arial" w:eastAsia="Arial" w:hAnsi="Arial"/>
                <w:sz w:val="18"/>
                <w:szCs w:val="18"/>
                <w:color w:val="auto"/>
              </w:rPr>
              <w:t>Emerging growth company S</w:t>
            </w:r>
          </w:p>
        </w:tc>
      </w:tr>
      <w:tr>
        <w:trPr>
          <w:trHeight w:val="445"/>
        </w:trPr>
        <w:tc>
          <w:tcPr>
            <w:tcW w:w="38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0"/>
          <w:szCs w:val="20"/>
          <w:color w:val="auto"/>
        </w:rPr>
      </w:pPr>
    </w:p>
    <w:p>
      <w:pPr>
        <w:ind w:left="6300"/>
        <w:spacing w:after="0"/>
        <w:rPr>
          <w:sz w:val="20"/>
          <w:szCs w:val="20"/>
          <w:color w:val="auto"/>
        </w:rPr>
      </w:pPr>
      <w:r>
        <w:rPr>
          <w:rFonts w:ascii="Arial" w:cs="Arial" w:eastAsia="Arial" w:hAnsi="Arial"/>
          <w:sz w:val="16"/>
          <w:szCs w:val="16"/>
          <w:b w:val="1"/>
          <w:bCs w:val="1"/>
          <w:color w:val="auto"/>
        </w:rPr>
        <w:t>Proposed</w:t>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b w:val="1"/>
          <w:bCs w:val="1"/>
          <w:color w:val="auto"/>
        </w:rPr>
        <w:t>Maximum</w:t>
      </w:r>
    </w:p>
    <w:p>
      <w:pPr>
        <w:spacing w:after="0" w:line="19" w:lineRule="exact"/>
        <w:rPr>
          <w:sz w:val="20"/>
          <w:szCs w:val="20"/>
          <w:color w:val="auto"/>
        </w:rPr>
      </w:pPr>
    </w:p>
    <w:p>
      <w:pPr>
        <w:ind w:left="6260"/>
        <w:spacing w:after="0"/>
        <w:tabs>
          <w:tab w:leader="none" w:pos="7520" w:val="left"/>
        </w:tabs>
        <w:rPr>
          <w:sz w:val="20"/>
          <w:szCs w:val="20"/>
          <w:color w:val="auto"/>
        </w:rPr>
      </w:pPr>
      <w:r>
        <w:rPr>
          <w:rFonts w:ascii="Arial" w:cs="Arial" w:eastAsia="Arial" w:hAnsi="Arial"/>
          <w:sz w:val="16"/>
          <w:szCs w:val="16"/>
          <w:b w:val="1"/>
          <w:bCs w:val="1"/>
          <w:color w:val="auto"/>
        </w:rPr>
        <w:t>Aggregate</w:t>
      </w:r>
      <w:r>
        <w:rPr>
          <w:sz w:val="20"/>
          <w:szCs w:val="20"/>
          <w:color w:val="auto"/>
        </w:rPr>
        <w:tab/>
      </w:r>
      <w:r>
        <w:rPr>
          <w:rFonts w:ascii="Arial" w:cs="Arial" w:eastAsia="Arial" w:hAnsi="Arial"/>
          <w:sz w:val="16"/>
          <w:szCs w:val="16"/>
          <w:b w:val="1"/>
          <w:bCs w:val="1"/>
          <w:color w:val="auto"/>
        </w:rPr>
        <w:t>Amount of</w:t>
      </w:r>
    </w:p>
    <w:p>
      <w:pPr>
        <w:spacing w:after="0" w:line="19" w:lineRule="exact"/>
        <w:rPr>
          <w:sz w:val="20"/>
          <w:szCs w:val="20"/>
          <w:color w:val="auto"/>
        </w:rPr>
      </w:pPr>
    </w:p>
    <w:p>
      <w:pPr>
        <w:ind w:left="6320"/>
        <w:spacing w:after="0"/>
        <w:tabs>
          <w:tab w:leader="none" w:pos="7460" w:val="left"/>
        </w:tabs>
        <w:rPr>
          <w:sz w:val="20"/>
          <w:szCs w:val="20"/>
          <w:color w:val="auto"/>
        </w:rPr>
      </w:pPr>
      <w:r>
        <w:rPr>
          <w:rFonts w:ascii="Arial" w:cs="Arial" w:eastAsia="Arial" w:hAnsi="Arial"/>
          <w:sz w:val="16"/>
          <w:szCs w:val="16"/>
          <w:b w:val="1"/>
          <w:bCs w:val="1"/>
          <w:color w:val="auto"/>
        </w:rPr>
        <w:t>Offering</w:t>
      </w:r>
      <w:r>
        <w:rPr>
          <w:sz w:val="20"/>
          <w:szCs w:val="20"/>
          <w:color w:val="auto"/>
        </w:rPr>
        <w:tab/>
      </w:r>
      <w:r>
        <w:rPr>
          <w:rFonts w:ascii="Arial" w:cs="Arial" w:eastAsia="Arial" w:hAnsi="Arial"/>
          <w:sz w:val="16"/>
          <w:szCs w:val="16"/>
          <w:b w:val="1"/>
          <w:bCs w:val="1"/>
          <w:color w:val="auto"/>
        </w:rPr>
        <w:t>Registration</w:t>
      </w:r>
    </w:p>
    <w:p>
      <w:pPr>
        <w:spacing w:after="0" w:line="19" w:lineRule="exact"/>
        <w:rPr>
          <w:sz w:val="20"/>
          <w:szCs w:val="20"/>
          <w:color w:val="auto"/>
        </w:rPr>
      </w:pPr>
    </w:p>
    <w:p>
      <w:pPr>
        <w:ind w:left="460"/>
        <w:spacing w:after="0"/>
        <w:tabs>
          <w:tab w:leader="none" w:pos="6320" w:val="left"/>
          <w:tab w:leader="none" w:pos="7740" w:val="left"/>
        </w:tabs>
        <w:rPr>
          <w:sz w:val="20"/>
          <w:szCs w:val="20"/>
          <w:color w:val="auto"/>
        </w:rPr>
      </w:pPr>
      <w:r>
        <w:rPr>
          <w:rFonts w:ascii="Arial" w:cs="Arial" w:eastAsia="Arial" w:hAnsi="Arial"/>
          <w:sz w:val="16"/>
          <w:szCs w:val="16"/>
          <w:b w:val="1"/>
          <w:bCs w:val="1"/>
          <w:color w:val="auto"/>
        </w:rPr>
        <w:t>Title of Each Class of Security Being Registered</w:t>
      </w:r>
      <w:r>
        <w:rPr>
          <w:sz w:val="20"/>
          <w:szCs w:val="20"/>
          <w:color w:val="auto"/>
        </w:rPr>
        <w:tab/>
      </w:r>
      <w:r>
        <w:rPr>
          <w:rFonts w:ascii="Arial" w:cs="Arial" w:eastAsia="Arial" w:hAnsi="Arial"/>
          <w:sz w:val="16"/>
          <w:szCs w:val="16"/>
          <w:b w:val="1"/>
          <w:bCs w:val="1"/>
          <w:color w:val="auto"/>
        </w:rPr>
        <w:t>Price</w:t>
      </w:r>
      <w:r>
        <w:rPr>
          <w:rFonts w:ascii="Arial" w:cs="Arial" w:eastAsia="Arial" w:hAnsi="Arial"/>
          <w:sz w:val="18"/>
          <w:szCs w:val="18"/>
          <w:b w:val="1"/>
          <w:bCs w:val="1"/>
          <w:color w:val="auto"/>
          <w:vertAlign w:val="superscript"/>
        </w:rPr>
        <w:t>(1)(2)</w:t>
      </w:r>
      <w:r>
        <w:rPr>
          <w:sz w:val="20"/>
          <w:szCs w:val="20"/>
          <w:color w:val="auto"/>
        </w:rPr>
        <w:tab/>
      </w:r>
      <w:r>
        <w:rPr>
          <w:rFonts w:ascii="Arial" w:cs="Arial" w:eastAsia="Arial" w:hAnsi="Arial"/>
          <w:sz w:val="13"/>
          <w:szCs w:val="13"/>
          <w:b w:val="1"/>
          <w:bCs w:val="1"/>
          <w:color w:val="auto"/>
        </w:rPr>
        <w:t>Fee</w:t>
      </w:r>
      <w:r>
        <w:rPr>
          <w:rFonts w:ascii="Arial" w:cs="Arial" w:eastAsia="Arial" w:hAnsi="Arial"/>
          <w:sz w:val="14"/>
          <w:szCs w:val="14"/>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26670</wp:posOffset>
            </wp:positionV>
            <wp:extent cx="5143500"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$0.001 par value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Representative’s warrants to purchase common stock</w:t>
      </w:r>
      <w:r>
        <w:rPr>
          <w:rFonts w:ascii="Arial" w:cs="Arial" w:eastAsia="Arial" w:hAnsi="Arial"/>
          <w:sz w:val="20"/>
          <w:szCs w:val="20"/>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underlying Representative’s warrants</w:t>
      </w:r>
      <w:r>
        <w:rPr>
          <w:rFonts w:ascii="Arial" w:cs="Arial" w:eastAsia="Arial" w:hAnsi="Arial"/>
          <w:sz w:val="20"/>
          <w:szCs w:val="20"/>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26035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31750</wp:posOffset>
            </wp:positionV>
            <wp:extent cx="157734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25400"/>
                    </a:xfrm>
                    <a:prstGeom prst="rect">
                      <a:avLst/>
                    </a:prstGeom>
                    <a:noFill/>
                  </pic:spPr>
                </pic:pic>
              </a:graphicData>
            </a:graphic>
          </wp:anchor>
        </w:drawing>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819" w:hanging="426"/>
        <w:spacing w:after="0" w:line="266"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common stock that may be issued upon exercise of a 45-day option granted to the underwriters to cover over-allotments, if any.</w:t>
      </w:r>
    </w:p>
    <w:p>
      <w:pPr>
        <w:spacing w:after="0" w:line="1" w:lineRule="exact"/>
        <w:rPr>
          <w:rFonts w:ascii="Arial" w:cs="Arial" w:eastAsia="Arial" w:hAnsi="Arial"/>
          <w:sz w:val="16"/>
          <w:szCs w:val="16"/>
          <w:color w:val="auto"/>
        </w:rPr>
      </w:pPr>
    </w:p>
    <w:p>
      <w:pPr>
        <w:ind w:left="880" w:right="499" w:hanging="426"/>
        <w:spacing w:after="0" w:line="264"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457(o) under the Securities Act of 1933, as amended.</w:t>
      </w:r>
    </w:p>
    <w:p>
      <w:pPr>
        <w:ind w:left="880" w:right="499" w:hanging="426"/>
        <w:spacing w:after="0" w:line="264" w:lineRule="auto"/>
        <w:tabs>
          <w:tab w:leader="none" w:pos="877"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be paid at time of initial filing. Calculated pursuant to Rule 457(o) based on an estimate of the proposed maximum aggregate offering price.</w:t>
      </w:r>
    </w:p>
    <w:p>
      <w:pPr>
        <w:ind w:left="880" w:right="799" w:hanging="426"/>
        <w:spacing w:after="0" w:line="264"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 457(g) under the Securities Act, because the shares of the registrant’s shares of common stock underlying the representative’s warrants are registered hereby, no separate registration fee is required with respect to the warrants registered hereby.</w:t>
      </w:r>
    </w:p>
    <w:p>
      <w:pPr>
        <w:ind w:left="880" w:right="499" w:hanging="426"/>
        <w:spacing w:after="0" w:line="270" w:lineRule="auto"/>
        <w:tabs>
          <w:tab w:leader="none" w:pos="871" w:val="left"/>
        </w:tabs>
        <w:numPr>
          <w:ilvl w:val="0"/>
          <w:numId w:val="1"/>
        </w:numPr>
        <w:rPr>
          <w:rFonts w:ascii="Arial" w:cs="Arial" w:eastAsia="Arial" w:hAnsi="Arial"/>
          <w:sz w:val="16"/>
          <w:szCs w:val="16"/>
          <w:color w:val="auto"/>
        </w:rPr>
      </w:pPr>
      <w:r>
        <w:rPr>
          <w:rFonts w:ascii="Arial" w:cs="Arial" w:eastAsia="Arial" w:hAnsi="Arial"/>
          <w:sz w:val="16"/>
          <w:szCs w:val="16"/>
          <w:color w:val="auto"/>
        </w:rPr>
        <w:t>As estimated solely for the purpose of calculating the registration fee pursuant to Rule 457(g) under the Securities Act. The warrants issued to the representative of the underwriters are exercisable at a per share exercise price equal to 110% of the public offering price. As estimated solely for the purpose of calculating the registration fee pursuant to Rule 457(g) under the Securities Act, the proposed maximum aggregate offering price of the representative’s warrant is $[_________] (which is equal to 5% of $[_________]).</w:t>
      </w:r>
    </w:p>
    <w:p>
      <w:pPr>
        <w:spacing w:after="0" w:line="114"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298450</wp:posOffset>
            </wp:positionV>
            <wp:extent cx="514350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340995</wp:posOffset>
            </wp:positionV>
            <wp:extent cx="514350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615315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ind w:left="460" w:right="539"/>
        <w:spacing w:after="0" w:line="335" w:lineRule="auto"/>
        <w:rPr>
          <w:sz w:val="20"/>
          <w:szCs w:val="20"/>
          <w:color w:val="auto"/>
        </w:rPr>
      </w:pPr>
      <w:r>
        <w:rPr>
          <w:rFonts w:ascii="Arial" w:cs="Arial" w:eastAsia="Arial" w:hAnsi="Arial"/>
          <w:sz w:val="14"/>
          <w:szCs w:val="14"/>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ectPr>
          <w:pgSz w:w="11900" w:h="16838" w:orient="portrait"/>
          <w:cols w:equalWidth="0" w:num="1">
            <w:col w:w="9019"/>
          </w:cols>
          <w:pgMar w:left="1440" w:top="278" w:right="1440" w:bottom="1440" w:gutter="0" w:footer="0" w:header="0"/>
        </w:sectPr>
      </w:pP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D2232A"/>
        </w:rPr>
        <w:t>PRELIMINARY PROSPECTUS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D2232A"/>
        </w:rPr>
        <w:t>SUBJECT TO COMPLETION, DATED AUGUST 12, 2020</w:t>
      </w:r>
    </w:p>
    <w:p>
      <w:pPr>
        <w:spacing w:after="0" w:line="211" w:lineRule="exact"/>
        <w:rPr>
          <w:sz w:val="20"/>
          <w:szCs w:val="20"/>
          <w:color w:val="auto"/>
        </w:rPr>
      </w:pPr>
    </w:p>
    <w:p>
      <w:pPr>
        <w:sectPr>
          <w:pgSz w:w="11900" w:h="16838" w:orient="portrait"/>
          <w:cols w:equalWidth="0" w:num="2">
            <w:col w:w="3260" w:space="720"/>
            <w:col w:w="5039"/>
          </w:cols>
          <w:pgMar w:left="1440" w:top="278" w:right="1440" w:bottom="1440" w:gutter="0" w:footer="0" w:header="0"/>
          <w:type w:val="continuous"/>
        </w:sectPr>
      </w:pPr>
    </w:p>
    <w:p>
      <w:pPr>
        <w:spacing w:after="0" w:line="61"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______________ Shares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157480</wp:posOffset>
            </wp:positionV>
            <wp:extent cx="2966085" cy="857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66085" cy="857250"/>
                    </a:xfrm>
                    <a:prstGeom prst="rect">
                      <a:avLst/>
                    </a:prstGeom>
                    <a:noFill/>
                  </pic:spPr>
                </pic:pic>
              </a:graphicData>
            </a:graphic>
          </wp:anchor>
        </w:drawing>
      </w:r>
    </w:p>
    <w:p>
      <w:pPr>
        <w:sectPr>
          <w:pgSz w:w="11900" w:h="16838" w:orient="portrait"/>
          <w:cols w:equalWidth="0" w:num="1">
            <w:col w:w="9019"/>
          </w:cols>
          <w:pgMar w:left="1440" w:top="27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is the initial public offering of Agrify Corporation. No public market currently exists for our</w:t>
      </w:r>
    </w:p>
    <w:p>
      <w:pPr>
        <w:spacing w:after="0" w:line="23" w:lineRule="exact"/>
        <w:rPr>
          <w:sz w:val="20"/>
          <w:szCs w:val="20"/>
          <w:color w:val="auto"/>
        </w:rPr>
      </w:pPr>
    </w:p>
    <w:p>
      <w:pPr>
        <w:ind w:left="460" w:right="519"/>
        <w:spacing w:after="0" w:line="260" w:lineRule="auto"/>
        <w:rPr>
          <w:sz w:val="20"/>
          <w:szCs w:val="20"/>
          <w:color w:val="auto"/>
        </w:rPr>
      </w:pPr>
      <w:r>
        <w:rPr>
          <w:rFonts w:ascii="Arial" w:cs="Arial" w:eastAsia="Arial" w:hAnsi="Arial"/>
          <w:sz w:val="18"/>
          <w:szCs w:val="18"/>
          <w:color w:val="auto"/>
        </w:rPr>
        <w:t>common stock. We are offering shares of our common stock and anticipate the initial public offering price will be between $ and $ per share.</w:t>
      </w:r>
    </w:p>
    <w:p>
      <w:pPr>
        <w:spacing w:after="0" w:line="145"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We intend to list the common stock on the NASDAQ Capital Market, or NASDAQ, under the symbol “[___].”</w:t>
      </w:r>
    </w:p>
    <w:p>
      <w:pPr>
        <w:spacing w:after="0" w:line="166" w:lineRule="exact"/>
        <w:rPr>
          <w:sz w:val="20"/>
          <w:szCs w:val="20"/>
          <w:color w:val="auto"/>
        </w:rPr>
      </w:pPr>
    </w:p>
    <w:p>
      <w:pPr>
        <w:jc w:val="both"/>
        <w:ind w:left="460" w:right="639" w:firstLine="432"/>
        <w:spacing w:after="0" w:line="289" w:lineRule="auto"/>
        <w:rPr>
          <w:sz w:val="20"/>
          <w:szCs w:val="20"/>
          <w:color w:val="auto"/>
        </w:rPr>
      </w:pPr>
      <w:r>
        <w:rPr>
          <w:rFonts w:ascii="Arial" w:cs="Arial" w:eastAsia="Arial" w:hAnsi="Arial"/>
          <w:sz w:val="17"/>
          <w:szCs w:val="17"/>
          <w:b w:val="1"/>
          <w:bCs w:val="1"/>
          <w:color w:val="auto"/>
        </w:rPr>
        <w:t>We are an “emerging growth company” as defined in the Jumpstart Our Business Startups Act of 2012 and, as such, may elect to comply with certain reduced reporting requirements after this offering. See “Prospectus Summary — Emerging Growth Company Status.”</w:t>
      </w:r>
    </w:p>
    <w:p>
      <w:pPr>
        <w:spacing w:after="0" w:line="117" w:lineRule="exact"/>
        <w:rPr>
          <w:sz w:val="20"/>
          <w:szCs w:val="20"/>
          <w:color w:val="auto"/>
        </w:rPr>
      </w:pPr>
    </w:p>
    <w:p>
      <w:pPr>
        <w:ind w:left="460" w:right="479" w:firstLine="432"/>
        <w:spacing w:after="0" w:line="266" w:lineRule="auto"/>
        <w:rPr>
          <w:sz w:val="20"/>
          <w:szCs w:val="20"/>
          <w:color w:val="auto"/>
        </w:rPr>
      </w:pPr>
      <w:r>
        <w:rPr>
          <w:rFonts w:ascii="Arial" w:cs="Arial" w:eastAsia="Arial" w:hAnsi="Arial"/>
          <w:sz w:val="18"/>
          <w:szCs w:val="18"/>
          <w:b w:val="1"/>
          <w:bCs w:val="1"/>
          <w:color w:val="auto"/>
        </w:rPr>
        <w:t>Investing in our securities is speculative and involves a high degree of risk. You should carefully consider the risk factors beginning on page 17 of this prospectus before purchasing shares of our common stock.</w:t>
      </w:r>
    </w:p>
    <w:p>
      <w:pPr>
        <w:sectPr>
          <w:pgSz w:w="11900" w:h="16838" w:orient="portrait"/>
          <w:cols w:equalWidth="0" w:num="1">
            <w:col w:w="9019"/>
          </w:cols>
          <w:pgMar w:left="1440" w:top="278" w:right="1440"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ind w:left="4560"/>
        <w:spacing w:after="0"/>
        <w:rPr>
          <w:sz w:val="20"/>
          <w:szCs w:val="20"/>
          <w:color w:val="auto"/>
        </w:rPr>
      </w:pPr>
      <w:r>
        <w:rPr>
          <w:rFonts w:ascii="Arial" w:cs="Arial" w:eastAsia="Arial" w:hAnsi="Arial"/>
          <w:sz w:val="14"/>
          <w:szCs w:val="14"/>
          <w:b w:val="1"/>
          <w:bCs w:val="1"/>
          <w:color w:val="auto"/>
        </w:rPr>
        <w:t>Price to Public</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both"/>
        <w:ind w:firstLine="21"/>
        <w:spacing w:after="0" w:line="328" w:lineRule="auto"/>
        <w:rPr>
          <w:sz w:val="20"/>
          <w:szCs w:val="20"/>
          <w:color w:val="auto"/>
        </w:rPr>
      </w:pPr>
      <w:r>
        <w:rPr>
          <w:rFonts w:ascii="Arial" w:cs="Arial" w:eastAsia="Arial" w:hAnsi="Arial"/>
          <w:sz w:val="14"/>
          <w:szCs w:val="14"/>
          <w:b w:val="1"/>
          <w:bCs w:val="1"/>
          <w:color w:val="auto"/>
        </w:rPr>
        <w:t>Underwriting Discounts and Commissions</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Proceeds to Us</w:t>
      </w:r>
    </w:p>
    <w:p>
      <w:pPr>
        <w:spacing w:after="0" w:line="106" w:lineRule="exact"/>
        <w:rPr>
          <w:sz w:val="20"/>
          <w:szCs w:val="20"/>
          <w:color w:val="auto"/>
        </w:rPr>
      </w:pPr>
    </w:p>
    <w:p>
      <w:pPr>
        <w:sectPr>
          <w:pgSz w:w="11900" w:h="16838" w:orient="portrait"/>
          <w:cols w:equalWidth="0" w:num="3">
            <w:col w:w="5580" w:space="340"/>
            <w:col w:w="1020" w:space="420"/>
            <w:col w:w="1659"/>
          </w:cols>
          <w:pgMar w:left="1440" w:top="278" w:right="1440" w:bottom="1440" w:gutter="0" w:footer="0" w:header="0"/>
          <w:type w:val="continuous"/>
        </w:sectPr>
      </w:pPr>
    </w:p>
    <w:tbl>
      <w:tblPr>
        <w:tblLayout w:type="fixed"/>
        <w:tblInd w:w="460" w:type="dxa"/>
        <w:tblCellMar>
          <w:top w:w="0" w:type="dxa"/>
          <w:left w:w="0" w:type="dxa"/>
          <w:bottom w:w="0" w:type="dxa"/>
          <w:right w:w="0" w:type="dxa"/>
        </w:tblCellMar>
      </w:tblPr>
      <w:tr>
        <w:trPr>
          <w:trHeight w:val="259"/>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260" w:type="dxa"/>
            <w:vAlign w:val="bottom"/>
            <w:tcBorders>
              <w:top w:val="single" w:sz="8" w:color="auto"/>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0" w:type="dxa"/>
            <w:vAlign w:val="bottom"/>
            <w:tcBorders>
              <w:top w:val="single" w:sz="8" w:color="auto"/>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10"/>
              <w:spacing w:after="0"/>
              <w:rPr>
                <w:sz w:val="20"/>
                <w:szCs w:val="20"/>
                <w:color w:val="auto"/>
              </w:rPr>
            </w:pPr>
            <w:r>
              <w:rPr>
                <w:rFonts w:ascii="Arial" w:cs="Arial" w:eastAsia="Arial" w:hAnsi="Arial"/>
                <w:sz w:val="18"/>
                <w:szCs w:val="18"/>
                <w:color w:val="auto"/>
              </w:rPr>
              <w:t>$</w:t>
            </w:r>
          </w:p>
        </w:tc>
      </w:tr>
      <w:tr>
        <w:trPr>
          <w:trHeight w:val="291"/>
        </w:trPr>
        <w:tc>
          <w:tcPr>
            <w:tcW w:w="3980" w:type="dxa"/>
            <w:vAlign w:val="bottom"/>
          </w:tcPr>
          <w:p>
            <w:pPr>
              <w:spacing w:after="0"/>
              <w:rPr>
                <w:sz w:val="20"/>
                <w:szCs w:val="20"/>
                <w:color w:val="auto"/>
              </w:rPr>
            </w:pPr>
            <w:r>
              <w:rPr>
                <w:rFonts w:ascii="Arial" w:cs="Arial" w:eastAsia="Arial" w:hAnsi="Arial"/>
                <w:sz w:val="16"/>
                <w:szCs w:val="16"/>
                <w:color w:val="auto"/>
              </w:rPr>
              <w:t>____________</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77" w:lineRule="exact"/>
        <w:rPr>
          <w:sz w:val="20"/>
          <w:szCs w:val="20"/>
          <w:color w:val="auto"/>
        </w:rPr>
      </w:pPr>
    </w:p>
    <w:p>
      <w:pPr>
        <w:ind w:left="880" w:right="619" w:hanging="426"/>
        <w:spacing w:after="0" w:line="293" w:lineRule="auto"/>
        <w:tabs>
          <w:tab w:leader="none" w:pos="880" w:val="left"/>
        </w:tabs>
        <w:numPr>
          <w:ilvl w:val="0"/>
          <w:numId w:val="2"/>
        </w:numPr>
        <w:rPr>
          <w:rFonts w:ascii="Arial" w:cs="Arial" w:eastAsia="Arial" w:hAnsi="Arial"/>
          <w:sz w:val="15"/>
          <w:szCs w:val="15"/>
          <w:color w:val="auto"/>
        </w:rPr>
      </w:pPr>
      <w:r>
        <w:rPr>
          <w:rFonts w:ascii="Arial" w:cs="Arial" w:eastAsia="Arial" w:hAnsi="Arial"/>
          <w:sz w:val="15"/>
          <w:szCs w:val="15"/>
          <w:color w:val="auto"/>
        </w:rPr>
        <w:t>In addition to the underwriting discount of 8.0% of the public offering price (which does not take into account an underwriting discount of 3.5% of the public offering price as applied to shares sold to certain investors), we have agreed to issue warrants to purchase shares of common stock to the underwriters and reimburse the underwriters for certain expenses in connection with this offering. See “Underwriting” for additional information regarding total underwriting compensation, including information on underwriting discounts.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have granted the representative of the underwriters the right to purchase an additional _______shares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our common stock to cover over-allotments.</w:t>
      </w:r>
    </w:p>
    <w:p>
      <w:pPr>
        <w:spacing w:after="0" w:line="247" w:lineRule="exact"/>
        <w:rPr>
          <w:sz w:val="20"/>
          <w:szCs w:val="20"/>
          <w:color w:val="auto"/>
        </w:rPr>
      </w:pPr>
    </w:p>
    <w:p>
      <w:pPr>
        <w:ind w:left="460" w:right="519" w:firstLine="432"/>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7" w:lineRule="exact"/>
        <w:rPr>
          <w:sz w:val="20"/>
          <w:szCs w:val="20"/>
          <w:color w:val="auto"/>
        </w:rPr>
      </w:pPr>
    </w:p>
    <w:p>
      <w:pPr>
        <w:ind w:left="880"/>
        <w:spacing w:after="0"/>
        <w:tabs>
          <w:tab w:leader="none" w:pos="7020" w:val="left"/>
        </w:tabs>
        <w:rPr>
          <w:sz w:val="20"/>
          <w:szCs w:val="20"/>
          <w:color w:val="auto"/>
        </w:rPr>
      </w:pPr>
      <w:r>
        <w:rPr>
          <w:rFonts w:ascii="Arial" w:cs="Arial" w:eastAsia="Arial" w:hAnsi="Arial"/>
          <w:sz w:val="18"/>
          <w:szCs w:val="18"/>
          <w:color w:val="auto"/>
        </w:rPr>
        <w:t>The underwriters expect to deliver the shares of common stock to purchasers on</w:t>
      </w:r>
      <w:r>
        <w:rPr>
          <w:sz w:val="20"/>
          <w:szCs w:val="20"/>
          <w:color w:val="auto"/>
        </w:rPr>
        <w:tab/>
      </w:r>
      <w:r>
        <w:rPr>
          <w:rFonts w:ascii="Arial" w:cs="Arial" w:eastAsia="Arial" w:hAnsi="Arial"/>
          <w:sz w:val="16"/>
          <w:szCs w:val="16"/>
          <w:color w:val="auto"/>
        </w:rPr>
        <w:t>, 2020.</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Maxim Group LLC</w:t>
      </w:r>
    </w:p>
    <w:p>
      <w:pPr>
        <w:spacing w:after="0" w:line="234" w:lineRule="exact"/>
        <w:rPr>
          <w:sz w:val="20"/>
          <w:szCs w:val="20"/>
          <w:color w:val="auto"/>
        </w:rPr>
      </w:pPr>
    </w:p>
    <w:p>
      <w:pPr>
        <w:ind w:left="3020"/>
        <w:spacing w:after="0"/>
        <w:tabs>
          <w:tab w:leader="none" w:pos="552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5"/>
          <w:szCs w:val="15"/>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263525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8" w:right="1440"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Summary Financial and Other Data</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Cautionary Note Regarding Forward-Looking Statements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Market, Industry and Other Data</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34</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Use of Proceeds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Dividend Policy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Capitalization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Dilution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Selected Historical Financial and Operating Data</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39</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Business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78</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Corporate Governance</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80</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Executive Compensation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82</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Certain Relationships and Related-Party Transactions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87</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Security Ownership of Certain Beneficial Owners and 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89</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Description of Securities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90</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Shares Eligible for Future Sale</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93</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Underwriting</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95</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Legal Matters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Experts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101</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Where You Can Find Additional Information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Index to Financial Statements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8"/>
              </w:rPr>
              <w:t>F-1</w:t>
            </w:r>
          </w:p>
        </w:tc>
      </w:tr>
    </w:tbl>
    <w:p>
      <w:pPr>
        <w:spacing w:after="0" w:line="202"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You should rely only on the information contained in this prospectus and in any free writing prospectus. We and the underwriters have not authorized anyone to provide you with information different from that contained in this prospectus. We and the underwriters are offering to sell, and seeking offers to buy, shares of our common stock only in jurisdictions where offers and sales are permitted. The information in this prospectus is accurate only as of the date of this prospectus, regardless of the time of delivery of this prospectus or any sale of shares of our common stock.</w:t>
      </w:r>
    </w:p>
    <w:p>
      <w:pPr>
        <w:spacing w:after="0" w:line="125"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Neither we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69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669020"/>
                    </a:xfrm>
                    <a:prstGeom prst="rect">
                      <a:avLst/>
                    </a:prstGeom>
                    <a:noFill/>
                  </pic:spPr>
                </pic:pic>
              </a:graphicData>
            </a:graphic>
          </wp:anchor>
        </w:drawing>
        <w:t>PROSPECTUS SUMMARY</w:t>
      </w:r>
    </w:p>
    <w:p>
      <w:pPr>
        <w:spacing w:after="0" w:line="148" w:lineRule="exact"/>
        <w:rPr>
          <w:sz w:val="20"/>
          <w:szCs w:val="20"/>
          <w:color w:val="auto"/>
        </w:rPr>
      </w:pPr>
    </w:p>
    <w:p>
      <w:pPr>
        <w:ind w:left="540" w:right="759" w:firstLine="432"/>
        <w:spacing w:after="0" w:line="259" w:lineRule="auto"/>
        <w:rPr>
          <w:sz w:val="20"/>
          <w:szCs w:val="20"/>
          <w:color w:val="auto"/>
        </w:rPr>
      </w:pPr>
      <w:r>
        <w:rPr>
          <w:rFonts w:ascii="Arial" w:cs="Arial" w:eastAsia="Arial" w:hAnsi="Arial"/>
          <w:sz w:val="18"/>
          <w:szCs w:val="18"/>
          <w:i w:val="1"/>
          <w:iCs w:val="1"/>
          <w:color w:val="auto"/>
        </w:rPr>
        <w:t>This summary highlights certain information appearing elsewhere in this prospectus. For a more complete understanding of this offering, you should read the entire prospectus carefully, including the information under “Risk Factors,” “Business” and our financial statements and the related notes included elsewhere in this prospectus before investing in our common stock.</w:t>
      </w:r>
    </w:p>
    <w:p>
      <w:pPr>
        <w:spacing w:after="0" w:line="119" w:lineRule="exact"/>
        <w:rPr>
          <w:sz w:val="20"/>
          <w:szCs w:val="20"/>
          <w:color w:val="auto"/>
        </w:rPr>
      </w:pPr>
    </w:p>
    <w:p>
      <w:pPr>
        <w:jc w:val="both"/>
        <w:ind w:left="540" w:right="879" w:firstLine="432"/>
        <w:spacing w:after="0" w:line="263" w:lineRule="auto"/>
        <w:rPr>
          <w:sz w:val="20"/>
          <w:szCs w:val="20"/>
          <w:color w:val="auto"/>
        </w:rPr>
      </w:pPr>
      <w:r>
        <w:rPr>
          <w:rFonts w:ascii="Arial" w:cs="Arial" w:eastAsia="Arial" w:hAnsi="Arial"/>
          <w:sz w:val="18"/>
          <w:szCs w:val="18"/>
          <w:i w:val="1"/>
          <w:iCs w:val="1"/>
          <w:color w:val="auto"/>
        </w:rPr>
        <w:t>In this prospectus, unless otherwise stated or the context otherwise requires, references to “Agrify, “Company,” “we,” “us,” “our,” or similar references mean Agrify Corporation and its subsidiaries on a consolidated basis.</w:t>
      </w:r>
    </w:p>
    <w:p>
      <w:pPr>
        <w:spacing w:after="0" w:line="116" w:lineRule="exact"/>
        <w:rPr>
          <w:sz w:val="20"/>
          <w:szCs w:val="20"/>
          <w:color w:val="auto"/>
        </w:rPr>
      </w:pPr>
    </w:p>
    <w:p>
      <w:pPr>
        <w:ind w:left="540" w:right="679" w:firstLine="432"/>
        <w:spacing w:after="0" w:line="263" w:lineRule="auto"/>
        <w:rPr>
          <w:sz w:val="20"/>
          <w:szCs w:val="20"/>
          <w:color w:val="auto"/>
        </w:rPr>
      </w:pPr>
      <w:r>
        <w:rPr>
          <w:rFonts w:ascii="Arial" w:cs="Arial" w:eastAsia="Arial" w:hAnsi="Arial"/>
          <w:sz w:val="18"/>
          <w:szCs w:val="18"/>
          <w:i w:val="1"/>
          <w:iCs w:val="1"/>
          <w:color w:val="auto"/>
        </w:rPr>
        <w:t>On [•], 2020, we implemented one-for-[•] reverse stock split of our outstanding common stock. Unless the context expressly dictates otherwise, all references to share and per share amounts referred to herein reflect the reverse stock split.</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540" w:right="599" w:firstLine="432"/>
        <w:spacing w:after="0" w:line="269" w:lineRule="auto"/>
        <w:rPr>
          <w:sz w:val="20"/>
          <w:szCs w:val="20"/>
          <w:color w:val="auto"/>
        </w:rPr>
      </w:pPr>
      <w:r>
        <w:rPr>
          <w:rFonts w:ascii="Arial" w:cs="Arial" w:eastAsia="Arial" w:hAnsi="Arial"/>
          <w:sz w:val="17"/>
          <w:szCs w:val="17"/>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also believe our </w:t>
      </w:r>
      <w:r>
        <w:rPr>
          <w:rFonts w:ascii="Arial" w:cs="Arial" w:eastAsia="Arial" w:hAnsi="Arial"/>
          <w:sz w:val="17"/>
          <w:szCs w:val="17"/>
          <w:i w:val="1"/>
          <w:iCs w:val="1"/>
          <w:color w:val="auto"/>
        </w:rPr>
        <w:t>Agrify “Precision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Elevated™” </w:t>
      </w:r>
      <w:r>
        <w:rPr>
          <w:rFonts w:ascii="Arial" w:cs="Arial" w:eastAsia="Arial" w:hAnsi="Arial"/>
          <w:sz w:val="17"/>
          <w:szCs w:val="17"/>
          <w:color w:val="auto"/>
        </w:rPr>
        <w:t>cultivation solution is vastly differentiated from anything else on the market in that it combines</w:t>
      </w:r>
      <w:r>
        <w:rPr>
          <w:rFonts w:ascii="Arial" w:cs="Arial" w:eastAsia="Arial" w:hAnsi="Arial"/>
          <w:sz w:val="17"/>
          <w:szCs w:val="17"/>
          <w:i w:val="1"/>
          <w:iCs w:val="1"/>
          <w:color w:val="auto"/>
        </w:rPr>
        <w:t xml:space="preserve"> </w:t>
      </w:r>
      <w:r>
        <w:rPr>
          <w:rFonts w:ascii="Arial" w:cs="Arial" w:eastAsia="Arial" w:hAnsi="Arial"/>
          <w:sz w:val="17"/>
          <w:szCs w:val="17"/>
          <w:color w:val="auto"/>
        </w:rPr>
        <w:t>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118" w:lineRule="exact"/>
        <w:rPr>
          <w:sz w:val="20"/>
          <w:szCs w:val="20"/>
          <w:color w:val="auto"/>
        </w:rPr>
      </w:pPr>
    </w:p>
    <w:p>
      <w:pPr>
        <w:ind w:left="540" w:right="559" w:firstLine="432"/>
        <w:spacing w:after="0" w:line="269" w:lineRule="auto"/>
        <w:rPr>
          <w:sz w:val="20"/>
          <w:szCs w:val="20"/>
          <w:color w:val="auto"/>
        </w:rPr>
      </w:pPr>
      <w:r>
        <w:rPr>
          <w:rFonts w:ascii="Arial" w:cs="Arial" w:eastAsia="Arial" w:hAnsi="Arial"/>
          <w:sz w:val="17"/>
          <w:szCs w:val="17"/>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pacing w:after="0" w:line="118" w:lineRule="exact"/>
        <w:rPr>
          <w:sz w:val="20"/>
          <w:szCs w:val="20"/>
          <w:color w:val="auto"/>
        </w:rPr>
      </w:pPr>
    </w:p>
    <w:p>
      <w:pPr>
        <w:ind w:left="540" w:right="579" w:firstLine="432"/>
        <w:spacing w:after="0" w:line="254" w:lineRule="auto"/>
        <w:rPr>
          <w:sz w:val="20"/>
          <w:szCs w:val="20"/>
          <w:color w:val="auto"/>
        </w:rPr>
      </w:pPr>
      <w:r>
        <w:rPr>
          <w:rFonts w:ascii="Arial" w:cs="Arial" w:eastAsia="Arial" w:hAnsi="Arial"/>
          <w:sz w:val="18"/>
          <w:szCs w:val="18"/>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thrive in their field and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111" w:lineRule="exact"/>
        <w:rPr>
          <w:sz w:val="20"/>
          <w:szCs w:val="20"/>
          <w:color w:val="auto"/>
        </w:rPr>
      </w:pPr>
    </w:p>
    <w:p>
      <w:pPr>
        <w:ind w:left="540" w:right="559" w:firstLine="432"/>
        <w:spacing w:after="0" w:line="291" w:lineRule="auto"/>
        <w:rPr>
          <w:sz w:val="20"/>
          <w:szCs w:val="20"/>
          <w:color w:val="auto"/>
        </w:rPr>
      </w:pPr>
      <w:r>
        <w:rPr>
          <w:rFonts w:ascii="Arial" w:cs="Arial" w:eastAsia="Arial" w:hAnsi="Arial"/>
          <w:sz w:val="16"/>
          <w:szCs w:val="16"/>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this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the </w:t>
      </w:r>
      <w:r>
        <w:rPr>
          <w:rFonts w:ascii="Arial" w:cs="Arial" w:eastAsia="Arial" w:hAnsi="Arial"/>
          <w:sz w:val="16"/>
          <w:szCs w:val="16"/>
          <w:i w:val="1"/>
          <w:iCs w:val="1"/>
          <w:color w:val="auto"/>
        </w:rPr>
        <w:t>Agrify Vertical Farming Unit (AVFU)</w:t>
      </w:r>
      <w:r>
        <w:rPr>
          <w:rFonts w:ascii="Arial" w:cs="Arial" w:eastAsia="Arial" w:hAnsi="Arial"/>
          <w:sz w:val="16"/>
          <w:szCs w:val="16"/>
          <w:color w:val="auto"/>
        </w:rPr>
        <w:t>, and our proprietary SaaS product,</w:t>
      </w:r>
      <w:r>
        <w:rPr>
          <w:rFonts w:ascii="Arial" w:cs="Arial" w:eastAsia="Arial" w:hAnsi="Arial"/>
          <w:sz w:val="16"/>
          <w:szCs w:val="16"/>
          <w:i w:val="1"/>
          <w:iCs w:val="1"/>
          <w:color w:val="auto"/>
        </w:rPr>
        <w:t xml:space="preserve"> Agrify Insights (AI)</w:t>
      </w:r>
      <w:r>
        <w:rPr>
          <w:rFonts w:ascii="Arial" w:cs="Arial" w:eastAsia="Arial" w:hAnsi="Arial"/>
          <w:sz w:val="16"/>
          <w:szCs w:val="16"/>
          <w:color w:val="auto"/>
        </w:rPr>
        <w:t>.</w:t>
      </w:r>
    </w:p>
    <w:p>
      <w:pPr>
        <w:spacing w:after="0" w:line="99" w:lineRule="exact"/>
        <w:rPr>
          <w:sz w:val="20"/>
          <w:szCs w:val="20"/>
          <w:color w:val="auto"/>
        </w:rPr>
      </w:pPr>
    </w:p>
    <w:p>
      <w:pPr>
        <w:ind w:left="540" w:right="639" w:firstLine="432"/>
        <w:spacing w:after="0" w:line="272" w:lineRule="auto"/>
        <w:rPr>
          <w:sz w:val="20"/>
          <w:szCs w:val="20"/>
          <w:color w:val="auto"/>
        </w:rPr>
      </w:pPr>
      <w:r>
        <w:rPr>
          <w:rFonts w:ascii="Arial" w:cs="Arial" w:eastAsia="Arial" w:hAnsi="Arial"/>
          <w:sz w:val="17"/>
          <w:szCs w:val="17"/>
          <w:color w:val="auto"/>
        </w:rPr>
        <w:t>Our core business model includes substantial equipment sales for the AVFUs as well as recurring SaaS revenues for AI. Additionally, we are able to drive even more revenue and new business through our service offerings and complementary products. We started 2020 with deferred revenue of $4 million and received additional bookings of $29 million in the form of purchase orders or purchase commitments (which we refer to as the 2020 Backlog). Of the total 2020 Backlog of $33 million, we recognized revenue of $1 million during the first quarter of 2020 and expect to recognize the balance as revenue by June 2021. As of June 30, 2020, we have $96 million of carefully</w:t>
      </w:r>
    </w:p>
    <w:p>
      <w:pPr>
        <w:sectPr>
          <w:pgSz w:w="11900" w:h="16838" w:orient="portrait"/>
          <w:cols w:equalWidth="0" w:num="1">
            <w:col w:w="9019"/>
          </w:cols>
          <w:pgMar w:left="1440" w:top="540" w:right="1440"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5" w:name="page6"/>
    <w:bookmarkEnd w:id="5"/>
    <w:p>
      <w:pPr>
        <w:ind w:left="540" w:right="559"/>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6560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6560185"/>
                    </a:xfrm>
                    <a:prstGeom prst="rect">
                      <a:avLst/>
                    </a:prstGeom>
                    <a:noFill/>
                  </pic:spPr>
                </pic:pic>
              </a:graphicData>
            </a:graphic>
          </wp:anchor>
        </w:drawing>
        <w:t>vetted potential sales opportunities (which we refer to as our qualified pipeline), a majority of which is expected to be converted into confirmed bookings during the next 12 months. We target large scale high-value enterprise sales versus high-volume sales, and we believe that we will be able to significantly scale our business in the coming years without needing to significantly increase our headcount. Additionally, four of our last five purchase orders or purchase commitments (all of which were secured during 2020) have been for between $3.5 million and $9.6 million, and we expect that our average contract size will increase over time as well as we begin to partner with larger facilities that require more equipment and services.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101" w:lineRule="exact"/>
        <w:rPr>
          <w:sz w:val="20"/>
          <w:szCs w:val="20"/>
          <w:color w:val="auto"/>
        </w:rPr>
      </w:pPr>
    </w:p>
    <w:p>
      <w:pPr>
        <w:ind w:left="540" w:right="619" w:firstLine="432"/>
        <w:spacing w:after="0" w:line="289" w:lineRule="auto"/>
        <w:rPr>
          <w:sz w:val="20"/>
          <w:szCs w:val="20"/>
          <w:color w:val="auto"/>
        </w:rPr>
      </w:pPr>
      <w:r>
        <w:rPr>
          <w:rFonts w:ascii="Arial" w:cs="Arial" w:eastAsia="Arial" w:hAnsi="Arial"/>
          <w:sz w:val="16"/>
          <w:szCs w:val="16"/>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state-of-the-art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replicate and create consistent high-quality products across all of their operations, wherever located, similar to any other consumer product company such as branded food or drink product companies.</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Product: the Agrify “Precision Elevated™” Cultivation Solution</w:t>
      </w:r>
    </w:p>
    <w:p>
      <w:pPr>
        <w:spacing w:after="0" w:line="162" w:lineRule="exact"/>
        <w:rPr>
          <w:sz w:val="20"/>
          <w:szCs w:val="20"/>
          <w:color w:val="auto"/>
        </w:rPr>
      </w:pPr>
    </w:p>
    <w:p>
      <w:pPr>
        <w:ind w:left="540" w:right="579" w:firstLine="432"/>
        <w:spacing w:after="0" w:line="293" w:lineRule="auto"/>
        <w:rPr>
          <w:sz w:val="20"/>
          <w:szCs w:val="20"/>
          <w:color w:val="auto"/>
        </w:rPr>
      </w:pPr>
      <w:r>
        <w:rPr>
          <w:rFonts w:ascii="Arial" w:cs="Arial" w:eastAsia="Arial" w:hAnsi="Arial"/>
          <w:sz w:val="16"/>
          <w:szCs w:val="16"/>
          <w:color w:val="auto"/>
        </w:rPr>
        <w:t>Given the significant shortcomings associated with traditional indoor grow methods across all commercial agriculture segments, it was apparent to our management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83" w:lineRule="exact"/>
        <w:rPr>
          <w:sz w:val="20"/>
          <w:szCs w:val="20"/>
          <w:color w:val="auto"/>
        </w:rPr>
      </w:pPr>
    </w:p>
    <w:p>
      <w:pPr>
        <w:ind w:left="540" w:right="599" w:firstLine="432"/>
        <w:spacing w:after="0" w:line="257" w:lineRule="auto"/>
        <w:rPr>
          <w:sz w:val="20"/>
          <w:szCs w:val="20"/>
          <w:color w:val="auto"/>
        </w:rPr>
      </w:pPr>
      <w:r>
        <w:rPr>
          <w:rFonts w:ascii="Arial" w:cs="Arial" w:eastAsia="Arial" w:hAnsi="Arial"/>
          <w:sz w:val="18"/>
          <w:szCs w:val="18"/>
          <w:color w:val="auto"/>
        </w:rPr>
        <w:t>In looking at our product mix, our core offering and the focus of our sales efforts involves bundling our AVFUs and Agrify Integrated Grow Racks with our AI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120" w:lineRule="exact"/>
        <w:rPr>
          <w:sz w:val="20"/>
          <w:szCs w:val="20"/>
          <w:color w:val="auto"/>
        </w:rPr>
      </w:pPr>
    </w:p>
    <w:p>
      <w:pPr>
        <w:ind w:left="540" w:right="599" w:firstLine="432"/>
        <w:spacing w:after="0" w:line="273" w:lineRule="auto"/>
        <w:rPr>
          <w:sz w:val="20"/>
          <w:szCs w:val="20"/>
          <w:color w:val="auto"/>
        </w:rPr>
      </w:pPr>
      <w:r>
        <w:rPr>
          <w:rFonts w:ascii="Arial" w:cs="Arial" w:eastAsia="Arial" w:hAnsi="Arial"/>
          <w:sz w:val="17"/>
          <w:szCs w:val="17"/>
          <w:color w:val="auto"/>
        </w:rPr>
        <w:t>Beyond these key attributes, we have several other products such as environmental threat mitigation and horticulture lighting solutions as well as services such as those offered through our joint venture with Valiant-America and our equipment financing vehicle that either serve as great complements to our core offering to form a novel, fully integrated approach for indoor cultivation or the individual components can also be utilized on their own, offering valuable touchpoints to potentially seed relationships and convert them into more lucrative land-and-expand engagements in the future.</w:t>
      </w:r>
    </w:p>
    <w:p>
      <w:pPr>
        <w:spacing w:after="0" w:line="110" w:lineRule="exact"/>
        <w:rPr>
          <w:sz w:val="20"/>
          <w:szCs w:val="20"/>
          <w:color w:val="auto"/>
        </w:rPr>
      </w:pPr>
    </w:p>
    <w:p>
      <w:pPr>
        <w:ind w:left="540" w:right="799" w:firstLine="432"/>
        <w:spacing w:after="0" w:line="259" w:lineRule="auto"/>
        <w:rPr>
          <w:sz w:val="20"/>
          <w:szCs w:val="20"/>
          <w:color w:val="auto"/>
        </w:rPr>
      </w:pPr>
      <w:r>
        <w:rPr>
          <w:rFonts w:ascii="Arial" w:cs="Arial" w:eastAsia="Arial" w:hAnsi="Arial"/>
          <w:sz w:val="18"/>
          <w:szCs w:val="18"/>
          <w:color w:val="auto"/>
        </w:rPr>
        <w:t>Our individual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4759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475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Agrify Vertical Farming Unit</w:t>
      </w:r>
    </w:p>
    <w:p>
      <w:pPr>
        <w:spacing w:after="0" w:line="162" w:lineRule="exact"/>
        <w:rPr>
          <w:sz w:val="20"/>
          <w:szCs w:val="20"/>
          <w:color w:val="auto"/>
        </w:rPr>
      </w:pPr>
    </w:p>
    <w:p>
      <w:pPr>
        <w:ind w:left="540" w:right="639" w:firstLine="432"/>
        <w:spacing w:after="0" w:line="275" w:lineRule="auto"/>
        <w:rPr>
          <w:sz w:val="20"/>
          <w:szCs w:val="20"/>
          <w:color w:val="auto"/>
        </w:rPr>
      </w:pPr>
      <w:r>
        <w:rPr>
          <w:rFonts w:ascii="Arial" w:cs="Arial" w:eastAsia="Arial" w:hAnsi="Arial"/>
          <w:sz w:val="17"/>
          <w:szCs w:val="17"/>
          <w:color w:val="auto"/>
        </w:rPr>
        <w:t>The AVFU is a premium indoor grow solution with an MSRP starting at $20,000, and our most recent AVFU 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AI software and ancillary products and services are realized.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254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7254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Agrify Insights</w:t>
      </w:r>
    </w:p>
    <w:p>
      <w:pPr>
        <w:spacing w:after="0" w:line="148" w:lineRule="exact"/>
        <w:rPr>
          <w:sz w:val="20"/>
          <w:szCs w:val="20"/>
          <w:color w:val="auto"/>
        </w:rPr>
      </w:pPr>
    </w:p>
    <w:p>
      <w:pPr>
        <w:ind w:left="540" w:right="559" w:firstLine="432"/>
        <w:spacing w:after="0" w:line="289" w:lineRule="auto"/>
        <w:rPr>
          <w:sz w:val="20"/>
          <w:szCs w:val="20"/>
          <w:color w:val="auto"/>
        </w:rPr>
      </w:pPr>
      <w:r>
        <w:rPr>
          <w:rFonts w:ascii="Arial" w:cs="Arial" w:eastAsia="Arial" w:hAnsi="Arial"/>
          <w:sz w:val="16"/>
          <w:szCs w:val="16"/>
          <w:color w:val="auto"/>
        </w:rPr>
        <w:t>A key component of Agrify’s cultivation solution is our proprietary software, Agrify Insights (AI), which has been developed in-house. A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the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AI platform coupled with our AVFU system is enabling our customers to transform their businesses and quality of the product they are cultivating.</w:t>
      </w:r>
    </w:p>
    <w:p>
      <w:pPr>
        <w:spacing w:after="0" w:line="99" w:lineRule="exact"/>
        <w:rPr>
          <w:sz w:val="20"/>
          <w:szCs w:val="20"/>
          <w:color w:val="auto"/>
        </w:rPr>
      </w:pPr>
    </w:p>
    <w:p>
      <w:pPr>
        <w:ind w:left="540" w:right="599" w:firstLine="432"/>
        <w:spacing w:after="0" w:line="257" w:lineRule="auto"/>
        <w:rPr>
          <w:sz w:val="20"/>
          <w:szCs w:val="20"/>
          <w:color w:val="auto"/>
        </w:rPr>
      </w:pPr>
      <w:r>
        <w:rPr>
          <w:rFonts w:ascii="Arial" w:cs="Arial" w:eastAsia="Arial" w:hAnsi="Arial"/>
          <w:sz w:val="18"/>
          <w:szCs w:val="18"/>
          <w:color w:val="auto"/>
        </w:rPr>
        <w:t>Our business model includes charging customers a monthly recurring SaaS subscription fee per deployed AVFU for access to AI, which ranges from $75 to $200 per AVFU per month depending on the level of functionality and support purchased. This provides us with a predictable recurring revenue stream that has high expected customer retention due to us being required to operate the facility for full access to our integrated solution.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Economic Implications of Our Agrify Vertical Farming Unit Cultivation Solution</w:t>
      </w:r>
    </w:p>
    <w:p>
      <w:pPr>
        <w:spacing w:after="0" w:line="162" w:lineRule="exact"/>
        <w:rPr>
          <w:sz w:val="20"/>
          <w:szCs w:val="20"/>
          <w:color w:val="auto"/>
        </w:rPr>
      </w:pPr>
    </w:p>
    <w:p>
      <w:pPr>
        <w:ind w:left="540" w:right="679" w:firstLine="432"/>
        <w:spacing w:after="0" w:line="263" w:lineRule="auto"/>
        <w:rPr>
          <w:sz w:val="20"/>
          <w:szCs w:val="20"/>
          <w:color w:val="auto"/>
        </w:rPr>
      </w:pPr>
      <w:r>
        <w:rPr>
          <w:rFonts w:ascii="Arial" w:cs="Arial" w:eastAsia="Arial" w:hAnsi="Arial"/>
          <w:sz w:val="18"/>
          <w:szCs w:val="18"/>
          <w:color w:val="auto"/>
        </w:rPr>
        <w:t>To further illustrate the benefit of going with the AVFU infrastructure versus a more traditional indoor cultivation setup, we have conducted a comparative analysis internally on an actual 45,082 square foot facility.</w:t>
      </w:r>
    </w:p>
    <w:p>
      <w:pPr>
        <w:spacing w:after="0" w:line="103" w:lineRule="exact"/>
        <w:rPr>
          <w:sz w:val="20"/>
          <w:szCs w:val="20"/>
          <w:color w:val="auto"/>
        </w:rPr>
      </w:pPr>
    </w:p>
    <w:p>
      <w:pPr>
        <w:ind w:left="540" w:right="599" w:firstLine="432"/>
        <w:spacing w:after="0" w:line="279" w:lineRule="auto"/>
        <w:rPr>
          <w:sz w:val="20"/>
          <w:szCs w:val="20"/>
          <w:color w:val="auto"/>
        </w:rPr>
      </w:pPr>
      <w:r>
        <w:rPr>
          <w:rFonts w:ascii="Arial" w:cs="Arial" w:eastAsia="Arial" w:hAnsi="Arial"/>
          <w:sz w:val="17"/>
          <w:szCs w:val="17"/>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over 5x more yield and significantly enhanced revenue opportunities.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4356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435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Facility with AVFU Setup</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785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778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with Traditional Grow Room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0" w:right="639" w:firstLine="432"/>
        <w:spacing w:after="0" w:line="277" w:lineRule="auto"/>
        <w:rPr>
          <w:sz w:val="20"/>
          <w:szCs w:val="20"/>
          <w:color w:val="auto"/>
        </w:rPr>
      </w:pPr>
      <w:r>
        <w:rPr>
          <w:rFonts w:ascii="Arial" w:cs="Arial" w:eastAsia="Arial" w:hAnsi="Arial"/>
          <w:sz w:val="18"/>
          <w:szCs w:val="18"/>
          <w:color w:val="auto"/>
        </w:rPr>
        <w:t>Set forth below are the illustrative costs and revenue potential for cultivators of both approaches in our conservative and defensible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73" w:lineRule="exact"/>
        <w:rPr>
          <w:sz w:val="20"/>
          <w:szCs w:val="20"/>
          <w:color w:val="auto"/>
        </w:rPr>
      </w:pPr>
    </w:p>
    <w:p>
      <w:pPr>
        <w:ind w:left="940" w:hanging="396"/>
        <w:spacing w:after="0"/>
        <w:tabs>
          <w:tab w:leader="none" w:pos="9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See “Certain Non-GAAP Financial Measurements and Reconciliation to GAAP” on page 15.</w:t>
      </w:r>
    </w:p>
    <w:p>
      <w:pPr>
        <w:spacing w:after="0" w:line="392" w:lineRule="exact"/>
        <w:rPr>
          <w:rFonts w:ascii="Arial" w:cs="Arial" w:eastAsia="Arial" w:hAnsi="Arial"/>
          <w:sz w:val="16"/>
          <w:szCs w:val="16"/>
          <w:i w:val="1"/>
          <w:iCs w:val="1"/>
          <w:color w:val="auto"/>
        </w:rPr>
      </w:pPr>
    </w:p>
    <w:p>
      <w:pPr>
        <w:ind w:left="4460"/>
        <w:spacing w:after="0"/>
        <w:rPr>
          <w:rFonts w:ascii="Arial" w:cs="Arial" w:eastAsia="Arial" w:hAnsi="Arial"/>
          <w:sz w:val="16"/>
          <w:szCs w:val="16"/>
          <w:i w:val="1"/>
          <w:iCs w:val="1"/>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ind w:left="540" w:right="599" w:firstLine="432"/>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203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8120380"/>
                    </a:xfrm>
                    <a:prstGeom prst="rect">
                      <a:avLst/>
                    </a:prstGeom>
                    <a:noFill/>
                  </pic:spPr>
                </pic:pic>
              </a:graphicData>
            </a:graphic>
          </wp:anchor>
        </w:drawing>
        <w:t>While the upfront cost is approximately 2x the amount for the facility that is outfitted in AVFUs, that is quickly offset by the fact that an AVFU outfitted facility has the capacity to generate over 5x the amount of annual revenue and EBITDA. In looking at the numerical values in the model, it becomes even more compelling when comparing the AVFU facility to a facility with a traditional grow room. Assuming an initial investment of approximately $32 million for the AVFU facility build-out, our model indicates that the facility owner would recoup their initial investment and produce significant free cash flow in the first year of operation assuming the facility should be able to achieve over $79 million of annual estimated revenue and $70 million in annual estimated EBITDA. In contrast, the traditional indoor facility would cost $14.5 million to build out and would generate approximately $15 million in annual estimated revenue and $12 million in annual estimated EBITDA. When comparing the two facilities on a side-by-side analysis, we believe the AVFU facility is far more attractive than the traditional facility given the financial upside is significantly higher, and also the precision elevated approach is a far more sophisticated way to grow crops.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540" w:right="1119" w:firstLine="432"/>
        <w:spacing w:after="0" w:line="277" w:lineRule="auto"/>
        <w:rPr>
          <w:sz w:val="20"/>
          <w:szCs w:val="20"/>
          <w:color w:val="auto"/>
        </w:rPr>
      </w:pPr>
      <w:r>
        <w:rPr>
          <w:rFonts w:ascii="Arial" w:cs="Arial" w:eastAsia="Arial" w:hAnsi="Arial"/>
          <w:sz w:val="18"/>
          <w:szCs w:val="18"/>
          <w:color w:val="auto"/>
        </w:rPr>
        <w:t>We believe our business has, and our future success will be driven by, the following competitive strengths:</w:t>
      </w:r>
    </w:p>
    <w:p>
      <w:pPr>
        <w:spacing w:after="0" w:line="103" w:lineRule="exact"/>
        <w:rPr>
          <w:sz w:val="20"/>
          <w:szCs w:val="20"/>
          <w:color w:val="auto"/>
        </w:rPr>
      </w:pPr>
    </w:p>
    <w:p>
      <w:pPr>
        <w:ind w:left="1400" w:right="659" w:hanging="424"/>
        <w:spacing w:after="0" w:line="272" w:lineRule="auto"/>
        <w:tabs>
          <w:tab w:leader="none" w:pos="1391"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Market Leading Technology in an Attractive Growing Industry</w:t>
      </w:r>
      <w:r>
        <w:rPr>
          <w:rFonts w:ascii="Arial" w:cs="Arial" w:eastAsia="Arial" w:hAnsi="Arial"/>
          <w:sz w:val="17"/>
          <w:szCs w:val="17"/>
          <w:color w:val="auto"/>
        </w:rPr>
        <w:t>. Our state-of-the art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and breakthrough solutions are aimed at large and growing U.S. domestic and global markets. We believe we are the only provider of a fully integrated end-to-end hardware and software turnkey solutions for indoor cultivation facilities.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96" w:lineRule="exact"/>
        <w:rPr>
          <w:rFonts w:ascii="Arial" w:cs="Arial" w:eastAsia="Arial" w:hAnsi="Arial"/>
          <w:sz w:val="17"/>
          <w:szCs w:val="17"/>
          <w:color w:val="auto"/>
        </w:rPr>
      </w:pPr>
    </w:p>
    <w:p>
      <w:pPr>
        <w:ind w:left="1400" w:right="859" w:hanging="424"/>
        <w:spacing w:after="0" w:line="259"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Proprietary Components. </w:t>
      </w:r>
      <w:r>
        <w:rPr>
          <w:rFonts w:ascii="Arial" w:cs="Arial" w:eastAsia="Arial" w:hAnsi="Arial"/>
          <w:sz w:val="18"/>
          <w:szCs w:val="18"/>
          <w:color w:val="auto"/>
        </w:rPr>
        <w:t>We design and create our own hardware, software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 operating procedures (SOPs) from the ground up, rather than buying piecemeal from third parties. We take a systems-engineered integrated approach that we believe has inherent advantages over other, ad-hoc systems.</w:t>
      </w:r>
    </w:p>
    <w:p>
      <w:pPr>
        <w:spacing w:after="0" w:line="119" w:lineRule="exact"/>
        <w:rPr>
          <w:rFonts w:ascii="Arial" w:cs="Arial" w:eastAsia="Arial" w:hAnsi="Arial"/>
          <w:sz w:val="18"/>
          <w:szCs w:val="18"/>
          <w:color w:val="auto"/>
        </w:rPr>
      </w:pPr>
    </w:p>
    <w:p>
      <w:pPr>
        <w:ind w:left="1400" w:right="559" w:hanging="424"/>
        <w:spacing w:after="0" w:line="290" w:lineRule="auto"/>
        <w:tabs>
          <w:tab w:leader="none" w:pos="1391"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Emphasis on Precision and Consistency Through Our Proprietary Grow Solutions. </w:t>
      </w:r>
      <w:r>
        <w:rPr>
          <w:rFonts w:ascii="Arial" w:cs="Arial" w:eastAsia="Arial" w:hAnsi="Arial"/>
          <w:sz w:val="16"/>
          <w:szCs w:val="16"/>
          <w:color w:val="auto"/>
        </w:rPr>
        <w:t>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being 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replicate and create consistent high-quality products from anywhere similar to any other consumer product company that provides a branded food or drink product.</w:t>
      </w:r>
    </w:p>
    <w:p>
      <w:pPr>
        <w:spacing w:after="0" w:line="97" w:lineRule="exact"/>
        <w:rPr>
          <w:rFonts w:ascii="Arial" w:cs="Arial" w:eastAsia="Arial" w:hAnsi="Arial"/>
          <w:sz w:val="16"/>
          <w:szCs w:val="16"/>
          <w:color w:val="auto"/>
        </w:rPr>
      </w:pPr>
    </w:p>
    <w:p>
      <w:pPr>
        <w:ind w:left="1400" w:right="559" w:hanging="424"/>
        <w:spacing w:after="0" w:line="255"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 Knowledge and Understanding. </w:t>
      </w:r>
      <w:r>
        <w:rPr>
          <w:rFonts w:ascii="Arial" w:cs="Arial" w:eastAsia="Arial" w:hAnsi="Arial"/>
          <w:sz w:val="18"/>
          <w:szCs w:val="18"/>
          <w:color w:val="auto"/>
        </w:rPr>
        <w:t>We have extensive experience with controlled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agriculture 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111" w:lineRule="exact"/>
        <w:rPr>
          <w:rFonts w:ascii="Arial" w:cs="Arial" w:eastAsia="Arial" w:hAnsi="Arial"/>
          <w:sz w:val="18"/>
          <w:szCs w:val="18"/>
          <w:color w:val="auto"/>
        </w:rPr>
      </w:pPr>
    </w:p>
    <w:p>
      <w:pPr>
        <w:ind w:left="1400" w:right="599" w:hanging="424"/>
        <w:spacing w:after="0" w:line="293" w:lineRule="auto"/>
        <w:tabs>
          <w:tab w:leader="none" w:pos="1391"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Business Model. </w:t>
      </w:r>
      <w:r>
        <w:rPr>
          <w:rFonts w:ascii="Arial" w:cs="Arial" w:eastAsia="Arial" w:hAnsi="Arial"/>
          <w:sz w:val="16"/>
          <w:szCs w:val="16"/>
          <w:color w:val="auto"/>
        </w:rPr>
        <w:t>Unlike many of our competitors, we offer a diversified mix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hardware, software and services, which leads to multiple revenue streams. Through the sales of AVFUs, we generate high gross margin hardware sales that are supplemented by sales of complementary products and services. Additionally, our recurring enterprise SaaS revenues via our AI offering leads to higher customer retention due to the nature of our mission critical turnkey deployments and as we grow, may enable stable high margin cash flow for the Company.</w:t>
      </w:r>
    </w:p>
    <w:p>
      <w:pPr>
        <w:spacing w:after="0" w:line="96" w:lineRule="exact"/>
        <w:rPr>
          <w:rFonts w:ascii="Arial" w:cs="Arial" w:eastAsia="Arial" w:hAnsi="Arial"/>
          <w:sz w:val="16"/>
          <w:szCs w:val="16"/>
          <w:color w:val="auto"/>
        </w:rPr>
      </w:pPr>
    </w:p>
    <w:p>
      <w:pPr>
        <w:ind w:left="1400" w:right="579" w:hanging="424"/>
        <w:spacing w:after="0" w:line="296" w:lineRule="auto"/>
        <w:tabs>
          <w:tab w:leader="none" w:pos="1391"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Strategic Investment from and Deep Integration with Supplier Relationships</w:t>
      </w:r>
      <w:r>
        <w:rPr>
          <w:rFonts w:ascii="Arial" w:cs="Arial" w:eastAsia="Arial" w:hAnsi="Arial"/>
          <w:sz w:val="16"/>
          <w:szCs w:val="16"/>
          <w:color w:val="auto"/>
        </w:rPr>
        <w:t>. Our shareholder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 includes large Asian scale-up manufacturers that grant us access to their resources and accordingly should enable us to mass produce our products with the support we need. Our LED lighting technology is developed with one of the world’s largest LED driver manufacturers, Inventronics, creating highly efficient design lighting systems for high-quality plant growth.</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sectPr>
      </w:pPr>
    </w:p>
    <w:bookmarkStart w:id="11" w:name="page12"/>
    <w:bookmarkEnd w:id="11"/>
    <w:p>
      <w:pPr>
        <w:ind w:left="1400" w:right="579" w:hanging="424"/>
        <w:spacing w:after="0" w:line="287" w:lineRule="auto"/>
        <w:tabs>
          <w:tab w:leader="none" w:pos="1391"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257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8257540"/>
                    </a:xfrm>
                    <a:prstGeom prst="rect">
                      <a:avLst/>
                    </a:prstGeom>
                    <a:noFill/>
                  </pic:spPr>
                </pic:pic>
              </a:graphicData>
            </a:graphic>
          </wp:anchor>
        </w:drawing>
        <w:t xml:space="preserve">Joint Venture with a Leading Consulting and General Contractor of Industrial Facilities. </w:t>
      </w:r>
      <w:r>
        <w:rPr>
          <w:rFonts w:ascii="Arial" w:cs="Arial" w:eastAsia="Arial" w:hAnsi="Arial"/>
          <w:sz w:val="16"/>
          <w:szCs w:val="16"/>
          <w:color w:val="auto"/>
        </w:rPr>
        <w:t>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formed a joint venture with Valiant-America recognizing that 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imbed us with these customers and enables us to become mission critical to their operations.</w:t>
      </w:r>
    </w:p>
    <w:p>
      <w:pPr>
        <w:spacing w:after="0" w:line="104" w:lineRule="exact"/>
        <w:rPr>
          <w:rFonts w:ascii="Arial" w:cs="Arial" w:eastAsia="Arial" w:hAnsi="Arial"/>
          <w:sz w:val="16"/>
          <w:szCs w:val="16"/>
          <w:b w:val="1"/>
          <w:bCs w:val="1"/>
          <w:i w:val="1"/>
          <w:iCs w:val="1"/>
          <w:color w:val="auto"/>
        </w:rPr>
      </w:pPr>
    </w:p>
    <w:p>
      <w:pPr>
        <w:ind w:left="1400" w:right="719" w:hanging="424"/>
        <w:spacing w:after="0" w:line="296" w:lineRule="auto"/>
        <w:tabs>
          <w:tab w:leader="none" w:pos="1391"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Novel Equipment Financing Solution. </w:t>
      </w:r>
      <w:r>
        <w:rPr>
          <w:rFonts w:ascii="Arial" w:cs="Arial" w:eastAsia="Arial" w:hAnsi="Arial"/>
          <w:sz w:val="16"/>
          <w:szCs w:val="16"/>
          <w:color w:val="auto"/>
        </w:rPr>
        <w:t>Limited access to outside capital is a significant issue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cultivators as it can inhibit growth and cultivation facility expansion. We help solve this problem by offering equipment financing plans for select good credit customers, which we believe further enables us to become a vendor of choice. Qualified customers can choose to pay approximately 50% upfront and finance the balance through a two-year payment plan.</w:t>
      </w:r>
    </w:p>
    <w:p>
      <w:pPr>
        <w:spacing w:after="0" w:line="93" w:lineRule="exact"/>
        <w:rPr>
          <w:rFonts w:ascii="Arial" w:cs="Arial" w:eastAsia="Arial" w:hAnsi="Arial"/>
          <w:sz w:val="16"/>
          <w:szCs w:val="16"/>
          <w:color w:val="auto"/>
        </w:rPr>
      </w:pPr>
    </w:p>
    <w:p>
      <w:pPr>
        <w:ind w:left="1400" w:right="759" w:hanging="424"/>
        <w:spacing w:after="0" w:line="259"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and Proven Management Team. </w:t>
      </w:r>
      <w:r>
        <w:rPr>
          <w:rFonts w:ascii="Arial" w:cs="Arial" w:eastAsia="Arial" w:hAnsi="Arial"/>
          <w:sz w:val="18"/>
          <w:szCs w:val="18"/>
          <w:color w:val="auto"/>
        </w:rPr>
        <w:t>Our leadership team has entrepreneurial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technical expertise and a track record of scaling up businesses and operating public companies. Additionally, our team is supported by strong advisors and leading strategic and institutional investors.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Industry Overview</w:t>
      </w:r>
    </w:p>
    <w:p>
      <w:pPr>
        <w:spacing w:after="0" w:line="148" w:lineRule="exact"/>
        <w:rPr>
          <w:sz w:val="20"/>
          <w:szCs w:val="20"/>
          <w:color w:val="auto"/>
        </w:rPr>
      </w:pPr>
    </w:p>
    <w:p>
      <w:pPr>
        <w:jc w:val="both"/>
        <w:ind w:left="540" w:right="659" w:firstLine="432"/>
        <w:spacing w:after="0" w:line="311" w:lineRule="auto"/>
        <w:rPr>
          <w:sz w:val="20"/>
          <w:szCs w:val="20"/>
          <w:color w:val="auto"/>
        </w:rPr>
      </w:pPr>
      <w:r>
        <w:rPr>
          <w:rFonts w:ascii="Arial" w:cs="Arial" w:eastAsia="Arial" w:hAnsi="Arial"/>
          <w:sz w:val="16"/>
          <w:szCs w:val="16"/>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w:t>
      </w:r>
    </w:p>
    <w:p>
      <w:pPr>
        <w:spacing w:after="0" w:line="81" w:lineRule="exact"/>
        <w:rPr>
          <w:sz w:val="20"/>
          <w:szCs w:val="20"/>
          <w:color w:val="auto"/>
        </w:rPr>
      </w:pPr>
    </w:p>
    <w:p>
      <w:pPr>
        <w:ind w:left="540" w:right="579" w:firstLine="432"/>
        <w:spacing w:after="0" w:line="254" w:lineRule="auto"/>
        <w:rPr>
          <w:sz w:val="20"/>
          <w:szCs w:val="20"/>
          <w:color w:val="auto"/>
        </w:rPr>
      </w:pPr>
      <w:r>
        <w:rPr>
          <w:rFonts w:ascii="Arial" w:cs="Arial" w:eastAsia="Arial" w:hAnsi="Arial"/>
          <w:sz w:val="18"/>
          <w:szCs w:val="18"/>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$30 billion in 2019, and is projected to reach $43 billion by 2024, representing a compounded annual growth rate, or CAGR, of 9.65%.</w:t>
      </w:r>
    </w:p>
    <w:p>
      <w:pPr>
        <w:spacing w:after="0" w:line="124" w:lineRule="exact"/>
        <w:rPr>
          <w:sz w:val="20"/>
          <w:szCs w:val="20"/>
          <w:color w:val="auto"/>
        </w:rPr>
      </w:pPr>
    </w:p>
    <w:p>
      <w:pPr>
        <w:ind w:left="540" w:right="619" w:firstLine="432"/>
        <w:spacing w:after="0" w:line="270" w:lineRule="auto"/>
        <w:rPr>
          <w:sz w:val="20"/>
          <w:szCs w:val="20"/>
          <w:color w:val="auto"/>
        </w:rPr>
      </w:pPr>
      <w:r>
        <w:rPr>
          <w:rFonts w:ascii="Arial" w:cs="Arial" w:eastAsia="Arial" w:hAnsi="Arial"/>
          <w:sz w:val="17"/>
          <w:szCs w:val="17"/>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pacing w:after="0" w:line="100" w:lineRule="exact"/>
        <w:rPr>
          <w:sz w:val="20"/>
          <w:szCs w:val="20"/>
          <w:color w:val="auto"/>
        </w:rPr>
      </w:pPr>
    </w:p>
    <w:p>
      <w:pPr>
        <w:ind w:left="540" w:right="619" w:firstLine="432"/>
        <w:spacing w:after="0" w:line="293" w:lineRule="auto"/>
        <w:rPr>
          <w:sz w:val="20"/>
          <w:szCs w:val="20"/>
          <w:color w:val="auto"/>
        </w:rPr>
      </w:pPr>
      <w:r>
        <w:rPr>
          <w:rFonts w:ascii="Arial" w:cs="Arial" w:eastAsia="Arial" w:hAnsi="Arial"/>
          <w:sz w:val="16"/>
          <w:szCs w:val="16"/>
          <w:color w:val="auto"/>
        </w:rPr>
        <w:t>According to Allied Market Research, the global vertical farming market size was valued at $2.23 billion in 2018, and is projected to reach $12.77 billion by 2026, representing a CAGR of 24.6% from 2019 to 2026. MarketWatch is even more bullish on this market as they are forecasting the vertical farming market share to accumulate $22 billion by 2026 in their Market Insight Reports from June 10, 2020. The demand for vertical farming is expected to increase rapidly due in large part to the rise in popularity of organic food as well as the lessening of legal and regulatory restrictions around cannabis and hemp.</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Additional Market Opportunity</w:t>
      </w:r>
    </w:p>
    <w:p>
      <w:pPr>
        <w:spacing w:after="0" w:line="158" w:lineRule="exact"/>
        <w:rPr>
          <w:sz w:val="20"/>
          <w:szCs w:val="20"/>
          <w:color w:val="auto"/>
        </w:rPr>
      </w:pPr>
    </w:p>
    <w:p>
      <w:pPr>
        <w:ind w:left="540" w:right="739" w:firstLine="432"/>
        <w:spacing w:after="0" w:line="263" w:lineRule="auto"/>
        <w:rPr>
          <w:sz w:val="20"/>
          <w:szCs w:val="20"/>
          <w:color w:val="auto"/>
        </w:rPr>
      </w:pPr>
      <w:r>
        <w:rPr>
          <w:rFonts w:ascii="Arial" w:cs="Arial" w:eastAsia="Arial" w:hAnsi="Arial"/>
          <w:sz w:val="18"/>
          <w:szCs w:val="18"/>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ectPr>
          <w:pgSz w:w="11900" w:h="16838" w:orient="portrait"/>
          <w:cols w:equalWidth="0" w:num="1">
            <w:col w:w="9019"/>
          </w:cols>
          <w:pgMar w:left="1440" w:top="463" w:right="1440"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12" w:name="page13"/>
    <w:bookmarkEnd w:id="12"/>
    <w:p>
      <w:pPr>
        <w:ind w:left="540" w:right="579" w:firstLine="432"/>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43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8343265"/>
                    </a:xfrm>
                    <a:prstGeom prst="rect">
                      <a:avLst/>
                    </a:prstGeom>
                    <a:noFill/>
                  </pic:spPr>
                </pic:pic>
              </a:graphicData>
            </a:graphic>
          </wp:anchor>
        </w:drawing>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w:t>
      </w:r>
    </w:p>
    <w:p>
      <w:pPr>
        <w:spacing w:after="0" w:line="100" w:lineRule="exact"/>
        <w:rPr>
          <w:sz w:val="20"/>
          <w:szCs w:val="20"/>
          <w:color w:val="auto"/>
        </w:rPr>
      </w:pPr>
    </w:p>
    <w:p>
      <w:pPr>
        <w:ind w:left="540" w:right="559" w:firstLine="432"/>
        <w:spacing w:after="0" w:line="293" w:lineRule="auto"/>
        <w:rPr>
          <w:sz w:val="20"/>
          <w:szCs w:val="20"/>
          <w:color w:val="auto"/>
        </w:rPr>
      </w:pPr>
      <w:r>
        <w:rPr>
          <w:rFonts w:ascii="Arial" w:cs="Arial" w:eastAsia="Arial" w:hAnsi="Arial"/>
          <w:sz w:val="16"/>
          <w:szCs w:val="16"/>
          <w:color w:val="auto"/>
        </w:rPr>
        <w:t>According to Arcview Market Research and BDS Analytics, state-legal cannabis sales in the U.S. grew to an estimated $12.2 billion in 2019, an increase of 34% over 2018’s total of $9.1 billion and are expected to grow to over $31 billion by 2024. 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 be even more growth on the horizon.</w:t>
      </w:r>
    </w:p>
    <w:p>
      <w:pPr>
        <w:spacing w:after="0" w:line="97" w:lineRule="exact"/>
        <w:rPr>
          <w:sz w:val="20"/>
          <w:szCs w:val="20"/>
          <w:color w:val="auto"/>
        </w:rPr>
      </w:pPr>
    </w:p>
    <w:p>
      <w:pPr>
        <w:ind w:left="540" w:right="579" w:firstLine="432"/>
        <w:spacing w:after="0" w:line="269" w:lineRule="auto"/>
        <w:rPr>
          <w:sz w:val="20"/>
          <w:szCs w:val="20"/>
          <w:color w:val="auto"/>
        </w:rPr>
      </w:pPr>
      <w:r>
        <w:rPr>
          <w:rFonts w:ascii="Arial" w:cs="Arial" w:eastAsia="Arial" w:hAnsi="Arial"/>
          <w:sz w:val="17"/>
          <w:szCs w:val="17"/>
          <w:color w:val="auto"/>
        </w:rPr>
        <w:t>The different cultivation environments each have advantages and disadvantages producing product sold at different price points based on quality.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 The variance in price and demand is due to actual and perceived differences in the quality of the product produced.</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Growth Strategy</w:t>
      </w:r>
    </w:p>
    <w:p>
      <w:pPr>
        <w:spacing w:after="0" w:line="148" w:lineRule="exact"/>
        <w:rPr>
          <w:sz w:val="20"/>
          <w:szCs w:val="20"/>
          <w:color w:val="auto"/>
        </w:rPr>
      </w:pPr>
    </w:p>
    <w:p>
      <w:pPr>
        <w:ind w:left="540" w:right="639" w:firstLine="432"/>
        <w:spacing w:after="0" w:line="275" w:lineRule="auto"/>
        <w:rPr>
          <w:sz w:val="20"/>
          <w:szCs w:val="20"/>
          <w:color w:val="auto"/>
        </w:rPr>
      </w:pPr>
      <w:r>
        <w:rPr>
          <w:rFonts w:ascii="Arial" w:cs="Arial" w:eastAsia="Arial" w:hAnsi="Arial"/>
          <w:sz w:val="17"/>
          <w:szCs w:val="17"/>
          <w:color w:val="auto"/>
        </w:rPr>
        <w:t>We have developed a multi-pronged growth strategy to help us capitalize on the sizable opportunity at hand. Through methodical sales and marketing efforts, our joint venture with Valiant-America, scale-up manufacturing, equipment financing and new product offerings, we believe we have accounted for several key ways we can grow more effectively. We intend to opportunistically pursue the strategies described above to continue our upward trajectory and enhance shareholder value.</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Rigorous Sales Process and Strong Infrastructure in Place to Enable Revenue Growth</w:t>
      </w:r>
    </w:p>
    <w:p>
      <w:pPr>
        <w:spacing w:after="0" w:line="158" w:lineRule="exact"/>
        <w:rPr>
          <w:sz w:val="20"/>
          <w:szCs w:val="20"/>
          <w:color w:val="auto"/>
        </w:rPr>
      </w:pPr>
    </w:p>
    <w:p>
      <w:pPr>
        <w:ind w:left="540" w:right="579" w:firstLine="432"/>
        <w:spacing w:after="0" w:line="289" w:lineRule="auto"/>
        <w:rPr>
          <w:sz w:val="20"/>
          <w:szCs w:val="20"/>
          <w:color w:val="auto"/>
        </w:rPr>
      </w:pPr>
      <w:r>
        <w:rPr>
          <w:rFonts w:ascii="Arial" w:cs="Arial" w:eastAsia="Arial" w:hAnsi="Arial"/>
          <w:sz w:val="16"/>
          <w:szCs w:val="16"/>
          <w:color w:val="auto"/>
        </w:rPr>
        <w:t>We utilize a rigorous Sandler Training sales process to qualify and advance prospects through the different phases of our qualified pipeline. There are specific requirements, milestones, and events that we have identified along the sales process that must be met to move prospects through the different parts of the buyer journey in order to convert them from vetted opportunities into committed sales orders within a 12-month period. At each phase of the pipeline, a prospect opportunity is assigned a probability value for closing, providing management production forecast ability. We are diligent in making sure that we are engaging in conversations with well-funded entities that are in good standing with any licensing requirements that they face (or entities that are at least on the cusp of being viable candidates for our grow solutions). We also take into account infrastructure, facility readiness and the presence of key personnel.</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Marketing Team Aligned with Sales Force to Maximize Agrify’s Industry Visibility to Drive Revenue</w:t>
      </w:r>
    </w:p>
    <w:p>
      <w:pPr>
        <w:spacing w:after="0" w:line="158" w:lineRule="exact"/>
        <w:rPr>
          <w:sz w:val="20"/>
          <w:szCs w:val="20"/>
          <w:color w:val="auto"/>
        </w:rPr>
      </w:pPr>
    </w:p>
    <w:p>
      <w:pPr>
        <w:ind w:left="540" w:right="599" w:firstLine="432"/>
        <w:spacing w:after="0" w:line="273" w:lineRule="auto"/>
        <w:rPr>
          <w:sz w:val="20"/>
          <w:szCs w:val="20"/>
          <w:color w:val="auto"/>
        </w:rPr>
      </w:pPr>
      <w:r>
        <w:rPr>
          <w:rFonts w:ascii="Arial" w:cs="Arial" w:eastAsia="Arial" w:hAnsi="Arial"/>
          <w:sz w:val="17"/>
          <w:szCs w:val="17"/>
          <w:color w:val="auto"/>
        </w:rPr>
        <w:t>Our marketing department works in tandem with our sales and business development representatives to best represent and sell our Agrify “Precision Elevated™” cultivation solution to the indoor agriculture industry. The sales and business development representatives push prospects through a sales funnel, also known as a “buyer’s journey”. A strategic sales model has been developed to create a seamless transition from the initial communication with a prospect through targeted messaging and eventually moving all the way through the funnel. The movement through</w:t>
      </w:r>
    </w:p>
    <w:p>
      <w:pPr>
        <w:sectPr>
          <w:pgSz w:w="11900" w:h="16838" w:orient="portrait"/>
          <w:cols w:equalWidth="0" w:num="1">
            <w:col w:w="9019"/>
          </w:cols>
          <w:pgMar w:left="1440" w:top="463"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13" w:name="page14"/>
    <w:bookmarkEnd w:id="13"/>
    <w:p>
      <w:pPr>
        <w:ind w:left="540" w:right="579"/>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43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8343265"/>
                    </a:xfrm>
                    <a:prstGeom prst="rect">
                      <a:avLst/>
                    </a:prstGeom>
                    <a:noFill/>
                  </pic:spPr>
                </pic:pic>
              </a:graphicData>
            </a:graphic>
          </wp:anchor>
        </w:drawing>
        <w:t>this funnel is referred to as TOFU/MOFU/BOFU (Top of the Funnel/Middle of the Funnel/Bottom of the Funnel), which is focused on attention, consideration and decision-making, keeping the messaging consistent, the potential buyer engaged, and ultimately leads the prospect to close on a deal.</w:t>
      </w:r>
    </w:p>
    <w:p>
      <w:pPr>
        <w:spacing w:after="0" w:line="98" w:lineRule="exact"/>
        <w:rPr>
          <w:sz w:val="20"/>
          <w:szCs w:val="20"/>
          <w:color w:val="auto"/>
        </w:rPr>
      </w:pPr>
    </w:p>
    <w:p>
      <w:pPr>
        <w:ind w:left="540" w:right="559" w:firstLine="432"/>
        <w:spacing w:after="0" w:line="301" w:lineRule="auto"/>
        <w:rPr>
          <w:sz w:val="20"/>
          <w:szCs w:val="20"/>
          <w:color w:val="auto"/>
        </w:rPr>
      </w:pPr>
      <w:r>
        <w:rPr>
          <w:rFonts w:ascii="Arial" w:cs="Arial" w:eastAsia="Arial" w:hAnsi="Arial"/>
          <w:sz w:val="16"/>
          <w:szCs w:val="16"/>
          <w:color w:val="auto"/>
        </w:rPr>
        <w:t>Our sales funnel duties are completed using a customer relationship management (CRM) system, which allows us to track, qualify, and report on the ROI of our marketing initiatives. Leads are added into our pipeline funnel predominantly through our digital marketing efforts, including direct marketing, organic social media growth, thought leadership, and demand generation via paid advertisements and press releases.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Leverage Our Joint Venture with Valiant-America</w:t>
      </w:r>
    </w:p>
    <w:p>
      <w:pPr>
        <w:spacing w:after="0" w:line="158" w:lineRule="exact"/>
        <w:rPr>
          <w:sz w:val="20"/>
          <w:szCs w:val="20"/>
          <w:color w:val="auto"/>
        </w:rPr>
      </w:pPr>
    </w:p>
    <w:p>
      <w:pPr>
        <w:jc w:val="both"/>
        <w:ind w:left="540" w:right="679" w:firstLine="432"/>
        <w:spacing w:after="0" w:line="311" w:lineRule="auto"/>
        <w:rPr>
          <w:sz w:val="20"/>
          <w:szCs w:val="20"/>
          <w:color w:val="auto"/>
        </w:rPr>
      </w:pPr>
      <w:r>
        <w:rPr>
          <w:rFonts w:ascii="Arial" w:cs="Arial" w:eastAsia="Arial" w:hAnsi="Arial"/>
          <w:sz w:val="16"/>
          <w:szCs w:val="16"/>
          <w:color w:val="auto"/>
        </w:rPr>
        <w:t>From a growth perspective, we believe our joint venture with Valiant-America gives us a credible and complementary channel partner with extensive industry relationships to help us gain additional market share by making our solution a prominent part of their discussions involving future projects in this space.</w:t>
      </w:r>
    </w:p>
    <w:p>
      <w:pPr>
        <w:spacing w:after="0" w:line="68" w:lineRule="exact"/>
        <w:rPr>
          <w:sz w:val="20"/>
          <w:szCs w:val="20"/>
          <w:color w:val="auto"/>
        </w:rPr>
      </w:pPr>
    </w:p>
    <w:p>
      <w:pPr>
        <w:jc w:val="both"/>
        <w:ind w:left="540" w:right="779" w:firstLine="432"/>
        <w:spacing w:after="0" w:line="311" w:lineRule="auto"/>
        <w:rPr>
          <w:sz w:val="20"/>
          <w:szCs w:val="20"/>
          <w:color w:val="auto"/>
        </w:rPr>
      </w:pPr>
      <w:r>
        <w:rPr>
          <w:rFonts w:ascii="Arial" w:cs="Arial" w:eastAsia="Arial" w:hAnsi="Arial"/>
          <w:sz w:val="16"/>
          <w:szCs w:val="16"/>
          <w:color w:val="auto"/>
        </w:rPr>
        <w:t>We believe this joint venture positions us as the only fully integrated grow solution in the industry as we are now able to provide services around facility design, mechanical and engineering planning, general contracting, hardware and equipment installation, and commissioning for all indoor agriculture customers.</w:t>
      </w:r>
    </w:p>
    <w:p>
      <w:pPr>
        <w:spacing w:after="0" w:line="81" w:lineRule="exact"/>
        <w:rPr>
          <w:sz w:val="20"/>
          <w:szCs w:val="20"/>
          <w:color w:val="auto"/>
        </w:rPr>
      </w:pPr>
    </w:p>
    <w:p>
      <w:pPr>
        <w:ind w:left="540" w:right="619" w:firstLine="432"/>
        <w:spacing w:after="0" w:line="293" w:lineRule="auto"/>
        <w:rPr>
          <w:sz w:val="20"/>
          <w:szCs w:val="20"/>
          <w:color w:val="auto"/>
        </w:rPr>
      </w:pPr>
      <w:r>
        <w:rPr>
          <w:rFonts w:ascii="Arial" w:cs="Arial" w:eastAsia="Arial" w:hAnsi="Arial"/>
          <w:sz w:val="16"/>
          <w:szCs w:val="16"/>
          <w:color w:val="auto"/>
        </w:rPr>
        <w:t>We believe our turnkey offerings are highly differentiated from anything else on the market in that they combine our seamlessly integrated hardware and software products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segment.</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Scale-Up Manufacturing Capabilities in Order to Meet the Increasing Demand for Our Grow Solutions</w:t>
      </w:r>
    </w:p>
    <w:p>
      <w:pPr>
        <w:spacing w:after="0" w:line="169" w:lineRule="exact"/>
        <w:rPr>
          <w:sz w:val="20"/>
          <w:szCs w:val="20"/>
          <w:color w:val="auto"/>
        </w:rPr>
      </w:pPr>
    </w:p>
    <w:p>
      <w:pPr>
        <w:ind w:left="540" w:right="899" w:firstLine="432"/>
        <w:spacing w:after="0" w:line="259" w:lineRule="auto"/>
        <w:rPr>
          <w:sz w:val="20"/>
          <w:szCs w:val="20"/>
          <w:color w:val="auto"/>
        </w:rPr>
      </w:pPr>
      <w:r>
        <w:rPr>
          <w:rFonts w:ascii="Arial" w:cs="Arial" w:eastAsia="Arial" w:hAnsi="Arial"/>
          <w:sz w:val="18"/>
          <w:szCs w:val="18"/>
          <w:color w:val="auto"/>
        </w:rPr>
        <w:t>We currently use contract manufacturers (CMs) in the U.S. and in Asia for prototyping and volume manufacturing. We design the systems internally, and then works with its CMs and suppliers to refine, prototype, and test the designs. The designs are documented at a level that allows us to have our products manufactured at multiple CMs, both in the U.S. and abroad.</w:t>
      </w:r>
    </w:p>
    <w:p>
      <w:pPr>
        <w:spacing w:after="0" w:line="106" w:lineRule="exact"/>
        <w:rPr>
          <w:sz w:val="20"/>
          <w:szCs w:val="20"/>
          <w:color w:val="auto"/>
        </w:rPr>
      </w:pPr>
    </w:p>
    <w:p>
      <w:pPr>
        <w:ind w:left="540" w:right="639" w:firstLine="432"/>
        <w:spacing w:after="0" w:line="269" w:lineRule="auto"/>
        <w:rPr>
          <w:sz w:val="20"/>
          <w:szCs w:val="20"/>
          <w:color w:val="auto"/>
        </w:rPr>
      </w:pPr>
      <w:r>
        <w:rPr>
          <w:rFonts w:ascii="Arial" w:cs="Arial" w:eastAsia="Arial" w:hAnsi="Arial"/>
          <w:sz w:val="17"/>
          <w:szCs w:val="17"/>
          <w:color w:val="auto"/>
        </w:rPr>
        <w:t>Additionally, we work with domestic suppliers on a wide range of metal fabrication to allow for rapid prototyping and product development. One such CM and metal fabrication shop that we have worked with extensively in the past is Harbor Mountain, which is based in the Atlanta, GA area. Harbor Mountain has been producing and assembling many of our products for over three years, and they have served our needs well as a versatile and valued partner. As previously mentioned, we entered into a framework agreement in July 2020 to acquire Harbor Mountain along with key personnel and equipment, and we believe this fits in nicely with our overall scale-up manufacturing strategy. For the remainder of 2020, Harbor Mountain will be asked to support our AVFU sales and production goals as a primary manufacturing location. In 2021 and beyond, we expect Harbor Mountain to evolve into more of a service, engineering development and prototyping, and test facility as we eventually execute on our plan to bring high-volume manufacturing to Asia and other locations abroad.</w:t>
      </w:r>
    </w:p>
    <w:p>
      <w:pPr>
        <w:spacing w:after="0" w:line="114" w:lineRule="exact"/>
        <w:rPr>
          <w:sz w:val="20"/>
          <w:szCs w:val="20"/>
          <w:color w:val="auto"/>
        </w:rPr>
      </w:pPr>
    </w:p>
    <w:p>
      <w:pPr>
        <w:ind w:left="540" w:right="619" w:firstLine="432"/>
        <w:spacing w:after="0" w:line="257" w:lineRule="auto"/>
        <w:rPr>
          <w:sz w:val="20"/>
          <w:szCs w:val="20"/>
          <w:color w:val="auto"/>
        </w:rPr>
      </w:pPr>
      <w:r>
        <w:rPr>
          <w:rFonts w:ascii="Arial" w:cs="Arial" w:eastAsia="Arial" w:hAnsi="Arial"/>
          <w:sz w:val="18"/>
          <w:szCs w:val="18"/>
          <w:color w:val="auto"/>
        </w:rPr>
        <w:t>Overall, our approach to manufacturing is to use CMs to prototype, iterate, and begin initial production domestically, then transition to volume production in lower cost geographies, which results in both rapid time-to-market and low production costs. As we grow, we intend to continually analyze and evolve our manufacturing capabilities to best meet our customer needs while always focusing on ways to maximize operating margins.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Equipment Financing Program</w:t>
      </w:r>
    </w:p>
    <w:p>
      <w:pPr>
        <w:spacing w:after="0" w:line="158" w:lineRule="exact"/>
        <w:rPr>
          <w:sz w:val="20"/>
          <w:szCs w:val="20"/>
          <w:color w:val="auto"/>
        </w:rPr>
      </w:pPr>
    </w:p>
    <w:p>
      <w:pPr>
        <w:ind w:left="540" w:right="679" w:firstLine="432"/>
        <w:spacing w:after="0" w:line="290" w:lineRule="auto"/>
        <w:rPr>
          <w:sz w:val="20"/>
          <w:szCs w:val="20"/>
          <w:color w:val="auto"/>
        </w:rPr>
      </w:pPr>
      <w:r>
        <w:rPr>
          <w:rFonts w:ascii="Arial" w:cs="Arial" w:eastAsia="Arial" w:hAnsi="Arial"/>
          <w:sz w:val="16"/>
          <w:szCs w:val="16"/>
          <w:color w:val="auto"/>
        </w:rPr>
        <w:t>Our equipment financing program, which we believe is novel in the indoor agriculture space, is instrumental in removing certain points of friction from the sales cycle and it can be a major factor that tips the scales in our favor with certain prospects. When any of our credit-worthy customers take advantage of this opportunity, they are able expedite their speed to market as a result of not having to finance their purchase with 100% equity. As a result, we are able to collect as much as 50% of the purchase order immediately, with the balance typically being repaid over a two-year period, with interest, under commercially reasonable terms. By offering this equipment financing option, we have effectively broadened our prospect pool, and we believe that this will lead to more deals closing over time.</w:t>
      </w:r>
    </w:p>
    <w:p>
      <w:pPr>
        <w:sectPr>
          <w:pgSz w:w="11900" w:h="16838" w:orient="portrait"/>
          <w:cols w:equalWidth="0" w:num="1">
            <w:col w:w="9019"/>
          </w:cols>
          <w:pgMar w:left="1440" w:top="463" w:right="1440"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14" w:name="page15"/>
    <w:bookmarkEnd w:id="14"/>
    <w:p>
      <w:pPr>
        <w:ind w:left="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62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8162925"/>
                    </a:xfrm>
                    <a:prstGeom prst="rect">
                      <a:avLst/>
                    </a:prstGeom>
                    <a:noFill/>
                  </pic:spPr>
                </pic:pic>
              </a:graphicData>
            </a:graphic>
          </wp:anchor>
        </w:drawing>
        <w:t>Summary Risk Factors</w:t>
      </w:r>
    </w:p>
    <w:p>
      <w:pPr>
        <w:spacing w:after="0" w:line="148" w:lineRule="exact"/>
        <w:rPr>
          <w:sz w:val="20"/>
          <w:szCs w:val="20"/>
          <w:color w:val="auto"/>
        </w:rPr>
      </w:pPr>
    </w:p>
    <w:p>
      <w:pPr>
        <w:ind w:left="540" w:right="559" w:firstLine="432"/>
        <w:spacing w:after="0" w:line="263" w:lineRule="auto"/>
        <w:rPr>
          <w:sz w:val="20"/>
          <w:szCs w:val="20"/>
          <w:color w:val="auto"/>
        </w:rPr>
      </w:pPr>
      <w:r>
        <w:rPr>
          <w:rFonts w:ascii="Arial" w:cs="Arial" w:eastAsia="Arial" w:hAnsi="Arial"/>
          <w:sz w:val="18"/>
          <w:szCs w:val="18"/>
          <w:color w:val="auto"/>
        </w:rPr>
        <w:t>Our business is subject to a number of risks and uncertainties that you should understand before making an investment decision. These risks are discussed more fully in the section entitled “Risk Factors” following this prospectus summary. These include:</w:t>
      </w:r>
    </w:p>
    <w:p>
      <w:pPr>
        <w:spacing w:after="0" w:line="116" w:lineRule="exact"/>
        <w:rPr>
          <w:sz w:val="20"/>
          <w:szCs w:val="20"/>
          <w:color w:val="auto"/>
        </w:rPr>
      </w:pPr>
    </w:p>
    <w:p>
      <w:pPr>
        <w:ind w:left="1400" w:right="599" w:hanging="424"/>
        <w:spacing w:after="0" w:line="259"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history of losses and we expect significant increases in our costs and expenses to result in continuing losses for at least the foreseeable future, and as a result, our management has identified and our auditors agreed that there is a substantial doubt about our ability to continue as a going concern;</w:t>
      </w:r>
    </w:p>
    <w:p>
      <w:pPr>
        <w:spacing w:after="0" w:line="119" w:lineRule="exact"/>
        <w:rPr>
          <w:rFonts w:ascii="Arial" w:cs="Arial" w:eastAsia="Arial" w:hAnsi="Arial"/>
          <w:sz w:val="18"/>
          <w:szCs w:val="18"/>
          <w:color w:val="auto"/>
        </w:rPr>
      </w:pPr>
    </w:p>
    <w:p>
      <w:pPr>
        <w:ind w:left="1400" w:right="83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limited operating history makes evaluating our business and future prospects difficult, and may increase the risk of your investment;</w:t>
      </w:r>
    </w:p>
    <w:p>
      <w:pPr>
        <w:spacing w:after="0" w:line="89" w:lineRule="exact"/>
        <w:rPr>
          <w:rFonts w:ascii="Arial" w:cs="Arial" w:eastAsia="Arial" w:hAnsi="Arial"/>
          <w:sz w:val="18"/>
          <w:szCs w:val="18"/>
          <w:color w:val="auto"/>
        </w:rPr>
      </w:pPr>
    </w:p>
    <w:p>
      <w:pPr>
        <w:ind w:left="1400" w:right="899" w:hanging="424"/>
        <w:spacing w:after="0" w:line="308" w:lineRule="auto"/>
        <w:tabs>
          <w:tab w:leader="none" w:pos="1391"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limited capital resources will require us to raise additional capital even after this offering, which could result in substantial dilution or significant debt service obligations;</w:t>
      </w:r>
    </w:p>
    <w:p>
      <w:pPr>
        <w:spacing w:after="0" w:line="78" w:lineRule="exact"/>
        <w:rPr>
          <w:rFonts w:ascii="Arial" w:cs="Arial" w:eastAsia="Arial" w:hAnsi="Arial"/>
          <w:sz w:val="17"/>
          <w:szCs w:val="17"/>
          <w:color w:val="auto"/>
        </w:rPr>
      </w:pPr>
    </w:p>
    <w:p>
      <w:pPr>
        <w:ind w:left="1400" w:right="639" w:hanging="424"/>
        <w:spacing w:after="0" w:line="308" w:lineRule="auto"/>
        <w:tabs>
          <w:tab w:leader="none" w:pos="139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COVID-19 pandemic and the efforts to mitigate its impact may have an adverse effect on our business, liquidity, results of operations, financial condition and price of our securities;</w:t>
      </w:r>
    </w:p>
    <w:p>
      <w:pPr>
        <w:spacing w:after="0" w:line="78" w:lineRule="exact"/>
        <w:rPr>
          <w:rFonts w:ascii="Arial" w:cs="Arial" w:eastAsia="Arial" w:hAnsi="Arial"/>
          <w:sz w:val="17"/>
          <w:szCs w:val="17"/>
          <w:color w:val="auto"/>
        </w:rPr>
      </w:pPr>
    </w:p>
    <w:p>
      <w:pPr>
        <w:ind w:left="1400" w:right="115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company with clients operating in the cannabis industry, we face many particular and evolving risks associated with that industry;</w:t>
      </w:r>
    </w:p>
    <w:p>
      <w:pPr>
        <w:spacing w:after="0" w:line="89" w:lineRule="exact"/>
        <w:rPr>
          <w:rFonts w:ascii="Arial" w:cs="Arial" w:eastAsia="Arial" w:hAnsi="Arial"/>
          <w:sz w:val="18"/>
          <w:szCs w:val="18"/>
          <w:color w:val="auto"/>
        </w:rPr>
      </w:pPr>
    </w:p>
    <w:p>
      <w:pPr>
        <w:ind w:left="1400" w:right="899" w:hanging="424"/>
        <w:spacing w:after="0" w:line="342" w:lineRule="auto"/>
        <w:tabs>
          <w:tab w:leader="none" w:pos="1391"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concentration of customers exposes us to risks associated with the potential loss of one or more of these significant customers which could adversely affect our financial results;</w:t>
      </w:r>
    </w:p>
    <w:p>
      <w:pPr>
        <w:spacing w:after="0" w:line="56" w:lineRule="exact"/>
        <w:rPr>
          <w:rFonts w:ascii="Arial" w:cs="Arial" w:eastAsia="Arial" w:hAnsi="Arial"/>
          <w:sz w:val="16"/>
          <w:szCs w:val="16"/>
          <w:color w:val="auto"/>
        </w:rPr>
      </w:pPr>
    </w:p>
    <w:p>
      <w:pPr>
        <w:ind w:left="1400" w:right="69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a limited base of suppliers on certain of our products may result in disruptions to our supply chain and business and adversely affect our financial results;</w:t>
      </w:r>
    </w:p>
    <w:p>
      <w:pPr>
        <w:spacing w:after="0" w:line="102" w:lineRule="exact"/>
        <w:rPr>
          <w:rFonts w:ascii="Arial" w:cs="Arial" w:eastAsia="Arial" w:hAnsi="Arial"/>
          <w:sz w:val="18"/>
          <w:szCs w:val="18"/>
          <w:color w:val="auto"/>
        </w:rPr>
      </w:pPr>
    </w:p>
    <w:p>
      <w:pPr>
        <w:ind w:left="1400" w:right="659" w:hanging="424"/>
        <w:spacing w:after="0" w:line="263"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long-term results of operations are difficult to predict and depend on the commercial success of our clients, the continued growth of the cannabis industry generally and the regulatory environment within which the cannabis industry operates;</w:t>
      </w:r>
    </w:p>
    <w:p>
      <w:pPr>
        <w:spacing w:after="0" w:line="102" w:lineRule="exact"/>
        <w:rPr>
          <w:rFonts w:ascii="Arial" w:cs="Arial" w:eastAsia="Arial" w:hAnsi="Arial"/>
          <w:sz w:val="18"/>
          <w:szCs w:val="18"/>
          <w:color w:val="auto"/>
        </w:rPr>
      </w:pPr>
    </w:p>
    <w:p>
      <w:pPr>
        <w:ind w:left="1400" w:right="81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intense competition that could prohibit us from developing or increasing our customer base;</w:t>
      </w:r>
    </w:p>
    <w:p>
      <w:pPr>
        <w:spacing w:after="0" w:line="102" w:lineRule="exact"/>
        <w:rPr>
          <w:rFonts w:ascii="Arial" w:cs="Arial" w:eastAsia="Arial" w:hAnsi="Arial"/>
          <w:sz w:val="18"/>
          <w:szCs w:val="18"/>
          <w:color w:val="auto"/>
        </w:rPr>
      </w:pPr>
    </w:p>
    <w:p>
      <w:pPr>
        <w:ind w:left="1400" w:right="559" w:hanging="424"/>
        <w:spacing w:after="0" w:line="263"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growth and success of our business depends on the continued contributions of Raymond Chang, as our key executive officer, as well as our ability to attract and retain qualified personnel; and</w:t>
      </w:r>
    </w:p>
    <w:p>
      <w:pPr>
        <w:spacing w:after="0" w:line="116" w:lineRule="exact"/>
        <w:rPr>
          <w:rFonts w:ascii="Arial" w:cs="Arial" w:eastAsia="Arial" w:hAnsi="Arial"/>
          <w:sz w:val="18"/>
          <w:szCs w:val="18"/>
          <w:color w:val="auto"/>
        </w:rPr>
      </w:pPr>
    </w:p>
    <w:p>
      <w:pPr>
        <w:ind w:left="1400" w:hanging="424"/>
        <w:spacing w:after="0"/>
        <w:tabs>
          <w:tab w:leader="none" w:pos="1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success depends in part on our ability to protect our core technology and intellectual property.</w:t>
      </w:r>
    </w:p>
    <w:p>
      <w:pPr>
        <w:spacing w:after="0" w:line="24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48" w:lineRule="exact"/>
        <w:rPr>
          <w:sz w:val="20"/>
          <w:szCs w:val="20"/>
          <w:color w:val="auto"/>
        </w:rPr>
      </w:pPr>
    </w:p>
    <w:p>
      <w:pPr>
        <w:ind w:left="540" w:right="579" w:firstLine="432"/>
        <w:spacing w:after="0" w:line="272"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we have included detailed compensation information for only our three most highly compensated executive officers and have not included a compensation discussion and analysis, or CD&amp;A, of our executive compensation programs in this prospectus. In addition, for so long as we are an “emerging growth company,” we will not be required to:</w:t>
      </w:r>
    </w:p>
    <w:p>
      <w:pPr>
        <w:spacing w:after="0" w:line="110" w:lineRule="exact"/>
        <w:rPr>
          <w:sz w:val="20"/>
          <w:szCs w:val="20"/>
          <w:color w:val="auto"/>
        </w:rPr>
      </w:pPr>
    </w:p>
    <w:p>
      <w:pPr>
        <w:ind w:left="1400" w:right="1359" w:hanging="424"/>
        <w:spacing w:after="0" w:line="342" w:lineRule="auto"/>
        <w:tabs>
          <w:tab w:leader="none" w:pos="1391" w:val="left"/>
        </w:tabs>
        <w:numPr>
          <w:ilvl w:val="0"/>
          <w:numId w:val="7"/>
        </w:numPr>
        <w:rPr>
          <w:rFonts w:ascii="Arial" w:cs="Arial" w:eastAsia="Arial" w:hAnsi="Arial"/>
          <w:sz w:val="16"/>
          <w:szCs w:val="16"/>
          <w:color w:val="auto"/>
        </w:rPr>
      </w:pPr>
      <w:r>
        <w:rPr>
          <w:rFonts w:ascii="Arial" w:cs="Arial" w:eastAsia="Arial" w:hAnsi="Arial"/>
          <w:sz w:val="16"/>
          <w:szCs w:val="16"/>
          <w:color w:val="auto"/>
        </w:rPr>
        <w:t>engage an auditor to report on our internal controls over financial reporting pursuant to Section 404(b) of the Sarbanes–Oxley Act of 2002, or the Sarbanes–Oxley Act;</w:t>
      </w:r>
    </w:p>
    <w:p>
      <w:pPr>
        <w:spacing w:after="0" w:line="56" w:lineRule="exact"/>
        <w:rPr>
          <w:rFonts w:ascii="Arial" w:cs="Arial" w:eastAsia="Arial" w:hAnsi="Arial"/>
          <w:sz w:val="16"/>
          <w:szCs w:val="16"/>
          <w:color w:val="auto"/>
        </w:rPr>
      </w:pPr>
    </w:p>
    <w:p>
      <w:pPr>
        <w:ind w:left="1400" w:right="619" w:hanging="424"/>
        <w:spacing w:after="0" w:line="259"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05" w:lineRule="exact"/>
        <w:rPr>
          <w:rFonts w:ascii="Arial" w:cs="Arial" w:eastAsia="Arial" w:hAnsi="Arial"/>
          <w:sz w:val="18"/>
          <w:szCs w:val="18"/>
          <w:color w:val="auto"/>
        </w:rPr>
      </w:pPr>
    </w:p>
    <w:p>
      <w:pPr>
        <w:ind w:left="1400" w:right="799" w:hanging="424"/>
        <w:spacing w:after="0" w:line="277"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 certain executive compensation matters to shareholder advisory votes, such as “say-on-pay,” “say-on-frequency,” and “say-on-golden parachutes;” or</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5" w:name="page16"/>
    <w:bookmarkEnd w:id="15"/>
    <w:p>
      <w:pPr>
        <w:jc w:val="both"/>
        <w:ind w:left="1400" w:right="679" w:hanging="424"/>
        <w:spacing w:after="0" w:line="263"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4871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4871085"/>
                    </a:xfrm>
                    <a:prstGeom prst="rect">
                      <a:avLst/>
                    </a:prstGeom>
                    <a:noFill/>
                  </pic:spPr>
                </pic:pic>
              </a:graphicData>
            </a:graphic>
          </wp:anchor>
        </w:drawing>
        <w:t>disclose certain executive compensation related items such as the correlation between executive compensation and performance and comparison of the chief executive officer’s compensation to median employee compensation.</w:t>
      </w:r>
    </w:p>
    <w:p>
      <w:pPr>
        <w:spacing w:after="0" w:line="116" w:lineRule="exact"/>
        <w:rPr>
          <w:sz w:val="20"/>
          <w:szCs w:val="20"/>
          <w:color w:val="auto"/>
        </w:rPr>
      </w:pPr>
    </w:p>
    <w:p>
      <w:pPr>
        <w:ind w:left="540" w:right="579" w:firstLine="432"/>
        <w:spacing w:after="0" w:line="277" w:lineRule="auto"/>
        <w:rPr>
          <w:sz w:val="20"/>
          <w:szCs w:val="20"/>
          <w:color w:val="auto"/>
        </w:rPr>
      </w:pPr>
      <w:r>
        <w:rPr>
          <w:rFonts w:ascii="Arial" w:cs="Arial" w:eastAsia="Arial" w:hAnsi="Arial"/>
          <w:sz w:val="18"/>
          <w:szCs w:val="18"/>
          <w:color w:val="auto"/>
        </w:rPr>
        <w:t>In addition, the JOBS Act provides that an “emerging growth company” can use the extended transition period for complying with new or revised accounting standards.</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will remain an “emerging growth company” until the earliest to occur of:</w:t>
      </w:r>
    </w:p>
    <w:p>
      <w:pPr>
        <w:spacing w:after="0" w:line="144" w:lineRule="exact"/>
        <w:rPr>
          <w:sz w:val="20"/>
          <w:szCs w:val="20"/>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reporting $1 billion or more in annual gross revenues;</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issuance, in a three-year period, of more than $1 billion in non-convertible debt;</w:t>
      </w:r>
    </w:p>
    <w:p>
      <w:pPr>
        <w:spacing w:after="0" w:line="157" w:lineRule="exact"/>
        <w:rPr>
          <w:rFonts w:ascii="Arial" w:cs="Arial" w:eastAsia="Arial" w:hAnsi="Arial"/>
          <w:sz w:val="18"/>
          <w:szCs w:val="18"/>
          <w:color w:val="auto"/>
        </w:rPr>
      </w:pPr>
    </w:p>
    <w:p>
      <w:pPr>
        <w:ind w:left="1400" w:right="779" w:hanging="424"/>
        <w:spacing w:after="0" w:line="308" w:lineRule="auto"/>
        <w:tabs>
          <w:tab w:leader="none" w:pos="1391"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end of the fiscal year in which the market value of our common stock held by non-affiliates exceeds $700 million on the last business day of our second fiscal quarter; and</w:t>
      </w:r>
    </w:p>
    <w:p>
      <w:pPr>
        <w:spacing w:after="0" w:line="65" w:lineRule="exact"/>
        <w:rPr>
          <w:rFonts w:ascii="Arial" w:cs="Arial" w:eastAsia="Arial" w:hAnsi="Arial"/>
          <w:sz w:val="17"/>
          <w:szCs w:val="17"/>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[________], 2025.</w:t>
      </w:r>
    </w:p>
    <w:p>
      <w:pPr>
        <w:spacing w:after="0" w:line="158" w:lineRule="exact"/>
        <w:rPr>
          <w:sz w:val="20"/>
          <w:szCs w:val="20"/>
          <w:color w:val="auto"/>
        </w:rPr>
      </w:pPr>
    </w:p>
    <w:p>
      <w:pPr>
        <w:ind w:left="540" w:right="599" w:firstLine="432"/>
        <w:spacing w:after="0" w:line="263" w:lineRule="auto"/>
        <w:rPr>
          <w:sz w:val="20"/>
          <w:szCs w:val="20"/>
          <w:color w:val="auto"/>
        </w:rPr>
      </w:pPr>
      <w:r>
        <w:rPr>
          <w:rFonts w:ascii="Arial" w:cs="Arial" w:eastAsia="Arial" w:hAnsi="Arial"/>
          <w:sz w:val="18"/>
          <w:szCs w:val="18"/>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116" w:lineRule="exact"/>
        <w:rPr>
          <w:sz w:val="20"/>
          <w:szCs w:val="20"/>
          <w:color w:val="auto"/>
        </w:rPr>
      </w:pPr>
    </w:p>
    <w:p>
      <w:pPr>
        <w:ind w:left="540" w:right="559" w:firstLine="432"/>
        <w:spacing w:after="0" w:line="273" w:lineRule="auto"/>
        <w:rPr>
          <w:sz w:val="20"/>
          <w:szCs w:val="20"/>
          <w:color w:val="auto"/>
        </w:rPr>
      </w:pPr>
      <w:r>
        <w:rPr>
          <w:rFonts w:ascii="Arial" w:cs="Arial" w:eastAsia="Arial" w:hAnsi="Arial"/>
          <w:sz w:val="17"/>
          <w:szCs w:val="17"/>
          <w:color w:val="auto"/>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Corporate Information</w:t>
      </w:r>
    </w:p>
    <w:p>
      <w:pPr>
        <w:spacing w:after="0" w:line="148" w:lineRule="exact"/>
        <w:rPr>
          <w:sz w:val="20"/>
          <w:szCs w:val="20"/>
          <w:color w:val="auto"/>
        </w:rPr>
      </w:pPr>
    </w:p>
    <w:p>
      <w:pPr>
        <w:ind w:left="540" w:right="599" w:firstLine="432"/>
        <w:spacing w:after="0" w:line="275" w:lineRule="auto"/>
        <w:rPr>
          <w:sz w:val="20"/>
          <w:szCs w:val="20"/>
          <w:color w:val="auto"/>
        </w:rPr>
      </w:pPr>
      <w:r>
        <w:rPr>
          <w:rFonts w:ascii="Arial" w:cs="Arial" w:eastAsia="Arial" w:hAnsi="Arial"/>
          <w:sz w:val="17"/>
          <w:szCs w:val="17"/>
          <w:color w:val="auto"/>
        </w:rPr>
        <w:t xml:space="preserve">We were incorporated on June 6, 2016 in the State of Nevada as Agrinamics, Inc. and subsequently changed our name to Agrify Corporation on September 16, 2019. Our principal executive offices are located at 101 Middlesex Turnpike, Suite 6, PMB 326, Burlington, MA 01803. Our telephone number is (714) 613-1900. We maintain a website at </w:t>
      </w:r>
      <w:r>
        <w:rPr>
          <w:rFonts w:ascii="Arial" w:cs="Arial" w:eastAsia="Arial" w:hAnsi="Arial"/>
          <w:sz w:val="17"/>
          <w:szCs w:val="17"/>
          <w:i w:val="1"/>
          <w:iCs w:val="1"/>
          <w:color w:val="auto"/>
        </w:rPr>
        <w:t>www.agrify.com</w:t>
      </w:r>
      <w:r>
        <w:rPr>
          <w:rFonts w:ascii="Arial" w:cs="Arial" w:eastAsia="Arial" w:hAnsi="Arial"/>
          <w:sz w:val="17"/>
          <w:szCs w:val="17"/>
          <w:color w:val="auto"/>
        </w:rPr>
        <w:t>. The information contained on our website is not, and should not be interpreted to be, a part of this prospectus.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sectPr>
      </w:pPr>
    </w:p>
    <w:bookmarkStart w:id="16" w:name="page17"/>
    <w:bookmarkEnd w:id="16"/>
    <w:p>
      <w:pPr>
        <w:spacing w:after="0" w:line="39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Common stock being offered by us</w:t>
      </w:r>
    </w:p>
    <w:p>
      <w:pPr>
        <w:spacing w:after="0" w:line="248" w:lineRule="exact"/>
        <w:rPr>
          <w:sz w:val="20"/>
          <w:szCs w:val="20"/>
          <w:color w:val="auto"/>
        </w:rPr>
      </w:pPr>
    </w:p>
    <w:p>
      <w:pPr>
        <w:ind w:left="720" w:right="40" w:hanging="179"/>
        <w:spacing w:after="0" w:line="359" w:lineRule="auto"/>
        <w:rPr>
          <w:sz w:val="20"/>
          <w:szCs w:val="20"/>
          <w:color w:val="auto"/>
        </w:rPr>
      </w:pPr>
      <w:r>
        <w:rPr>
          <w:rFonts w:ascii="Arial" w:cs="Arial" w:eastAsia="Arial" w:hAnsi="Arial"/>
          <w:sz w:val="16"/>
          <w:szCs w:val="16"/>
          <w:color w:val="auto"/>
        </w:rPr>
        <w:t>Common stock to be outstanding immediately after this offering</w:t>
      </w:r>
      <w:r>
        <w:rPr>
          <w:rFonts w:ascii="Arial" w:cs="Arial" w:eastAsia="Arial" w:hAnsi="Arial"/>
          <w:sz w:val="18"/>
          <w:szCs w:val="18"/>
          <w:color w:val="auto"/>
          <w:vertAlign w:val="superscript"/>
        </w:rPr>
        <w:t>(1)</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Over-allotment option</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-384810</wp:posOffset>
            </wp:positionV>
            <wp:extent cx="5147310" cy="8540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540115"/>
                    </a:xfrm>
                    <a:prstGeom prst="rect">
                      <a:avLst/>
                    </a:prstGeom>
                    <a:noFill/>
                  </pic:spPr>
                </pic:pic>
              </a:graphicData>
            </a:graphic>
          </wp:anchor>
        </w:drawing>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shares</w:t>
      </w:r>
    </w:p>
    <w:p>
      <w:pPr>
        <w:spacing w:after="0" w:line="198" w:lineRule="exact"/>
        <w:rPr>
          <w:sz w:val="20"/>
          <w:szCs w:val="20"/>
          <w:color w:val="auto"/>
        </w:rPr>
      </w:pPr>
    </w:p>
    <w:p>
      <w:pPr>
        <w:ind w:right="719"/>
        <w:spacing w:after="0" w:line="275" w:lineRule="auto"/>
        <w:rPr>
          <w:sz w:val="20"/>
          <w:szCs w:val="20"/>
          <w:color w:val="auto"/>
        </w:rPr>
      </w:pPr>
      <w:r>
        <w:rPr>
          <w:rFonts w:ascii="Arial" w:cs="Arial" w:eastAsia="Arial" w:hAnsi="Arial"/>
          <w:sz w:val="17"/>
          <w:szCs w:val="17"/>
          <w:color w:val="auto"/>
        </w:rPr>
        <w:t>We have granted Maxim Group LLC, the representative of the underwriters (or Maxim Group) an option to purchase up to [●] additional shares of common stock from us at the public offering price less the underwriting discount within 45 days from the date of this prospectus to cover over-allotments.</w:t>
      </w:r>
    </w:p>
    <w:p>
      <w:pPr>
        <w:spacing w:after="0" w:line="149" w:lineRule="exact"/>
        <w:rPr>
          <w:sz w:val="20"/>
          <w:szCs w:val="20"/>
          <w:color w:val="auto"/>
        </w:rPr>
      </w:pPr>
    </w:p>
    <w:p>
      <w:pPr>
        <w:sectPr>
          <w:pgSz w:w="11900" w:h="16838" w:orient="portrait"/>
          <w:cols w:equalWidth="0" w:num="2">
            <w:col w:w="3080" w:space="340"/>
            <w:col w:w="5599"/>
          </w:cols>
          <w:pgMar w:left="1440" w:top="540" w:right="1440" w:bottom="1440" w:gutter="0" w:footer="0" w:header="0"/>
        </w:sectPr>
      </w:pPr>
    </w:p>
    <w:p>
      <w:pPr>
        <w:ind w:left="540"/>
        <w:spacing w:after="0"/>
        <w:tabs>
          <w:tab w:leader="none" w:pos="340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intend to use the net proceeds from this offering to</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[________________] and for working capital and other general</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corporate purposes. See “Use of Proceeds.”</w:t>
      </w:r>
    </w:p>
    <w:p>
      <w:pPr>
        <w:spacing w:after="0" w:line="184" w:lineRule="exact"/>
        <w:rPr>
          <w:sz w:val="20"/>
          <w:szCs w:val="20"/>
          <w:color w:val="auto"/>
        </w:rPr>
      </w:pPr>
    </w:p>
    <w:p>
      <w:pPr>
        <w:ind w:left="540"/>
        <w:spacing w:after="0"/>
        <w:tabs>
          <w:tab w:leader="none" w:pos="3400" w:val="left"/>
        </w:tabs>
        <w:rPr>
          <w:sz w:val="20"/>
          <w:szCs w:val="20"/>
          <w:color w:val="auto"/>
        </w:rPr>
      </w:pPr>
      <w:r>
        <w:rPr>
          <w:rFonts w:ascii="Arial" w:cs="Arial" w:eastAsia="Arial" w:hAnsi="Arial"/>
          <w:sz w:val="18"/>
          <w:szCs w:val="18"/>
          <w:color w:val="auto"/>
        </w:rPr>
        <w:t>Representative’s warrants:</w:t>
      </w:r>
      <w:r>
        <w:rPr>
          <w:sz w:val="20"/>
          <w:szCs w:val="20"/>
          <w:color w:val="auto"/>
        </w:rPr>
        <w:tab/>
      </w:r>
      <w:r>
        <w:rPr>
          <w:rFonts w:ascii="Arial" w:cs="Arial" w:eastAsia="Arial" w:hAnsi="Arial"/>
          <w:sz w:val="16"/>
          <w:szCs w:val="16"/>
          <w:color w:val="auto"/>
        </w:rPr>
        <w:t>Upon the closing of this offering, we will issue to Maxim Group</w:t>
      </w:r>
    </w:p>
    <w:p>
      <w:pPr>
        <w:spacing w:after="0" w:line="23" w:lineRule="exact"/>
        <w:rPr>
          <w:sz w:val="20"/>
          <w:szCs w:val="20"/>
          <w:color w:val="auto"/>
        </w:rPr>
      </w:pPr>
    </w:p>
    <w:p>
      <w:pPr>
        <w:ind w:left="3420" w:right="619"/>
        <w:spacing w:after="0" w:line="285" w:lineRule="auto"/>
        <w:rPr>
          <w:sz w:val="20"/>
          <w:szCs w:val="20"/>
          <w:color w:val="auto"/>
        </w:rPr>
      </w:pPr>
      <w:r>
        <w:rPr>
          <w:rFonts w:ascii="Arial" w:cs="Arial" w:eastAsia="Arial" w:hAnsi="Arial"/>
          <w:sz w:val="16"/>
          <w:szCs w:val="16"/>
          <w:color w:val="auto"/>
        </w:rPr>
        <w:t>compensation warrants (or the Representative’s Warrants) entitling Maxim Group to purchase 5% of the aggregate number of shares of common stock issued in this offering, excluding shares issued pursuant to the exercise of the over-allotment option, at an exercise price of $[●] per share (which is equal to 110% of the public offering price). The Representative’s Warrants will be subject to a lock-up for 180 days from the effective date of the registration statement related to this offering and will be exercisable commencing 6 months after the effective date, terminate on the five year anniversary of the effective date and will contain a customary “cashless exercise” customary “piggyback” registration rights.</w:t>
      </w:r>
    </w:p>
    <w:p>
      <w:pPr>
        <w:spacing w:after="0" w:line="147" w:lineRule="exact"/>
        <w:rPr>
          <w:sz w:val="20"/>
          <w:szCs w:val="20"/>
          <w:color w:val="auto"/>
        </w:rPr>
      </w:pPr>
    </w:p>
    <w:p>
      <w:pPr>
        <w:ind w:left="540"/>
        <w:spacing w:after="0"/>
        <w:tabs>
          <w:tab w:leader="none" w:pos="3400" w:val="left"/>
        </w:tabs>
        <w:rPr>
          <w:sz w:val="20"/>
          <w:szCs w:val="20"/>
          <w:color w:val="auto"/>
        </w:rPr>
      </w:pPr>
      <w:r>
        <w:rPr>
          <w:rFonts w:ascii="Arial" w:cs="Arial" w:eastAsia="Arial" w:hAnsi="Arial"/>
          <w:sz w:val="18"/>
          <w:szCs w:val="18"/>
          <w:color w:val="auto"/>
        </w:rPr>
        <w:t>Proposed NASDAQ trading symbol</w:t>
        <w:tab/>
        <w:t>“[____]”</w:t>
      </w:r>
    </w:p>
    <w:p>
      <w:pPr>
        <w:spacing w:after="0" w:line="198" w:lineRule="exact"/>
        <w:rPr>
          <w:sz w:val="20"/>
          <w:szCs w:val="20"/>
          <w:color w:val="auto"/>
        </w:rPr>
      </w:pPr>
    </w:p>
    <w:p>
      <w:pPr>
        <w:ind w:left="540"/>
        <w:spacing w:after="0"/>
        <w:tabs>
          <w:tab w:leader="none" w:pos="3400" w:val="left"/>
        </w:tabs>
        <w:rPr>
          <w:sz w:val="20"/>
          <w:szCs w:val="20"/>
          <w:color w:val="auto"/>
        </w:rPr>
      </w:pPr>
      <w:r>
        <w:rPr>
          <w:rFonts w:ascii="Arial" w:cs="Arial" w:eastAsia="Arial" w:hAnsi="Arial"/>
          <w:sz w:val="18"/>
          <w:szCs w:val="18"/>
          <w:color w:val="auto"/>
        </w:rPr>
        <w:t>Lock-up</w:t>
      </w:r>
      <w:r>
        <w:rPr>
          <w:sz w:val="20"/>
          <w:szCs w:val="20"/>
          <w:color w:val="auto"/>
        </w:rPr>
        <w:tab/>
      </w:r>
      <w:r>
        <w:rPr>
          <w:rFonts w:ascii="Arial" w:cs="Arial" w:eastAsia="Arial" w:hAnsi="Arial"/>
          <w:sz w:val="16"/>
          <w:szCs w:val="16"/>
          <w:color w:val="auto"/>
        </w:rPr>
        <w:t>We and our directors, officers and holders of one percent (1%) or</w:t>
      </w:r>
    </w:p>
    <w:p>
      <w:pPr>
        <w:spacing w:after="0" w:line="23" w:lineRule="exact"/>
        <w:rPr>
          <w:sz w:val="20"/>
          <w:szCs w:val="20"/>
          <w:color w:val="auto"/>
        </w:rPr>
      </w:pPr>
    </w:p>
    <w:p>
      <w:pPr>
        <w:ind w:left="3420" w:right="639"/>
        <w:spacing w:after="0" w:line="287" w:lineRule="auto"/>
        <w:rPr>
          <w:sz w:val="20"/>
          <w:szCs w:val="20"/>
          <w:color w:val="auto"/>
        </w:rPr>
      </w:pPr>
      <w:r>
        <w:rPr>
          <w:rFonts w:ascii="Arial" w:cs="Arial" w:eastAsia="Arial" w:hAnsi="Arial"/>
          <w:sz w:val="16"/>
          <w:szCs w:val="16"/>
          <w:color w:val="auto"/>
        </w:rPr>
        <w:t>more of our outstanding shares of common stock as of the effective date of the registration statement related to this offering (and all holders of securities exercisable for or convertible into shares of common stock) shall enter into customary “lock-up” agreements pursuant to which such persons and entities shall agree not to offer, issue, sell, contract to sell, encumber, grant any option for the sale of or otherwise dispose of any of our securities for a period of 180 days after the effective date of this registration statement.</w:t>
      </w:r>
    </w:p>
    <w:p>
      <w:pPr>
        <w:spacing w:after="0" w:line="139" w:lineRule="exact"/>
        <w:rPr>
          <w:sz w:val="20"/>
          <w:szCs w:val="20"/>
          <w:color w:val="auto"/>
        </w:rPr>
      </w:pPr>
    </w:p>
    <w:p>
      <w:pPr>
        <w:ind w:left="540"/>
        <w:spacing w:after="0"/>
        <w:tabs>
          <w:tab w:leader="none" w:pos="340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5"/>
          <w:szCs w:val="15"/>
          <w:b w:val="1"/>
          <w:bCs w:val="1"/>
          <w:color w:val="auto"/>
        </w:rPr>
        <w:t>The securities offered by this prospectus are speculative and</w:t>
      </w:r>
    </w:p>
    <w:p>
      <w:pPr>
        <w:spacing w:after="0" w:line="27" w:lineRule="exact"/>
        <w:rPr>
          <w:sz w:val="20"/>
          <w:szCs w:val="20"/>
          <w:color w:val="auto"/>
        </w:rPr>
      </w:pPr>
    </w:p>
    <w:p>
      <w:pPr>
        <w:ind w:left="3420" w:right="599"/>
        <w:spacing w:after="0" w:line="302" w:lineRule="auto"/>
        <w:rPr>
          <w:sz w:val="20"/>
          <w:szCs w:val="20"/>
          <w:color w:val="auto"/>
        </w:rPr>
      </w:pPr>
      <w:r>
        <w:rPr>
          <w:rFonts w:ascii="Arial" w:cs="Arial" w:eastAsia="Arial" w:hAnsi="Arial"/>
          <w:sz w:val="16"/>
          <w:szCs w:val="16"/>
          <w:b w:val="1"/>
          <w:bCs w:val="1"/>
          <w:color w:val="auto"/>
        </w:rPr>
        <w:t>involve a high degree of risk</w:t>
      </w:r>
      <w:r>
        <w:rPr>
          <w:rFonts w:ascii="Arial" w:cs="Arial" w:eastAsia="Arial" w:hAnsi="Arial"/>
          <w:sz w:val="16"/>
          <w:szCs w:val="16"/>
          <w:color w:val="auto"/>
        </w:rPr>
        <w:t>. Investors purchasing securities should</w:t>
      </w:r>
      <w:r>
        <w:rPr>
          <w:rFonts w:ascii="Arial" w:cs="Arial" w:eastAsia="Arial" w:hAnsi="Arial"/>
          <w:sz w:val="16"/>
          <w:szCs w:val="16"/>
          <w:b w:val="1"/>
          <w:bCs w:val="1"/>
          <w:color w:val="auto"/>
        </w:rPr>
        <w:t xml:space="preserve"> </w:t>
      </w:r>
      <w:r>
        <w:rPr>
          <w:rFonts w:ascii="Arial" w:cs="Arial" w:eastAsia="Arial" w:hAnsi="Arial"/>
          <w:sz w:val="16"/>
          <w:szCs w:val="16"/>
          <w:color w:val="auto"/>
        </w:rPr>
        <w:t>not purchase the securities unless they can afford the loss of their entire investment. See “Risk Factors” beginning on page 17.</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980" w:hanging="436"/>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number of shares of our common stock to be outstanding immediately after this offering excludes:</w:t>
      </w:r>
    </w:p>
    <w:p>
      <w:pPr>
        <w:spacing w:after="0" w:line="59" w:lineRule="exact"/>
        <w:rPr>
          <w:rFonts w:ascii="Arial" w:cs="Arial" w:eastAsia="Arial" w:hAnsi="Arial"/>
          <w:sz w:val="16"/>
          <w:szCs w:val="16"/>
          <w:color w:val="auto"/>
        </w:rPr>
      </w:pPr>
    </w:p>
    <w:p>
      <w:pPr>
        <w:ind w:left="1400" w:right="1019" w:hanging="208"/>
        <w:spacing w:after="0" w:line="263" w:lineRule="auto"/>
        <w:tabs>
          <w:tab w:leader="none" w:pos="1607" w:val="left"/>
        </w:tabs>
        <w:numPr>
          <w:ilvl w:val="1"/>
          <w:numId w:val="10"/>
        </w:numPr>
        <w:rPr>
          <w:rFonts w:ascii="Arial" w:cs="Arial" w:eastAsia="Arial" w:hAnsi="Arial"/>
          <w:sz w:val="18"/>
          <w:szCs w:val="18"/>
          <w:color w:val="auto"/>
        </w:rPr>
      </w:pPr>
      <w:r>
        <w:rPr>
          <w:rFonts w:ascii="Arial" w:cs="Arial" w:eastAsia="Arial" w:hAnsi="Arial"/>
          <w:sz w:val="16"/>
          <w:szCs w:val="16"/>
          <w:color w:val="auto"/>
        </w:rPr>
        <w:t>________ shares of common stock issuable upon the exercise of outstanding options at a weighted average exercise price of $___ per share;</w:t>
      </w:r>
    </w:p>
    <w:p>
      <w:pPr>
        <w:spacing w:after="0" w:line="29" w:lineRule="exact"/>
        <w:rPr>
          <w:rFonts w:ascii="Arial" w:cs="Arial" w:eastAsia="Arial" w:hAnsi="Arial"/>
          <w:sz w:val="18"/>
          <w:szCs w:val="18"/>
          <w:color w:val="auto"/>
        </w:rPr>
      </w:pPr>
    </w:p>
    <w:p>
      <w:pPr>
        <w:ind w:left="1620" w:hanging="428"/>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6"/>
          <w:szCs w:val="16"/>
          <w:color w:val="auto"/>
        </w:rPr>
        <w:t>_____ shares reserved for issuance under our equity incentive plan.</w:t>
      </w:r>
    </w:p>
    <w:p>
      <w:pPr>
        <w:spacing w:after="0" w:line="3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Unless otherwise stated, all information in this prospectus assumes:</w:t>
      </w:r>
    </w:p>
    <w:p>
      <w:pPr>
        <w:spacing w:after="0" w:line="59" w:lineRule="exact"/>
        <w:rPr>
          <w:sz w:val="20"/>
          <w:szCs w:val="20"/>
          <w:color w:val="auto"/>
        </w:rPr>
      </w:pPr>
    </w:p>
    <w:p>
      <w:pPr>
        <w:ind w:left="1400" w:right="559" w:hanging="208"/>
        <w:spacing w:after="0" w:line="284" w:lineRule="auto"/>
        <w:tabs>
          <w:tab w:leader="none" w:pos="1607" w:val="left"/>
        </w:tabs>
        <w:numPr>
          <w:ilvl w:val="0"/>
          <w:numId w:val="11"/>
        </w:numPr>
        <w:rPr>
          <w:rFonts w:ascii="Arial" w:cs="Arial" w:eastAsia="Arial" w:hAnsi="Arial"/>
          <w:sz w:val="16"/>
          <w:szCs w:val="16"/>
          <w:color w:val="auto"/>
        </w:rPr>
      </w:pPr>
      <w:r>
        <w:rPr>
          <w:rFonts w:ascii="Arial" w:cs="Arial" w:eastAsia="Arial" w:hAnsi="Arial"/>
          <w:sz w:val="14"/>
          <w:szCs w:val="14"/>
          <w:color w:val="auto"/>
        </w:rPr>
        <w:t>the conversion of our outstanding shares of Series A Preferred Stock into ______ shares of common stock immediately prior to the closing of this offering based on a conversion formula equal to the quotient of</w:t>
      </w:r>
    </w:p>
    <w:p>
      <w:pPr>
        <w:jc w:val="both"/>
        <w:ind w:left="1400" w:right="559" w:firstLine="8"/>
        <w:spacing w:after="0" w:line="317" w:lineRule="auto"/>
        <w:tabs>
          <w:tab w:leader="none" w:pos="1593"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the lesser of (x) $70 million and (y) 70% of the aggregate valuation of our company on the date of this prospectus divided by (ii) _______________ (which represents the number of total outstanding shares of common stock immediately prior to the consummation of this offering on a fully diluted as-converted basis);</w:t>
      </w:r>
    </w:p>
    <w:p>
      <w:pPr>
        <w:spacing w:after="0" w:line="19" w:lineRule="exact"/>
        <w:rPr>
          <w:rFonts w:ascii="Arial" w:cs="Arial" w:eastAsia="Arial" w:hAnsi="Arial"/>
          <w:sz w:val="14"/>
          <w:szCs w:val="14"/>
          <w:color w:val="auto"/>
        </w:rPr>
      </w:pPr>
    </w:p>
    <w:p>
      <w:pPr>
        <w:ind w:left="1620" w:hanging="428"/>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no exercise of the underwriters’ over-allotment option to purchase additional shares;</w:t>
      </w:r>
    </w:p>
    <w:p>
      <w:pPr>
        <w:spacing w:after="0" w:line="49" w:lineRule="exact"/>
        <w:rPr>
          <w:rFonts w:ascii="Arial" w:cs="Arial" w:eastAsia="Arial" w:hAnsi="Arial"/>
          <w:sz w:val="18"/>
          <w:szCs w:val="18"/>
          <w:color w:val="auto"/>
        </w:rPr>
      </w:pPr>
    </w:p>
    <w:p>
      <w:pPr>
        <w:ind w:left="1620" w:hanging="428"/>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no exercise of the Representative’s Warrants.</w:t>
      </w:r>
    </w:p>
    <w:p>
      <w:pPr>
        <w:sectPr>
          <w:pgSz w:w="11900" w:h="16838" w:orient="portrait"/>
          <w:cols w:equalWidth="0" w:num="1">
            <w:col w:w="9019"/>
          </w:cols>
          <w:pgMar w:left="1440" w:top="540" w:right="1440" w:bottom="1440" w:gutter="0" w:footer="0" w:header="0"/>
          <w:type w:val="continuous"/>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717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7717155"/>
                    </a:xfrm>
                    <a:prstGeom prst="rect">
                      <a:avLst/>
                    </a:prstGeom>
                    <a:noFill/>
                  </pic:spPr>
                </pic:pic>
              </a:graphicData>
            </a:graphic>
          </wp:anchor>
        </w:drawing>
        <w:t>SUMMARY FINANCIAL AND OTHER DATA</w:t>
      </w:r>
    </w:p>
    <w:p>
      <w:pPr>
        <w:spacing w:after="0" w:line="148" w:lineRule="exact"/>
        <w:rPr>
          <w:sz w:val="20"/>
          <w:szCs w:val="20"/>
          <w:color w:val="auto"/>
        </w:rPr>
      </w:pPr>
    </w:p>
    <w:p>
      <w:pPr>
        <w:ind w:left="540" w:right="599" w:firstLine="432"/>
        <w:spacing w:after="0" w:line="271" w:lineRule="auto"/>
        <w:rPr>
          <w:sz w:val="20"/>
          <w:szCs w:val="20"/>
          <w:color w:val="auto"/>
        </w:rPr>
      </w:pPr>
      <w:r>
        <w:rPr>
          <w:rFonts w:ascii="Arial" w:cs="Arial" w:eastAsia="Arial" w:hAnsi="Arial"/>
          <w:sz w:val="17"/>
          <w:szCs w:val="17"/>
          <w:color w:val="auto"/>
        </w:rPr>
        <w:t>The following table presents our summary historical financial data for the periods presented and should be read in conjunction with “Management’s Discussion and Analysis of Financial Condition and Results of Operations” and the financial statements and notes thereto included elsewhere in this prospectus. The statements of operations data for the fiscal years ended December 31, 2019 and 2018 are derived from our audited financial statements included elsewhere in this prospectus. The summary consolidated statements of operations data for the three months ended March 31, 2020 and 2019 and the consolidated balance sheet data as of March 31, 2020 have been derived from our unaudited interim consolidated financial statements included elsewhere in this prospectus.</w:t>
      </w:r>
    </w:p>
    <w:p>
      <w:pPr>
        <w:spacing w:after="0" w:line="152"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0" w:type="dxa"/>
            <w:vAlign w:val="bottom"/>
            <w:gridSpan w:val="8"/>
          </w:tcPr>
          <w:p>
            <w:pPr>
              <w:jc w:val="right"/>
              <w:ind w:right="720"/>
              <w:spacing w:after="0"/>
              <w:rPr>
                <w:sz w:val="20"/>
                <w:szCs w:val="20"/>
                <w:color w:val="auto"/>
              </w:rPr>
            </w:pPr>
            <w:r>
              <w:rPr>
                <w:rFonts w:ascii="Arial" w:cs="Arial" w:eastAsia="Arial" w:hAnsi="Arial"/>
                <w:sz w:val="16"/>
                <w:szCs w:val="16"/>
                <w:b w:val="1"/>
                <w:bCs w:val="1"/>
                <w:color w:val="auto"/>
              </w:rPr>
              <w:t>Year Ended</w:t>
            </w:r>
          </w:p>
        </w:tc>
        <w:tc>
          <w:tcPr>
            <w:tcW w:w="100" w:type="dxa"/>
            <w:vAlign w:val="bottom"/>
          </w:tcPr>
          <w:p>
            <w:pPr>
              <w:spacing w:after="0"/>
              <w:rPr>
                <w:sz w:val="17"/>
                <w:szCs w:val="17"/>
                <w:color w:val="auto"/>
              </w:rPr>
            </w:pPr>
          </w:p>
        </w:tc>
        <w:tc>
          <w:tcPr>
            <w:tcW w:w="2220" w:type="dxa"/>
            <w:vAlign w:val="bottom"/>
            <w:gridSpan w:val="7"/>
          </w:tcPr>
          <w:p>
            <w:pPr>
              <w:jc w:val="right"/>
              <w:ind w:right="32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gridSpan w:val="8"/>
          </w:tcPr>
          <w:p>
            <w:pPr>
              <w:jc w:val="right"/>
              <w:ind w:right="640"/>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2220" w:type="dxa"/>
            <w:vAlign w:val="bottom"/>
            <w:gridSpan w:val="7"/>
          </w:tcPr>
          <w:p>
            <w:pPr>
              <w:jc w:val="right"/>
              <w:ind w:right="68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tcPr>
          <w:p>
            <w:pPr>
              <w:jc w:val="center"/>
              <w:ind w:left="37"/>
              <w:spacing w:after="0" w:line="182" w:lineRule="exact"/>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940" w:type="dxa"/>
            <w:vAlign w:val="bottom"/>
            <w:gridSpan w:val="2"/>
          </w:tcPr>
          <w:p>
            <w:pPr>
              <w:jc w:val="right"/>
              <w:ind w:right="114"/>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Pro Forma</w:t>
            </w:r>
          </w:p>
        </w:tc>
        <w:tc>
          <w:tcPr>
            <w:tcW w:w="1040" w:type="dxa"/>
            <w:vAlign w:val="bottom"/>
            <w:gridSpan w:val="2"/>
          </w:tcPr>
          <w:p>
            <w:pPr>
              <w:jc w:val="right"/>
              <w:ind w:right="154"/>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4"/>
              </w:rPr>
              <w:t>(unaudited)</w:t>
            </w:r>
          </w:p>
        </w:tc>
        <w:tc>
          <w:tcPr>
            <w:tcW w:w="100" w:type="dxa"/>
            <w:vAlign w:val="bottom"/>
          </w:tcPr>
          <w:p>
            <w:pPr>
              <w:spacing w:after="0"/>
              <w:rPr>
                <w:sz w:val="20"/>
                <w:szCs w:val="20"/>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Revenue, net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$ 4,088,000</w:t>
            </w:r>
          </w:p>
        </w:tc>
        <w:tc>
          <w:tcPr>
            <w:tcW w:w="12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$ 1,769,000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$ 1,013,000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1,292,000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2,846,000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1,238,000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3,490,000</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Loss from operations</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(3,091,000)</w:t>
            </w: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(1,016,000)</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(3,449,000)</w:t>
            </w:r>
          </w:p>
        </w:tc>
        <w:tc>
          <w:tcPr>
            <w:tcW w:w="60" w:type="dxa"/>
            <w:vAlign w:val="bottom"/>
          </w:tcPr>
          <w:p>
            <w:pPr>
              <w:spacing w:after="0"/>
              <w:rPr>
                <w:sz w:val="21"/>
                <w:szCs w:val="21"/>
                <w:color w:val="auto"/>
              </w:rPr>
            </w:pPr>
          </w:p>
        </w:tc>
        <w:tc>
          <w:tcPr>
            <w:tcW w:w="1180" w:type="dxa"/>
            <w:vAlign w:val="bottom"/>
            <w:gridSpan w:val="3"/>
          </w:tcPr>
          <w:p>
            <w:pPr>
              <w:jc w:val="right"/>
              <w:ind w:right="1"/>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41"/>
        </w:trPr>
        <w:tc>
          <w:tcPr>
            <w:tcW w:w="3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income (expense), net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4"/>
        </w:trPr>
        <w:tc>
          <w:tcPr>
            <w:tcW w:w="3340" w:type="dxa"/>
            <w:vAlign w:val="bottom"/>
          </w:tcPr>
          <w:p>
            <w:pPr>
              <w:spacing w:after="0"/>
              <w:rPr>
                <w:sz w:val="20"/>
                <w:szCs w:val="20"/>
                <w:color w:val="auto"/>
              </w:rPr>
            </w:pPr>
            <w:r>
              <w:rPr>
                <w:rFonts w:ascii="Arial" w:cs="Arial" w:eastAsia="Arial" w:hAnsi="Arial"/>
                <w:sz w:val="18"/>
                <w:szCs w:val="18"/>
                <w:color w:val="auto"/>
              </w:rPr>
              <w:t>Net loss before non-controlling interest</w:t>
            </w:r>
          </w:p>
        </w:tc>
        <w:tc>
          <w:tcPr>
            <w:tcW w:w="6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(3,042,000)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(1,014,000)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(3,444,000)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Loss attributable to non-controlling interest</w:t>
            </w:r>
          </w:p>
        </w:tc>
        <w:tc>
          <w:tcPr>
            <w:tcW w:w="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6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(3,042,000</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(1,014,000</w:t>
            </w:r>
          </w:p>
        </w:tc>
        <w:tc>
          <w:tcPr>
            <w:tcW w:w="1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(3,413,000</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Net income (loss) per share, basic and diluted</w:t>
            </w: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3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4"/>
          </w:tcPr>
          <w:p>
            <w:pPr>
              <w:jc w:val="center"/>
              <w:ind w:right="540"/>
              <w:spacing w:after="0"/>
              <w:rPr>
                <w:sz w:val="20"/>
                <w:szCs w:val="20"/>
                <w:color w:val="auto"/>
              </w:rPr>
            </w:pPr>
            <w:r>
              <w:rPr>
                <w:rFonts w:ascii="Arial" w:cs="Arial" w:eastAsia="Arial" w:hAnsi="Arial"/>
                <w:sz w:val="16"/>
                <w:szCs w:val="16"/>
                <w:b w:val="1"/>
                <w:bCs w:val="1"/>
                <w:color w:val="auto"/>
                <w:w w:val="89"/>
              </w:rPr>
              <w:t>As of</w:t>
            </w:r>
          </w:p>
        </w:tc>
        <w:tc>
          <w:tcPr>
            <w:tcW w:w="100" w:type="dxa"/>
            <w:vAlign w:val="bottom"/>
          </w:tcPr>
          <w:p>
            <w:pPr>
              <w:spacing w:after="0"/>
              <w:rPr>
                <w:sz w:val="24"/>
                <w:szCs w:val="24"/>
                <w:color w:val="auto"/>
              </w:rPr>
            </w:pPr>
          </w:p>
        </w:tc>
        <w:tc>
          <w:tcPr>
            <w:tcW w:w="2220" w:type="dxa"/>
            <w:vAlign w:val="bottom"/>
            <w:gridSpan w:val="7"/>
          </w:tcPr>
          <w:p>
            <w:pPr>
              <w:jc w:val="right"/>
              <w:ind w:right="421"/>
              <w:spacing w:after="0"/>
              <w:rPr>
                <w:sz w:val="20"/>
                <w:szCs w:val="20"/>
                <w:color w:val="auto"/>
              </w:rPr>
            </w:pPr>
            <w:r>
              <w:rPr>
                <w:rFonts w:ascii="Arial" w:cs="Arial" w:eastAsia="Arial" w:hAnsi="Arial"/>
                <w:sz w:val="16"/>
                <w:szCs w:val="16"/>
                <w:b w:val="1"/>
                <w:bCs w:val="1"/>
                <w:color w:val="auto"/>
              </w:rPr>
              <w:t>As of March 31, 2020</w:t>
            </w: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5"/>
          </w:tcPr>
          <w:p>
            <w:pPr>
              <w:jc w:val="center"/>
              <w:ind w:right="101"/>
              <w:spacing w:after="0" w:line="182" w:lineRule="exact"/>
              <w:rPr>
                <w:sz w:val="20"/>
                <w:szCs w:val="20"/>
                <w:color w:val="auto"/>
              </w:rPr>
            </w:pPr>
            <w:r>
              <w:rPr>
                <w:rFonts w:ascii="Arial" w:cs="Arial" w:eastAsia="Arial" w:hAnsi="Arial"/>
                <w:sz w:val="16"/>
                <w:szCs w:val="16"/>
                <w:b w:val="1"/>
                <w:bCs w:val="1"/>
                <w:color w:val="auto"/>
                <w:w w:val="90"/>
              </w:rPr>
              <w:t>December 31,</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4"/>
          </w:tcPr>
          <w:p>
            <w:pPr>
              <w:jc w:val="center"/>
              <w:ind w:right="440"/>
              <w:spacing w:after="0" w:line="182" w:lineRule="exact"/>
              <w:rPr>
                <w:sz w:val="20"/>
                <w:szCs w:val="20"/>
                <w:color w:val="auto"/>
              </w:rPr>
            </w:pPr>
            <w:r>
              <w:rPr>
                <w:rFonts w:ascii="Arial" w:cs="Arial" w:eastAsia="Arial" w:hAnsi="Arial"/>
                <w:sz w:val="16"/>
                <w:szCs w:val="16"/>
                <w:b w:val="1"/>
                <w:bCs w:val="1"/>
                <w:color w:val="auto"/>
                <w:w w:val="89"/>
              </w:rPr>
              <w:t>Pro</w:t>
            </w: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right"/>
              <w:ind w:right="181"/>
              <w:spacing w:after="0" w:line="182" w:lineRule="exact"/>
              <w:rPr>
                <w:sz w:val="20"/>
                <w:szCs w:val="20"/>
                <w:color w:val="auto"/>
              </w:rPr>
            </w:pPr>
            <w:r>
              <w:rPr>
                <w:rFonts w:ascii="Arial" w:cs="Arial" w:eastAsia="Arial" w:hAnsi="Arial"/>
                <w:sz w:val="16"/>
                <w:szCs w:val="16"/>
                <w:b w:val="1"/>
                <w:bCs w:val="1"/>
                <w:color w:val="auto"/>
                <w:w w:val="99"/>
              </w:rPr>
              <w:t>Pro Forma</w:t>
            </w:r>
          </w:p>
        </w:tc>
        <w:tc>
          <w:tcPr>
            <w:tcW w:w="0" w:type="dxa"/>
            <w:vAlign w:val="bottom"/>
          </w:tcPr>
          <w:p>
            <w:pPr>
              <w:spacing w:after="0"/>
              <w:rPr>
                <w:sz w:val="1"/>
                <w:szCs w:val="1"/>
                <w:color w:val="auto"/>
              </w:rPr>
            </w:pPr>
          </w:p>
        </w:tc>
      </w:tr>
      <w:tr>
        <w:trPr>
          <w:trHeight w:val="253"/>
        </w:trPr>
        <w:tc>
          <w:tcPr>
            <w:tcW w:w="3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center"/>
              <w:ind w:right="92"/>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37"/>
              <w:spacing w:after="0"/>
              <w:rPr>
                <w:sz w:val="20"/>
                <w:szCs w:val="20"/>
                <w:color w:val="auto"/>
              </w:rPr>
            </w:pPr>
            <w:r>
              <w:rPr>
                <w:rFonts w:ascii="Arial" w:cs="Arial" w:eastAsia="Arial" w:hAnsi="Arial"/>
                <w:sz w:val="16"/>
                <w:szCs w:val="16"/>
                <w:b w:val="1"/>
                <w:bCs w:val="1"/>
                <w:color w:val="auto"/>
                <w:w w:val="91"/>
              </w:rPr>
              <w:t>Forma</w:t>
            </w:r>
            <w:r>
              <w:rPr>
                <w:rFonts w:ascii="Arial" w:cs="Arial" w:eastAsia="Arial" w:hAnsi="Arial"/>
                <w:sz w:val="18"/>
                <w:szCs w:val="18"/>
                <w:b w:val="1"/>
                <w:bCs w:val="1"/>
                <w:color w:val="auto"/>
                <w:w w:val="91"/>
                <w:vertAlign w:val="superscript"/>
              </w:rPr>
              <w:t>(1)</w:t>
            </w:r>
          </w:p>
        </w:tc>
        <w:tc>
          <w:tcPr>
            <w:tcW w:w="100" w:type="dxa"/>
            <w:vAlign w:val="bottom"/>
            <w:gridSpan w:val="2"/>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6"/>
                <w:szCs w:val="16"/>
                <w:b w:val="1"/>
                <w:bCs w:val="1"/>
                <w:color w:val="auto"/>
                <w:w w:val="94"/>
              </w:rPr>
              <w:t>As Adjusted</w:t>
            </w:r>
            <w:r>
              <w:rPr>
                <w:rFonts w:ascii="Arial" w:cs="Arial" w:eastAsia="Arial" w:hAnsi="Arial"/>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235"/>
        </w:trPr>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(unaudited)</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Cash</w:t>
            </w: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52"/>
              <w:spacing w:after="0"/>
              <w:rPr>
                <w:sz w:val="20"/>
                <w:szCs w:val="20"/>
                <w:color w:val="auto"/>
              </w:rPr>
            </w:pPr>
            <w:r>
              <w:rPr>
                <w:rFonts w:ascii="Arial" w:cs="Arial" w:eastAsia="Arial" w:hAnsi="Arial"/>
                <w:sz w:val="18"/>
                <w:szCs w:val="18"/>
                <w:color w:val="auto"/>
              </w:rPr>
              <w:t>206,000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7"/>
              </w:rPr>
              <w:t>3,227,000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52"/>
              <w:spacing w:after="0"/>
              <w:rPr>
                <w:sz w:val="20"/>
                <w:szCs w:val="20"/>
                <w:color w:val="auto"/>
              </w:rPr>
            </w:pPr>
            <w:r>
              <w:rPr>
                <w:rFonts w:ascii="Arial" w:cs="Arial" w:eastAsia="Arial" w:hAnsi="Arial"/>
                <w:sz w:val="18"/>
                <w:szCs w:val="18"/>
                <w:color w:val="auto"/>
                <w:w w:val="97"/>
              </w:rPr>
              <w:t>4,032,000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7"/>
              </w:rPr>
              <w:t>4,032,000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(805,000)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980" w:right="579" w:hanging="436"/>
        <w:spacing w:after="0" w:line="264" w:lineRule="auto"/>
        <w:tabs>
          <w:tab w:leader="none" w:pos="97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pro forma balance sheet data as of March 31, 2020 reflects the conversion of our outstanding shares of Series A Preferred Stock into ______ shares of common stock immediately prior to the closing of this offering based on a conversion formula equal to the quotient of (i) the lesser of (x) $70 million and (y) 70% of the aggregate valuation of our company on the date of this prospectus divided by (ii) _______________ (which represents the number of total outstanding shares of common stock immediately prior to the consummation of this offering on a fully diluted as-converted basis).</w:t>
      </w:r>
    </w:p>
    <w:p>
      <w:pPr>
        <w:spacing w:after="0" w:line="4" w:lineRule="exact"/>
        <w:rPr>
          <w:rFonts w:ascii="Arial" w:cs="Arial" w:eastAsia="Arial" w:hAnsi="Arial"/>
          <w:sz w:val="16"/>
          <w:szCs w:val="16"/>
          <w:color w:val="auto"/>
        </w:rPr>
      </w:pPr>
    </w:p>
    <w:p>
      <w:pPr>
        <w:ind w:left="980" w:right="559" w:hanging="436"/>
        <w:spacing w:after="0" w:line="270" w:lineRule="auto"/>
        <w:tabs>
          <w:tab w:leader="none" w:pos="97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pro forma as adjusted balance sheet data as of March 31, 2020 reflects the pro forma adjustments described in footnote (1) above as adjusted to give effect to receipt by us of the estimated net proceeds from this offering, based on an assumed initial public offering price of $____ per share, the midpoint of the range set forth on the cover page of this prospectus, after deducting underwriting discounts and commissions and estimated offering expenses payable by us.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8" w:name="page19"/>
    <w:bookmarkEnd w:id="18"/>
    <w:p>
      <w:pPr>
        <w:ind w:left="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62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8162925"/>
                    </a:xfrm>
                    <a:prstGeom prst="rect">
                      <a:avLst/>
                    </a:prstGeom>
                    <a:noFill/>
                  </pic:spPr>
                </pic:pic>
              </a:graphicData>
            </a:graphic>
          </wp:anchor>
        </w:drawing>
        <w:t>Certain Non-GAAP Financial Measurements and Reconciliation to GAAP</w:t>
      </w:r>
    </w:p>
    <w:p>
      <w:pPr>
        <w:spacing w:after="0" w:line="148" w:lineRule="exact"/>
        <w:rPr>
          <w:sz w:val="20"/>
          <w:szCs w:val="20"/>
          <w:color w:val="auto"/>
        </w:rPr>
      </w:pPr>
    </w:p>
    <w:p>
      <w:pPr>
        <w:ind w:left="540" w:right="619" w:firstLine="432"/>
        <w:spacing w:after="0" w:line="285" w:lineRule="auto"/>
        <w:rPr>
          <w:sz w:val="20"/>
          <w:szCs w:val="20"/>
          <w:color w:val="auto"/>
        </w:rPr>
      </w:pPr>
      <w:r>
        <w:rPr>
          <w:rFonts w:ascii="Arial" w:cs="Arial" w:eastAsia="Arial" w:hAnsi="Arial"/>
          <w:sz w:val="16"/>
          <w:szCs w:val="16"/>
          <w:color w:val="auto"/>
        </w:rPr>
        <w:t>The following non-GAAP (defined below) financial measures are intended to supplement the GAAP financial information by providing additional insight regarding results of operations of our company. The non-GAAP EBITDA and adjusted EBITDA financial measures used by our company are intended to provide an enhanced understanding of our underlying operational measures to manage our company’s business, to evaluate performance compared to prior periods and the marketplace, and to establish operational goals. Certain items are excluded from these non-GAAP financial measures to provide additional comparability measures from period to period. Specifically, the table below presents the non-GAAP financial measure “EBITDA” (defined as earnings before interest, taxes, depreciation, amortization) and “Adjusted EBITDA” (defined as earnings before interest, taxes, depreciation, amortization adjusted for stock-based compensation and other one-time transaction costs such as mergers and acquisitions, financings and other extraordinary items), respectively. The most directly comparable measures for these non-GAAP financial measure are net income and diluted net income per share. EBITDA and Adjusted EBITDA are intended as supplemental measures of our performance that are not required by or presented in accordance with accounting principles generally accepted in the United States of America (“GAAP”). We believe that EBITDA and Adjusted EBITDA provides useful information to management and investors regarding certain financial and business trends relating to our financial condition and operating results.</w:t>
      </w:r>
    </w:p>
    <w:p>
      <w:pPr>
        <w:spacing w:after="0" w:line="109" w:lineRule="exact"/>
        <w:rPr>
          <w:sz w:val="20"/>
          <w:szCs w:val="20"/>
          <w:color w:val="auto"/>
        </w:rPr>
      </w:pPr>
    </w:p>
    <w:p>
      <w:pPr>
        <w:ind w:left="540" w:right="599" w:firstLine="432"/>
        <w:spacing w:after="0" w:line="269" w:lineRule="auto"/>
        <w:rPr>
          <w:sz w:val="20"/>
          <w:szCs w:val="20"/>
          <w:color w:val="auto"/>
        </w:rPr>
      </w:pPr>
      <w:r>
        <w:rPr>
          <w:rFonts w:ascii="Arial" w:cs="Arial" w:eastAsia="Arial" w:hAnsi="Arial"/>
          <w:sz w:val="17"/>
          <w:szCs w:val="17"/>
          <w:color w:val="auto"/>
        </w:rPr>
        <w:t>We believe that the use of EBITDA and Adjusted EBITDA provide additional tools for investors to use in evaluating ongoing operating results and trends and in comparing our financial measures with other businesses which may present similar non-GAAP financial measures to investors. We believe that EBITDA and Adjusted EBITDA are useful measures because they normalize operating results by excluding non-recurring gains, losses and other items and help to demonstrate how much cash we are able to generate annually. In addition, you should be aware when evaluating EBITDA and Adjusted EBITDA that in the future we may incur expenses similar to those excluded when calculating these measures. Our presentation of these measures should not be construed as an inference that our future results will be unaffected by unusual or non-recurring items. Our computation of EBITDA and Adjusted EBITDA may not be comparable to other similarly titled measures computed by other companies, because all companies do not calculate EBITDA and Adjusted EBITDA in the same fashion.</w:t>
      </w:r>
    </w:p>
    <w:p>
      <w:pPr>
        <w:spacing w:after="0" w:line="114" w:lineRule="exact"/>
        <w:rPr>
          <w:sz w:val="20"/>
          <w:szCs w:val="20"/>
          <w:color w:val="auto"/>
        </w:rPr>
      </w:pPr>
    </w:p>
    <w:p>
      <w:pPr>
        <w:jc w:val="both"/>
        <w:ind w:left="540" w:right="599" w:firstLine="432"/>
        <w:spacing w:after="0" w:line="259" w:lineRule="auto"/>
        <w:rPr>
          <w:sz w:val="20"/>
          <w:szCs w:val="20"/>
          <w:color w:val="auto"/>
        </w:rPr>
      </w:pPr>
      <w:r>
        <w:rPr>
          <w:rFonts w:ascii="Arial" w:cs="Arial" w:eastAsia="Arial" w:hAnsi="Arial"/>
          <w:sz w:val="18"/>
          <w:szCs w:val="18"/>
          <w:color w:val="auto"/>
        </w:rPr>
        <w:t>Our management does not consider EBITDA and Adjusted EBITDA in isolation or as an alternative to financial measures determined in accordance with GAAP. The principal limitations of EBITDA and Adjusted EBITDA are that they exclude significant expenses and income that are required by GAAP to be recorded in our financial statements. Some of these limitations are:</w:t>
      </w:r>
    </w:p>
    <w:p>
      <w:pPr>
        <w:spacing w:after="0" w:line="106" w:lineRule="exact"/>
        <w:rPr>
          <w:sz w:val="20"/>
          <w:szCs w:val="20"/>
          <w:color w:val="auto"/>
        </w:rPr>
      </w:pPr>
    </w:p>
    <w:p>
      <w:pPr>
        <w:ind w:left="1400" w:right="659" w:hanging="424"/>
        <w:spacing w:after="0" w:line="277" w:lineRule="auto"/>
        <w:tabs>
          <w:tab w:leader="none" w:pos="1363"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and Adjusted EBITDA do not reflect our cash expenditures, or future requirements, for capital expenditures or contractual commitments;</w:t>
      </w:r>
    </w:p>
    <w:p>
      <w:pPr>
        <w:spacing w:after="0" w:line="102" w:lineRule="exact"/>
        <w:rPr>
          <w:rFonts w:ascii="Arial" w:cs="Arial" w:eastAsia="Arial" w:hAnsi="Arial"/>
          <w:sz w:val="18"/>
          <w:szCs w:val="18"/>
          <w:color w:val="auto"/>
        </w:rPr>
      </w:pPr>
    </w:p>
    <w:p>
      <w:pPr>
        <w:ind w:left="1400" w:right="659" w:hanging="424"/>
        <w:spacing w:after="0" w:line="277" w:lineRule="auto"/>
        <w:tabs>
          <w:tab w:leader="none" w:pos="13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w:t>
      </w:r>
    </w:p>
    <w:p>
      <w:pPr>
        <w:spacing w:after="0" w:line="102" w:lineRule="exact"/>
        <w:rPr>
          <w:rFonts w:ascii="Arial" w:cs="Arial" w:eastAsia="Arial" w:hAnsi="Arial"/>
          <w:sz w:val="18"/>
          <w:szCs w:val="18"/>
          <w:color w:val="auto"/>
        </w:rPr>
      </w:pPr>
    </w:p>
    <w:p>
      <w:pPr>
        <w:ind w:left="1400" w:right="1219" w:hanging="424"/>
        <w:spacing w:after="0" w:line="277" w:lineRule="auto"/>
        <w:tabs>
          <w:tab w:leader="none" w:pos="1363"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and Adjusted EBITDA do not reflect interest expense, or the cash requirements necessary to service interest or principal payments, on our debts;</w:t>
      </w:r>
    </w:p>
    <w:p>
      <w:pPr>
        <w:spacing w:after="0" w:line="89" w:lineRule="exact"/>
        <w:rPr>
          <w:rFonts w:ascii="Arial" w:cs="Arial" w:eastAsia="Arial" w:hAnsi="Arial"/>
          <w:sz w:val="18"/>
          <w:szCs w:val="18"/>
          <w:color w:val="auto"/>
        </w:rPr>
      </w:pPr>
    </w:p>
    <w:p>
      <w:pPr>
        <w:jc w:val="both"/>
        <w:ind w:left="1400" w:right="799" w:hanging="424"/>
        <w:spacing w:after="0" w:line="263" w:lineRule="auto"/>
        <w:tabs>
          <w:tab w:leader="none" w:pos="13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any cash requirements for such replacements;</w:t>
      </w:r>
    </w:p>
    <w:p>
      <w:pPr>
        <w:spacing w:after="0" w:line="116" w:lineRule="exact"/>
        <w:rPr>
          <w:rFonts w:ascii="Arial" w:cs="Arial" w:eastAsia="Arial" w:hAnsi="Arial"/>
          <w:sz w:val="18"/>
          <w:szCs w:val="18"/>
          <w:color w:val="auto"/>
        </w:rPr>
      </w:pPr>
    </w:p>
    <w:p>
      <w:pPr>
        <w:ind w:left="1400" w:right="719" w:hanging="424"/>
        <w:spacing w:after="0" w:line="277" w:lineRule="auto"/>
        <w:tabs>
          <w:tab w:leader="none" w:pos="1363"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and Adjusted EBITDA do not reflect the impact of certain cash charges resulting from matters we consider not to be indicative of our ongoing operations; and</w:t>
      </w:r>
    </w:p>
    <w:p>
      <w:pPr>
        <w:spacing w:after="0" w:line="102" w:lineRule="exact"/>
        <w:rPr>
          <w:rFonts w:ascii="Arial" w:cs="Arial" w:eastAsia="Arial" w:hAnsi="Arial"/>
          <w:sz w:val="18"/>
          <w:szCs w:val="18"/>
          <w:color w:val="auto"/>
        </w:rPr>
      </w:pPr>
    </w:p>
    <w:p>
      <w:pPr>
        <w:ind w:left="1400" w:right="739" w:hanging="424"/>
        <w:spacing w:after="0" w:line="277" w:lineRule="auto"/>
        <w:tabs>
          <w:tab w:leader="none" w:pos="13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companies in our industry may calculate EBITDA and Adjusted EBITDA differently than we do, limiting its usefulness as a comparative measure.</w:t>
      </w:r>
    </w:p>
    <w:p>
      <w:pPr>
        <w:spacing w:after="0" w:line="89" w:lineRule="exact"/>
        <w:rPr>
          <w:sz w:val="20"/>
          <w:szCs w:val="20"/>
          <w:color w:val="auto"/>
        </w:rPr>
      </w:pPr>
    </w:p>
    <w:p>
      <w:pPr>
        <w:ind w:left="540" w:right="679" w:firstLine="432"/>
        <w:spacing w:after="0" w:line="275" w:lineRule="auto"/>
        <w:rPr>
          <w:sz w:val="20"/>
          <w:szCs w:val="20"/>
          <w:color w:val="auto"/>
        </w:rPr>
      </w:pPr>
      <w:r>
        <w:rPr>
          <w:rFonts w:ascii="Arial" w:cs="Arial" w:eastAsia="Arial" w:hAnsi="Arial"/>
          <w:sz w:val="17"/>
          <w:szCs w:val="17"/>
          <w:color w:val="auto"/>
        </w:rPr>
        <w:t>Because of these limitations, EBITDA and Adjusted EBITDA should not be considered in isolation or as a substitute for performance measures calculated in accordance with GAAP. We compensate for these limitations by relying primarily on our GAAP results and using EBITDA and Adjusted EBITDA only as supplements. You should review the reconciliation of net income to EBITDA and Adjusted EBITDA below and not rely on any single financial measure to evaluate our business.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4202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4202430"/>
                    </a:xfrm>
                    <a:prstGeom prst="rect">
                      <a:avLst/>
                    </a:prstGeom>
                    <a:noFill/>
                  </pic:spPr>
                </pic:pic>
              </a:graphicData>
            </a:graphic>
          </wp:anchor>
        </w:drawing>
        <w:t>Reconciliation of Non-GAAP Financial Measures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4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40" w:type="dxa"/>
            <w:vAlign w:val="bottom"/>
            <w:gridSpan w:val="4"/>
          </w:tcPr>
          <w:p>
            <w:pPr>
              <w:jc w:val="right"/>
              <w:ind w:right="772"/>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47"/>
        </w:trPr>
        <w:tc>
          <w:tcPr>
            <w:tcW w:w="4540" w:type="dxa"/>
            <w:vAlign w:val="bottom"/>
          </w:tcPr>
          <w:p>
            <w:pPr>
              <w:spacing w:after="0"/>
              <w:rPr>
                <w:sz w:val="4"/>
                <w:szCs w:val="4"/>
                <w:color w:val="auto"/>
              </w:rPr>
            </w:pPr>
          </w:p>
        </w:tc>
        <w:tc>
          <w:tcPr>
            <w:tcW w:w="940" w:type="dxa"/>
            <w:vAlign w:val="bottom"/>
            <w:vMerge w:val="restart"/>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5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4"/>
              </w:rPr>
              <w:t>Pro Forma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6"/>
        </w:trPr>
        <w:tc>
          <w:tcPr>
            <w:tcW w:w="4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(unaudited)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6"/>
                <w:szCs w:val="16"/>
                <w:b w:val="1"/>
                <w:bCs w:val="1"/>
                <w:color w:val="auto"/>
                <w:w w:val="96"/>
              </w:rPr>
              <w:t>(unaudited)</w:t>
            </w:r>
          </w:p>
        </w:tc>
        <w:tc>
          <w:tcPr>
            <w:tcW w:w="0" w:type="dxa"/>
            <w:vAlign w:val="bottom"/>
          </w:tcPr>
          <w:p>
            <w:pPr>
              <w:spacing w:after="0"/>
              <w:rPr>
                <w:sz w:val="1"/>
                <w:szCs w:val="1"/>
                <w:color w:val="auto"/>
              </w:rPr>
            </w:pPr>
          </w:p>
        </w:tc>
      </w:tr>
      <w:tr>
        <w:trPr>
          <w:trHeight w:val="46"/>
        </w:trPr>
        <w:tc>
          <w:tcPr>
            <w:tcW w:w="4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(3,413,000)</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60" w:type="dxa"/>
            <w:vAlign w:val="bottom"/>
            <w:gridSpan w:val="2"/>
          </w:tcPr>
          <w:p>
            <w:pPr>
              <w:jc w:val="right"/>
              <w:ind w:right="59"/>
              <w:spacing w:after="0"/>
              <w:rPr>
                <w:sz w:val="20"/>
                <w:szCs w:val="20"/>
                <w:color w:val="auto"/>
              </w:rPr>
            </w:pPr>
            <w:r>
              <w:rPr>
                <w:rFonts w:ascii="Arial" w:cs="Arial" w:eastAsia="Arial" w:hAnsi="Arial"/>
                <w:sz w:val="18"/>
                <w:szCs w:val="18"/>
                <w:color w:val="auto"/>
              </w:rPr>
              <w:t>66,000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Loss from sale of fixed asset</w:t>
            </w:r>
          </w:p>
        </w:tc>
        <w:tc>
          <w:tcPr>
            <w:tcW w:w="2060" w:type="dxa"/>
            <w:vAlign w:val="bottom"/>
            <w:gridSpan w:val="2"/>
          </w:tcPr>
          <w:p>
            <w:pPr>
              <w:jc w:val="right"/>
              <w:ind w:right="59"/>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EBITDA from continuing operations</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(3,345,000)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83"/>
        </w:trPr>
        <w:tc>
          <w:tcPr>
            <w:tcW w:w="4540" w:type="dxa"/>
            <w:vAlign w:val="bottom"/>
          </w:tcPr>
          <w:p>
            <w:pPr>
              <w:spacing w:after="0"/>
              <w:rPr>
                <w:sz w:val="20"/>
                <w:szCs w:val="20"/>
                <w:color w:val="auto"/>
              </w:rPr>
            </w:pPr>
            <w:r>
              <w:rPr>
                <w:rFonts w:ascii="Arial" w:cs="Arial" w:eastAsia="Arial" w:hAnsi="Arial"/>
                <w:sz w:val="18"/>
                <w:szCs w:val="18"/>
                <w:color w:val="auto"/>
              </w:rPr>
              <w:t>Stock-based compensation</w:t>
            </w:r>
            <w:r>
              <w:rPr>
                <w:rFonts w:ascii="Arial" w:cs="Arial" w:eastAsia="Arial" w:hAnsi="Arial"/>
                <w:sz w:val="20"/>
                <w:szCs w:val="20"/>
                <w:color w:val="auto"/>
                <w:vertAlign w:val="superscript"/>
              </w:rPr>
              <w:t>(1)</w:t>
            </w:r>
          </w:p>
        </w:tc>
        <w:tc>
          <w:tcPr>
            <w:tcW w:w="2060" w:type="dxa"/>
            <w:vAlign w:val="bottom"/>
            <w:gridSpan w:val="2"/>
          </w:tcPr>
          <w:p>
            <w:pPr>
              <w:jc w:val="right"/>
              <w:ind w:right="59"/>
              <w:spacing w:after="0"/>
              <w:rPr>
                <w:sz w:val="20"/>
                <w:szCs w:val="20"/>
                <w:color w:val="auto"/>
              </w:rPr>
            </w:pPr>
            <w:r>
              <w:rPr>
                <w:rFonts w:ascii="Arial" w:cs="Arial" w:eastAsia="Arial" w:hAnsi="Arial"/>
                <w:sz w:val="18"/>
                <w:szCs w:val="18"/>
                <w:color w:val="auto"/>
              </w:rPr>
              <w:t>61,000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Write-off of assets</w:t>
            </w:r>
            <w:r>
              <w:rPr>
                <w:rFonts w:ascii="Arial" w:cs="Arial" w:eastAsia="Arial" w:hAnsi="Arial"/>
                <w:sz w:val="20"/>
                <w:szCs w:val="20"/>
                <w:color w:val="auto"/>
                <w:vertAlign w:val="superscript"/>
              </w:rPr>
              <w:t>(2)</w:t>
            </w:r>
          </w:p>
        </w:tc>
        <w:tc>
          <w:tcPr>
            <w:tcW w:w="206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662,000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540" w:type="dxa"/>
            <w:vAlign w:val="bottom"/>
          </w:tcPr>
          <w:p>
            <w:pPr>
              <w:spacing w:after="0"/>
              <w:rPr>
                <w:sz w:val="20"/>
                <w:szCs w:val="20"/>
                <w:color w:val="auto"/>
              </w:rPr>
            </w:pPr>
            <w:r>
              <w:rPr>
                <w:rFonts w:ascii="Arial" w:cs="Arial" w:eastAsia="Arial" w:hAnsi="Arial"/>
                <w:sz w:val="18"/>
                <w:szCs w:val="18"/>
                <w:color w:val="auto"/>
              </w:rPr>
              <w:t>Transaction costs</w:t>
            </w:r>
            <w:r>
              <w:rPr>
                <w:rFonts w:ascii="Arial" w:cs="Arial" w:eastAsia="Arial" w:hAnsi="Arial"/>
                <w:sz w:val="20"/>
                <w:szCs w:val="20"/>
                <w:color w:val="auto"/>
                <w:vertAlign w:val="superscript"/>
              </w:rPr>
              <w:t>(3)</w:t>
            </w:r>
          </w:p>
        </w:tc>
        <w:tc>
          <w:tcPr>
            <w:tcW w:w="2060" w:type="dxa"/>
            <w:vAlign w:val="bottom"/>
            <w:gridSpan w:val="2"/>
          </w:tcPr>
          <w:p>
            <w:pPr>
              <w:jc w:val="right"/>
              <w:ind w:right="59"/>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b w:val="1"/>
                <w:bCs w:val="1"/>
                <w:color w:val="auto"/>
              </w:rPr>
              <w:t>Adjusted EBITDA from continuing operations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(2,577,000)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91"/>
        </w:trPr>
        <w:tc>
          <w:tcPr>
            <w:tcW w:w="4540" w:type="dxa"/>
            <w:vAlign w:val="bottom"/>
          </w:tcPr>
          <w:p>
            <w:pPr>
              <w:spacing w:after="0"/>
              <w:rPr>
                <w:sz w:val="20"/>
                <w:szCs w:val="20"/>
                <w:color w:val="auto"/>
              </w:rPr>
            </w:pPr>
            <w:r>
              <w:rPr>
                <w:rFonts w:ascii="Arial" w:cs="Arial" w:eastAsia="Arial" w:hAnsi="Arial"/>
                <w:sz w:val="16"/>
                <w:szCs w:val="16"/>
                <w:color w:val="auto"/>
              </w:rPr>
              <w:t>____________</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980" w:right="819" w:hanging="436"/>
        <w:spacing w:after="0" w:line="266"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the aggregate grant date fair value of stock options granted during the relevant fiscal year calculated in accordance with FASB ASC Topic 718 (“Compensation – Stock Compensation”).</w:t>
      </w:r>
    </w:p>
    <w:p>
      <w:pPr>
        <w:spacing w:after="0" w:line="1" w:lineRule="exact"/>
        <w:rPr>
          <w:rFonts w:ascii="Arial" w:cs="Arial" w:eastAsia="Arial" w:hAnsi="Arial"/>
          <w:sz w:val="16"/>
          <w:szCs w:val="16"/>
          <w:color w:val="auto"/>
        </w:rPr>
      </w:pPr>
    </w:p>
    <w:p>
      <w:pPr>
        <w:ind w:left="980" w:hanging="436"/>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expenses in connection with our Container Farms.</w:t>
      </w:r>
    </w:p>
    <w:p>
      <w:pPr>
        <w:spacing w:after="0" w:line="18" w:lineRule="exact"/>
        <w:rPr>
          <w:rFonts w:ascii="Arial" w:cs="Arial" w:eastAsia="Arial" w:hAnsi="Arial"/>
          <w:sz w:val="16"/>
          <w:szCs w:val="16"/>
          <w:color w:val="auto"/>
        </w:rPr>
      </w:pPr>
    </w:p>
    <w:p>
      <w:pPr>
        <w:ind w:left="980" w:hanging="436"/>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legal costs related to the acquisition of TriGrow.</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i w:val="1"/>
          <w:iCs w:val="1"/>
          <w:color w:val="auto"/>
        </w:rPr>
        <w:t>Investing in our common stock is highly speculative and involves a significant degree of risk. You should carefully consider the risks described below and elsewhere in this report, which could materially and adversely affect our business, results of operations or financial condition. Our business faces significant risks and the risks described below may not be the only risks we face. Additional risks not presently known to us or that we currently believe are immaterial may materially affect our business, results of operations, or financial condition. If any of these risks occur, the trading price of our common stock could decline and you may lose all or part of your investment.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460" w:right="699"/>
        <w:spacing w:after="0" w:line="311" w:lineRule="auto"/>
        <w:rPr>
          <w:sz w:val="20"/>
          <w:szCs w:val="20"/>
          <w:color w:val="auto"/>
        </w:rPr>
      </w:pPr>
      <w:r>
        <w:rPr>
          <w:rFonts w:ascii="Arial" w:cs="Arial" w:eastAsia="Arial" w:hAnsi="Arial"/>
          <w:sz w:val="16"/>
          <w:szCs w:val="16"/>
          <w:b w:val="1"/>
          <w:bCs w:val="1"/>
          <w:i w:val="1"/>
          <w:iCs w:val="1"/>
          <w:color w:val="auto"/>
        </w:rPr>
        <w:t>We have a history of losses, expect to continue to incur losses in the near term and may not achieve or sustain profitability in the future. As a result, our management has identified and our auditors agreed that there is a substantial doubt about our ability to continue as a going concern.</w:t>
      </w:r>
    </w:p>
    <w:p>
      <w:pPr>
        <w:spacing w:after="0" w:line="68"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We have incurred significant losses in each fiscal year since our inception in 2016. We have experienced net losses of approximately $3 million and $1 million for the years ended December 31, 2019 and 2018, respectively. We expect our operating expenses, or OpEx, to increase in the future due to expected increased sales and marketing expenses, operational costs, product development costs, and general and administrative costs and, therefore, our operating losses will continue or even increase at least through the near term. In addition, upon consummation of this offering, we will incur significant legal, accounting and other expenses as a public company that we did not incur as a private company. Furthermore, to the extent that we are successful in increasing our customer base, we will also incur increased expenses because costs associated with generating and supporting customer agreements are generally incurred up front, while revenue is generally recognized ratably over the term of the agreement. You should not rely upon our recent revenue growth as indicative of future performance. We may not reach profitability in the near future or at any specific time in the future. If and when our operations do become profitable, we may not sustain profitability.</w:t>
      </w:r>
    </w:p>
    <w:p>
      <w:pPr>
        <w:spacing w:after="0" w:line="100"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As a result of these net losses and other factors that we identified, our independent auditors issued an audit opinion with respect to our consolidated financial statements for the year ended December 31, 2019 that indicated that there is a substantial doubt about our ability to continue as a going concern. Our consolidated financial statements do not include any adjustments that might result from the outcome of this uncertainty. However, if included, these adjustments would likely reflect a substantial impairment of the carrying amount of our assets and potential contingent liabilities that may arise if we are unable to fulfill various operational commitments. In addition, the value of our securities, including common stock issued in this offering, would be greatly impaired. Our ability to continue as a going concern is dependent upon generating sufficient cash flow from operations and obtaining additional capital and financing, including funds to be raised in this offering. If our ability to generate cash flow from operations is delayed or reduced and we are unable to raise additional funding from other sources, we may be unable to continue in business even if this offering is successful.</w:t>
      </w:r>
    </w:p>
    <w:p>
      <w:pPr>
        <w:spacing w:after="0" w:line="172" w:lineRule="exact"/>
        <w:rPr>
          <w:sz w:val="20"/>
          <w:szCs w:val="20"/>
          <w:color w:val="auto"/>
        </w:rPr>
      </w:pPr>
    </w:p>
    <w:p>
      <w:pPr>
        <w:ind w:left="460" w:right="859"/>
        <w:spacing w:after="0" w:line="277" w:lineRule="auto"/>
        <w:rPr>
          <w:sz w:val="20"/>
          <w:szCs w:val="20"/>
          <w:color w:val="auto"/>
        </w:rPr>
      </w:pPr>
      <w:r>
        <w:rPr>
          <w:rFonts w:ascii="Arial" w:cs="Arial" w:eastAsia="Arial" w:hAnsi="Arial"/>
          <w:sz w:val="18"/>
          <w:szCs w:val="18"/>
          <w:b w:val="1"/>
          <w:bCs w:val="1"/>
          <w:i w:val="1"/>
          <w:iCs w:val="1"/>
          <w:color w:val="auto"/>
        </w:rPr>
        <w:t>We have a relatively short operating history, which makes it difficult to evaluate our business and future prospects.</w:t>
      </w:r>
    </w:p>
    <w:p>
      <w:pPr>
        <w:spacing w:after="0" w:line="103" w:lineRule="exact"/>
        <w:rPr>
          <w:sz w:val="20"/>
          <w:szCs w:val="20"/>
          <w:color w:val="auto"/>
        </w:rPr>
      </w:pPr>
    </w:p>
    <w:p>
      <w:pPr>
        <w:jc w:val="both"/>
        <w:ind w:left="460" w:right="559" w:firstLine="432"/>
        <w:spacing w:after="0" w:line="301" w:lineRule="auto"/>
        <w:rPr>
          <w:sz w:val="20"/>
          <w:szCs w:val="20"/>
          <w:color w:val="auto"/>
        </w:rPr>
      </w:pPr>
      <w:r>
        <w:rPr>
          <w:rFonts w:ascii="Arial" w:cs="Arial" w:eastAsia="Arial" w:hAnsi="Arial"/>
          <w:sz w:val="16"/>
          <w:szCs w:val="16"/>
          <w:color w:val="auto"/>
        </w:rPr>
        <w:t>We have a relatively short operating history, which makes it difficult to evaluate our business and future prospects. We have been in existence since June 2016 and much of our revenue growth has occurred during the first six months of 2020. We have encountered, and will continue to encounter, risks and difficulties frequently experienced by growing companies in rapidly changing industries, including those related to:</w:t>
      </w:r>
    </w:p>
    <w:p>
      <w:pPr>
        <w:spacing w:after="0" w:line="76" w:lineRule="exact"/>
        <w:rPr>
          <w:sz w:val="20"/>
          <w:szCs w:val="20"/>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our current and future products and services;</w:t>
      </w:r>
    </w:p>
    <w:p>
      <w:pPr>
        <w:spacing w:after="0" w:line="157"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regulatory environments and costs associated with compliance, particularly as related to our operations in the cannabis sector;</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compete with other companies offering similar products and services;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effectively market our products and services and attract new clients;</w:t>
      </w:r>
    </w:p>
    <w:p>
      <w:pPr>
        <w:spacing w:after="0" w:line="157" w:lineRule="exact"/>
        <w:rPr>
          <w:rFonts w:ascii="Arial" w:cs="Arial" w:eastAsia="Arial" w:hAnsi="Arial"/>
          <w:sz w:val="18"/>
          <w:szCs w:val="18"/>
          <w:color w:val="auto"/>
        </w:rPr>
      </w:pPr>
    </w:p>
    <w:p>
      <w:pPr>
        <w:ind w:left="1320" w:right="1319" w:hanging="434"/>
        <w:spacing w:after="0" w:line="308" w:lineRule="auto"/>
        <w:tabs>
          <w:tab w:leader="none" w:pos="1311"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amount and timing of OpEx, particularly sales and marketing expenses, related to the maintenance and expansion of our business, operations and infrastructure;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1" w:name="page22"/>
    <w:bookmarkEnd w:id="21"/>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control costs, including OpEx;</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organic growth and growth fueled by acquisitions;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public perception and acceptance of cannabis-related products and services generally;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 events.</w:t>
      </w:r>
    </w:p>
    <w:p>
      <w:pPr>
        <w:spacing w:after="0" w:line="144"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If we do not manage these risks successfully, our business and financial performance will be adversely affected.</w:t>
      </w:r>
    </w:p>
    <w:p>
      <w:pPr>
        <w:spacing w:after="0" w:line="170" w:lineRule="exact"/>
        <w:rPr>
          <w:sz w:val="20"/>
          <w:szCs w:val="20"/>
          <w:color w:val="auto"/>
        </w:rPr>
      </w:pPr>
    </w:p>
    <w:p>
      <w:pPr>
        <w:ind w:left="460" w:right="539"/>
        <w:spacing w:after="0" w:line="301" w:lineRule="auto"/>
        <w:rPr>
          <w:sz w:val="20"/>
          <w:szCs w:val="20"/>
          <w:color w:val="auto"/>
        </w:rPr>
      </w:pPr>
      <w:r>
        <w:rPr>
          <w:rFonts w:ascii="Arial" w:cs="Arial" w:eastAsia="Arial" w:hAnsi="Arial"/>
          <w:sz w:val="16"/>
          <w:szCs w:val="16"/>
          <w:b w:val="1"/>
          <w:bCs w:val="1"/>
          <w:i w:val="1"/>
          <w:iCs w:val="1"/>
          <w:color w:val="auto"/>
        </w:rPr>
        <w:t>We have limited capital resources, and even following this offering we will need to raise additional capital. Such funding, if obtained, could result in substantial dilution or significant debt service obligations. We may not be able to obtain additional capital on commercially reasonable terms in a timely manner, which could adversely affect our liquidity, financial position, and ability to continue operations.</w:t>
      </w:r>
    </w:p>
    <w:p>
      <w:pPr>
        <w:spacing w:after="0" w:line="90"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At March 31, 2020, we had a cash balance of approximately $1,211,000 and working capital of approximately $967,000. We thus have limited capital resources and require the funds from this offering to continue our business. Even if we are able to raise funding in this offering or substantially increase revenue and reduce OpEx, we will need to raise additional capital. In order to continue operating, we may need to obtain additional financing, either through borrowings, private offerings, public offerings, or some type of business combination, such as a merger, or buyout, and there can be no assurance that we will be successful in such pursuits. We may be unable to acquire the additional funding necessary to continue operating.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111"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79" w:lineRule="exact"/>
        <w:rPr>
          <w:sz w:val="20"/>
          <w:szCs w:val="20"/>
          <w:color w:val="auto"/>
        </w:rPr>
      </w:pPr>
    </w:p>
    <w:p>
      <w:pPr>
        <w:ind w:left="460" w:right="639"/>
        <w:spacing w:after="0" w:line="277" w:lineRule="auto"/>
        <w:rPr>
          <w:sz w:val="20"/>
          <w:szCs w:val="20"/>
          <w:color w:val="auto"/>
        </w:rPr>
      </w:pPr>
      <w:r>
        <w:rPr>
          <w:rFonts w:ascii="Arial" w:cs="Arial" w:eastAsia="Arial" w:hAnsi="Arial"/>
          <w:sz w:val="18"/>
          <w:szCs w:val="18"/>
          <w:b w:val="1"/>
          <w:bCs w:val="1"/>
          <w:i w:val="1"/>
          <w:iCs w:val="1"/>
          <w:color w:val="auto"/>
        </w:rPr>
        <w:t>The COVID-19 pandemic and the efforts to mitigate its impact may have an adverse effect on our business, liquidity, results of operations, financial condition and price of our securities.</w:t>
      </w:r>
    </w:p>
    <w:p>
      <w:pPr>
        <w:spacing w:after="0" w:line="89"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pandemic involving the novel strain of coronavirus and related respiratory disease (which we refer to as COVID-19) and the measures taken to combat it, have had an adverse effect on our business. Public health authorities and governments at local, national and international levels have announced various measures to respond to this pandemic. Some measures that directly or indirectly impact our business include:</w:t>
      </w:r>
    </w:p>
    <w:p>
      <w:pPr>
        <w:spacing w:after="0" w:line="90" w:lineRule="exact"/>
        <w:rPr>
          <w:sz w:val="20"/>
          <w:szCs w:val="20"/>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voluntary or mandatory quarantines;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travel;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gatherings of people in public places.</w:t>
      </w:r>
    </w:p>
    <w:p>
      <w:pPr>
        <w:spacing w:after="0" w:line="15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We have undertaken measures in an effort to mitigate the spread of COVID-19 including limiting store business hours, company travel and encouraging employees to work remotely if possible. We also have enacted our business continuity plans, including implementing procedures requiring employees working remotely where possible which may make maintaining our normal level of corporate operations, quality controls and internal controls difficult. Notwithstanding these efforts, our results of operations have been adversely impacted by COVID-19 and this may continue.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right="539" w:firstLine="432"/>
        <w:spacing w:after="0" w:line="275" w:lineRule="auto"/>
        <w:rPr>
          <w:sz w:val="20"/>
          <w:szCs w:val="20"/>
          <w:color w:val="auto"/>
        </w:rPr>
      </w:pPr>
      <w:r>
        <w:rPr>
          <w:rFonts w:ascii="Arial" w:cs="Arial" w:eastAsia="Arial" w:hAnsi="Arial"/>
          <w:sz w:val="17"/>
          <w:szCs w:val="17"/>
          <w:color w:val="auto"/>
        </w:rPr>
        <w:t>Moreover, the COVID-19 pandemic has caused temporary or long-term disruptions in our supply chains and/or delays in the delivery of our inventory. In addition, the travel restrictions imposed as a result of COVID-19 have impacted our ability to visit customer sites to perform services related to our products. Further, the COVID-19 pandemic and mitigation efforts have also adversely affected our customers’ financial condition, resulting in reduced spending for the products we sell.</w:t>
      </w:r>
    </w:p>
    <w:p>
      <w:pPr>
        <w:spacing w:after="0" w:line="95"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As events are rapidly changing, we do not know how long the COVID-19 pandemic, or localized outbreaks or recurrences of COVID-19, and the measures that have been introduced to respond to COVID-19 will disrupt our operations or the full extent of that disruption. Further, once we are able to restart normal business hours and operations doing so may take time and will involve costs and uncertainty. We also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 customers and markets will persist for some time after governments ease their restrictions. These measures have negatively impacted, and may continue to impact, our business and financial condition as the responses to control COVID-19 continue.</w:t>
      </w:r>
    </w:p>
    <w:p>
      <w:pPr>
        <w:spacing w:after="0" w:line="168" w:lineRule="exact"/>
        <w:rPr>
          <w:sz w:val="20"/>
          <w:szCs w:val="20"/>
          <w:color w:val="auto"/>
        </w:rPr>
      </w:pPr>
    </w:p>
    <w:p>
      <w:pPr>
        <w:ind w:left="460" w:right="539"/>
        <w:spacing w:after="0" w:line="255" w:lineRule="auto"/>
        <w:rPr>
          <w:sz w:val="20"/>
          <w:szCs w:val="20"/>
          <w:color w:val="auto"/>
        </w:rPr>
      </w:pPr>
      <w:r>
        <w:rPr>
          <w:rFonts w:ascii="Arial" w:cs="Arial" w:eastAsia="Arial" w:hAnsi="Arial"/>
          <w:sz w:val="18"/>
          <w:szCs w:val="18"/>
          <w:b w:val="1"/>
          <w:bCs w:val="1"/>
          <w:i w:val="1"/>
          <w:iCs w:val="1"/>
          <w:color w:val="auto"/>
        </w:rPr>
        <w:t>One customer (which we acquired in early 2020) accounted for approximately 84.4% of our total revenue during the three months ended March 31, 2020, and two customers accounted for approximately 99% of our total revenue during the year ended December 31, 2019. In the event of any material decrease in revenue from these customers, or if we are unable to replace the revenue through the sale of our products to additional customers, our financial condition and results from operations could be materially and adversely affected.</w:t>
      </w:r>
    </w:p>
    <w:p>
      <w:pPr>
        <w:spacing w:after="0" w:line="125"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During the three months ended March 31, 2020, one customer (TriGrow, which we acquired in early 2020) accounted for approximately 84.4% (or $855,000) of our total revenue, and during the year ended December 31, 2019, two customers accounted for approximately 99% (or $4,047,000) of our total revenue. This concentration of customers leaves us exposed to the risks associated with the loss of one or more of these significant customers, which would materially and adversely affect our revenues and results of operations. In addition, some of these customers have experienced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from operations could be negatively impacted, and such impact would likely be significant.</w:t>
      </w:r>
    </w:p>
    <w:p>
      <w:pPr>
        <w:spacing w:after="0" w:line="172"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Our reliance on a limited base of suppliers for our products may result in disruptions to our supply chain and business and adversely affect our financial results.</w:t>
      </w:r>
    </w:p>
    <w:p>
      <w:pPr>
        <w:spacing w:after="0" w:line="103"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We rely on a limited number of suppliers for our products and other supplies, including the newest version of our flagship hardware product, the Agrify Vertical Farming Unit (AVFU), and our proprietary SaaS product, Agrify Insights (AI). If we are unable to maintain supplier arrangements and relationships, if we are unable to contract with suppliers at the quantity and quality levels needed for our business, if any of our key suppliers becomes insolvent or experience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spacing w:after="0" w:line="192" w:lineRule="exact"/>
        <w:rPr>
          <w:sz w:val="20"/>
          <w:szCs w:val="20"/>
          <w:color w:val="auto"/>
        </w:rPr>
      </w:pPr>
    </w:p>
    <w:p>
      <w:pPr>
        <w:ind w:left="460" w:right="599"/>
        <w:spacing w:after="0" w:line="308" w:lineRule="auto"/>
        <w:rPr>
          <w:sz w:val="20"/>
          <w:szCs w:val="20"/>
          <w:color w:val="auto"/>
        </w:rPr>
      </w:pPr>
      <w:r>
        <w:rPr>
          <w:rFonts w:ascii="Arial" w:cs="Arial" w:eastAsia="Arial" w:hAnsi="Arial"/>
          <w:sz w:val="17"/>
          <w:szCs w:val="17"/>
          <w:b w:val="1"/>
          <w:bCs w:val="1"/>
          <w:i w:val="1"/>
          <w:iCs w:val="1"/>
          <w:color w:val="auto"/>
        </w:rPr>
        <w:t>Many of our suppliers are experiencing operational difficulties as a result of COVID-19, which in turn may have an adverse effect on our ability to provide products to our customers.</w:t>
      </w:r>
    </w:p>
    <w:p>
      <w:pPr>
        <w:spacing w:after="0" w:line="65"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measures being taken to combat the pandemic are impacting our suppliers and may destabilize our supply chain. For example, manufacturing plants have closed and work at others curtailed in many places where we source our products. Some of our suppliers have had to temporarily close a facility for disinfecting after employees tested positive for COVID-19, and others have faced staffing shortages from employees who are sick or apprehensive about coming to work. Further, the ability of our suppliers to ship their goods to us has become difficult as transportation networks and distribution facilities have had reduced capacity and have been dealing with changes in the types of goods being shipped.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right="519" w:firstLine="432"/>
        <w:spacing w:after="0" w:line="253" w:lineRule="auto"/>
        <w:rPr>
          <w:sz w:val="20"/>
          <w:szCs w:val="20"/>
          <w:color w:val="auto"/>
        </w:rPr>
      </w:pPr>
      <w:r>
        <w:rPr>
          <w:rFonts w:ascii="Arial" w:cs="Arial" w:eastAsia="Arial" w:hAnsi="Arial"/>
          <w:sz w:val="18"/>
          <w:szCs w:val="18"/>
          <w:color w:val="auto"/>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stores and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spacing w:after="0" w:line="196"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As a company with clients operating in the cannabis industry, we face many particular and evolving risks associated with that industry.</w:t>
      </w:r>
    </w:p>
    <w:p>
      <w:pPr>
        <w:spacing w:after="0" w:line="89"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We currently serve private clients as they operate in a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Marijuana remains illegal under United States federal law</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Marijuana is a Schedule-I controlled substance under the Controlled Substances Act and is illegal under federal law. It remains illegal under United States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Uncertainty of federal enforcement and the need to renew temporary safeguards</w:t>
      </w:r>
    </w:p>
    <w:p>
      <w:pPr>
        <w:spacing w:after="0" w:line="158"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On January 4, 2018, Attorney General Sessions rescinded the previously issued memoranda (known as the Cole Memorandum) from the U.S. Department of Justice (“DOJ”) that had de-prioritized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United States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 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spacing w:after="0" w:line="91"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spacing w:after="0" w:line="12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 laws, although it did not codify federal protections for medical marijuana patients and producers. Moreover, despite the Appropriations Rider, the Justice Department maintains that it can still prosecute violations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ind w:left="460" w:right="559"/>
        <w:spacing w:after="0" w:line="301" w:lineRule="auto"/>
        <w:rPr>
          <w:sz w:val="20"/>
          <w:szCs w:val="20"/>
          <w:color w:val="auto"/>
        </w:rPr>
      </w:pPr>
      <w:r>
        <w:rPr>
          <w:rFonts w:ascii="Arial" w:cs="Arial" w:eastAsia="Arial" w:hAnsi="Arial"/>
          <w:sz w:val="16"/>
          <w:szCs w:val="16"/>
          <w:color w:val="auto"/>
        </w:rPr>
        <w:t>the federal marijuana ban and continue cases already in the courts. Additionally, the Appropriations Rider must be re-enacted every year. While it was continued in 2016, 2017, 2018, 2019 and 2020, and remains in effect, continued re-authorization of the Appropriations Rider cannot be guaranteed. If the Appropriation Rider is no longer in effect, the risk of federal enforcement and override of state marijuana laws would increase.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Further legislative development beneficial to our operations is not guaranteed</w:t>
      </w:r>
    </w:p>
    <w:p>
      <w:pPr>
        <w:spacing w:after="0" w:line="144"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 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The cannabis industry could face strong opposition from other industries</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The legality of marijuana could be reversed in one or more states</w:t>
      </w:r>
    </w:p>
    <w:p>
      <w:pPr>
        <w:spacing w:after="0" w:line="158"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Changing legislation and evolving interpretations of law</w:t>
      </w:r>
    </w:p>
    <w:p>
      <w:pPr>
        <w:spacing w:after="0" w:line="144" w:lineRule="exact"/>
        <w:rPr>
          <w:sz w:val="20"/>
          <w:szCs w:val="20"/>
          <w:color w:val="auto"/>
        </w:rPr>
      </w:pPr>
    </w:p>
    <w:p>
      <w:pPr>
        <w:ind w:left="460" w:right="599" w:firstLine="432"/>
        <w:spacing w:after="0" w:line="288" w:lineRule="auto"/>
        <w:rPr>
          <w:sz w:val="20"/>
          <w:szCs w:val="20"/>
          <w:color w:val="auto"/>
        </w:rPr>
      </w:pPr>
      <w:r>
        <w:rPr>
          <w:rFonts w:ascii="Arial" w:cs="Arial" w:eastAsia="Arial" w:hAnsi="Arial"/>
          <w:sz w:val="16"/>
          <w:szCs w:val="16"/>
          <w:color w:val="auto"/>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Dependence on client licensing</w:t>
      </w:r>
    </w:p>
    <w:p>
      <w:pPr>
        <w:spacing w:after="0" w:line="158"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880"/>
        <w:spacing w:after="0"/>
        <w:rPr>
          <w:sz w:val="20"/>
          <w:szCs w:val="20"/>
          <w:color w:val="auto"/>
        </w:rPr>
      </w:pPr>
      <w:r>
        <w:rPr>
          <w:rFonts w:ascii="Arial" w:cs="Arial" w:eastAsia="Arial" w:hAnsi="Arial"/>
          <w:sz w:val="18"/>
          <w:szCs w:val="18"/>
          <w:i w:val="1"/>
          <w:iCs w:val="1"/>
          <w:color w:val="auto"/>
        </w:rPr>
        <w:t>Banking regulations could limit access to banking services</w:t>
      </w:r>
    </w:p>
    <w:p>
      <w:pPr>
        <w:spacing w:after="0" w:line="158"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United States Senate. There can be no assurance that that the SAFE Banking Act will become law in the United States. Additionally, most courts have denied marijuana-related businesses bankruptcy protection, thus, making it very difficult for lenders to recoup their investments, which may limit the willingness of banks to lend to our clients and to us.</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Insurance risks</w:t>
      </w:r>
    </w:p>
    <w:p>
      <w:pPr>
        <w:spacing w:after="0" w:line="144" w:lineRule="exact"/>
        <w:rPr>
          <w:sz w:val="20"/>
          <w:szCs w:val="20"/>
          <w:color w:val="auto"/>
        </w:rPr>
      </w:pPr>
    </w:p>
    <w:p>
      <w:pPr>
        <w:ind w:left="460" w:right="899" w:firstLine="432"/>
        <w:spacing w:after="0" w:line="259" w:lineRule="auto"/>
        <w:rPr>
          <w:sz w:val="20"/>
          <w:szCs w:val="20"/>
          <w:color w:val="auto"/>
        </w:rPr>
      </w:pPr>
      <w:r>
        <w:rPr>
          <w:rFonts w:ascii="Arial" w:cs="Arial" w:eastAsia="Arial" w:hAnsi="Arial"/>
          <w:sz w:val="18"/>
          <w:szCs w:val="18"/>
          <w:color w:val="auto"/>
        </w:rPr>
        <w:t>In the United States,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Evolving industry</w:t>
      </w:r>
    </w:p>
    <w:p>
      <w:pPr>
        <w:spacing w:after="0" w:line="158" w:lineRule="exact"/>
        <w:rPr>
          <w:sz w:val="20"/>
          <w:szCs w:val="20"/>
          <w:color w:val="auto"/>
        </w:rPr>
      </w:pPr>
    </w:p>
    <w:p>
      <w:pPr>
        <w:ind w:left="460" w:right="799" w:firstLine="432"/>
        <w:spacing w:after="0" w:line="271" w:lineRule="auto"/>
        <w:rPr>
          <w:sz w:val="20"/>
          <w:szCs w:val="20"/>
          <w:color w:val="auto"/>
        </w:rPr>
      </w:pPr>
      <w:r>
        <w:rPr>
          <w:rFonts w:ascii="Arial" w:cs="Arial" w:eastAsia="Arial" w:hAnsi="Arial"/>
          <w:sz w:val="17"/>
          <w:szCs w:val="17"/>
          <w:color w:val="auto"/>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prospectus, which could materially and adversely affect our business and financial performance. We expect that the cannabis market and our business will evolve in ways that are difficult to predict. Our long-term success may depend on our ability to successfully adjust our strategy to meet the changing market dynamics. If we are unable to successfully adapt to changes in the cannabis industry, our operations could be adversely affected.</w:t>
      </w:r>
    </w:p>
    <w:p>
      <w:pPr>
        <w:spacing w:after="0" w:line="178" w:lineRule="exact"/>
        <w:rPr>
          <w:sz w:val="20"/>
          <w:szCs w:val="20"/>
          <w:color w:val="auto"/>
        </w:rPr>
      </w:pPr>
    </w:p>
    <w:p>
      <w:pPr>
        <w:ind w:left="460" w:right="1299"/>
        <w:spacing w:after="0" w:line="277" w:lineRule="auto"/>
        <w:rPr>
          <w:sz w:val="20"/>
          <w:szCs w:val="20"/>
          <w:color w:val="auto"/>
        </w:rPr>
      </w:pPr>
      <w:r>
        <w:rPr>
          <w:rFonts w:ascii="Arial" w:cs="Arial" w:eastAsia="Arial" w:hAnsi="Arial"/>
          <w:sz w:val="18"/>
          <w:szCs w:val="18"/>
          <w:b w:val="1"/>
          <w:bCs w:val="1"/>
          <w:i w:val="1"/>
          <w:iCs w:val="1"/>
          <w:color w:val="auto"/>
        </w:rPr>
        <w:t>Certain of our officers and directors may become subject to conflicts of interests arising out of our relationship with Bluezone and Enozo.</w:t>
      </w:r>
    </w:p>
    <w:p>
      <w:pPr>
        <w:spacing w:after="0" w:line="103"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We are a party to two distribution agreements with companies in which certain of our officers and directors have an interest. Specifically, Guichao Hua, a member of our board of directors, has an ownership interest in Bluezone Products, Inc. of approximately 3% and Raymond Chang, our chief executive officer and a member of our board of directors is a director of and has an ownership interest in Bluezone of approximately 8%. Similarly, Mr. Hua has an ownership interest in Enozo Technologies, Inc. of approximately [__]% and Mr. Chang is a director of and has an ownership interest in Enozo of approximately [__]%. The overlapping nature of these relationships could cause conflicts of interest for Messrs. Hua and Chang, which may not be easily resolved, or if they are resolved, they may not be resolved on terms advantageous to our company.</w:t>
      </w:r>
    </w:p>
    <w:p>
      <w:pPr>
        <w:spacing w:after="0" w:line="165" w:lineRule="exact"/>
        <w:rPr>
          <w:sz w:val="20"/>
          <w:szCs w:val="20"/>
          <w:color w:val="auto"/>
        </w:rPr>
      </w:pPr>
    </w:p>
    <w:p>
      <w:pPr>
        <w:ind w:left="460" w:right="499"/>
        <w:spacing w:after="0" w:line="277" w:lineRule="auto"/>
        <w:rPr>
          <w:sz w:val="20"/>
          <w:szCs w:val="20"/>
          <w:color w:val="auto"/>
        </w:rPr>
      </w:pPr>
      <w:r>
        <w:rPr>
          <w:rFonts w:ascii="Arial" w:cs="Arial" w:eastAsia="Arial" w:hAnsi="Arial"/>
          <w:sz w:val="18"/>
          <w:szCs w:val="18"/>
          <w:b w:val="1"/>
          <w:bCs w:val="1"/>
          <w:i w:val="1"/>
          <w:iCs w:val="1"/>
          <w:color w:val="auto"/>
        </w:rPr>
        <w:t>A prolonged economic downturn, particularly in light of the COVID-19 pandemic, could adversely affect our business.</w:t>
      </w:r>
    </w:p>
    <w:p>
      <w:pPr>
        <w:spacing w:after="0" w:line="89"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Uncertain global economic conditions, in particular in light of the COVID-19 pandemic, could adversely affect our business. Negative global and national economic trends, such as decreased consumer and business spending, high unemployment levels and declining consumer and business confidence, pose challenges to our business and could result in declining revenues, profitability and cash flow. Although we continue to devote significant resources to support our brands, unfavorable economic conditions may negatively affect demand for our products.</w:t>
      </w:r>
    </w:p>
    <w:p>
      <w:pPr>
        <w:spacing w:after="0" w:line="192" w:lineRule="exact"/>
        <w:rPr>
          <w:sz w:val="20"/>
          <w:szCs w:val="20"/>
          <w:color w:val="auto"/>
        </w:rPr>
      </w:pPr>
    </w:p>
    <w:p>
      <w:pPr>
        <w:ind w:left="460" w:right="739"/>
        <w:spacing w:after="0" w:line="277" w:lineRule="auto"/>
        <w:rPr>
          <w:sz w:val="20"/>
          <w:szCs w:val="20"/>
          <w:color w:val="auto"/>
        </w:rPr>
      </w:pPr>
      <w:r>
        <w:rPr>
          <w:rFonts w:ascii="Arial" w:cs="Arial" w:eastAsia="Arial" w:hAnsi="Arial"/>
          <w:sz w:val="18"/>
          <w:szCs w:val="18"/>
          <w:b w:val="1"/>
          <w:bCs w:val="1"/>
          <w:i w:val="1"/>
          <w:iCs w:val="1"/>
          <w:color w:val="auto"/>
        </w:rPr>
        <w:t>Our operations may be impaired if our information technology systems fail to perform adequately or if we are the subject of a data breach or cyber-attack.</w:t>
      </w:r>
    </w:p>
    <w:p>
      <w:pPr>
        <w:spacing w:after="0" w:line="103"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We rely on information technology systems in order to conduct business, including communicating with employees and our key commercial customers, ordering and managing materials from suppliers, shipping products and providing SaaS services to our customers and analyzing and reporting results of operations. While we have taken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6" w:name="page27"/>
    <w:bookmarkEnd w:id="26"/>
    <w:p>
      <w:pPr>
        <w:ind w:left="460" w:right="539"/>
        <w:spacing w:after="0" w:line="275" w:lineRule="auto"/>
        <w:rPr>
          <w:sz w:val="20"/>
          <w:szCs w:val="20"/>
          <w:color w:val="auto"/>
        </w:rPr>
      </w:pPr>
      <w:r>
        <w:rPr>
          <w:rFonts w:ascii="Arial" w:cs="Arial" w:eastAsia="Arial" w:hAnsi="Arial"/>
          <w:sz w:val="17"/>
          <w:szCs w:val="17"/>
          <w:color w:val="auto"/>
        </w:rPr>
        <w:t>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95"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rapidly-evolving types of cyber-attacks.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82" w:lineRule="exact"/>
        <w:rPr>
          <w:sz w:val="20"/>
          <w:szCs w:val="20"/>
          <w:color w:val="auto"/>
        </w:rPr>
      </w:pPr>
    </w:p>
    <w:p>
      <w:pPr>
        <w:ind w:left="460" w:right="559"/>
        <w:spacing w:after="0" w:line="381" w:lineRule="auto"/>
        <w:rPr>
          <w:sz w:val="20"/>
          <w:szCs w:val="20"/>
          <w:color w:val="auto"/>
        </w:rPr>
      </w:pPr>
      <w:r>
        <w:rPr>
          <w:rFonts w:ascii="Arial" w:cs="Arial" w:eastAsia="Arial" w:hAnsi="Arial"/>
          <w:sz w:val="15"/>
          <w:szCs w:val="15"/>
          <w:b w:val="1"/>
          <w:bCs w:val="1"/>
          <w:i w:val="1"/>
          <w:iCs w:val="1"/>
          <w:color w:val="auto"/>
        </w:rPr>
        <w:t>Privacy regulation is an evolving area and compliance with applicable privacy regulations may increase our operating costs or adversely impact our ability to service our clients and market our products and services.</w:t>
      </w:r>
    </w:p>
    <w:p>
      <w:pPr>
        <w:spacing w:after="0" w:line="33"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78" w:lineRule="exact"/>
        <w:rPr>
          <w:sz w:val="20"/>
          <w:szCs w:val="20"/>
          <w:color w:val="auto"/>
        </w:rPr>
      </w:pPr>
    </w:p>
    <w:p>
      <w:pPr>
        <w:ind w:left="460" w:right="679"/>
        <w:spacing w:after="0" w:line="277" w:lineRule="auto"/>
        <w:rPr>
          <w:sz w:val="20"/>
          <w:szCs w:val="20"/>
          <w:color w:val="auto"/>
        </w:rPr>
      </w:pPr>
      <w:r>
        <w:rPr>
          <w:rFonts w:ascii="Arial" w:cs="Arial" w:eastAsia="Arial" w:hAnsi="Arial"/>
          <w:sz w:val="18"/>
          <w:szCs w:val="18"/>
          <w:b w:val="1"/>
          <w:bCs w:val="1"/>
          <w:i w:val="1"/>
          <w:iCs w:val="1"/>
          <w:color w:val="auto"/>
        </w:rPr>
        <w:t>We rely on third parties for certain services made available to our customers, which could limit our control over the quality of the user experience and our cost of providing services.</w:t>
      </w:r>
    </w:p>
    <w:p>
      <w:pPr>
        <w:spacing w:after="0" w:line="10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Some of the applications and services available through our proprietary Agrify “Precision Elevated™” cultivation solution, including our flagship hardware product, the Agrify Vertical Farming Unit (AVFU), and our proprietary SaaS product, Agrify Insights (AI), are provided through relationships with third party service providers. We do not typically have any direct control over these third party service providers. These third 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 party service provider. There are readily available alternative hosting services available should we desire or need to move to a different web host. Certain ancillary services provided by us also uses the services of third party providers, for which, we believe, there are readily available alternatives on comparable economic terms. Offering integrated platforms which rely, in part, on the services of other providers lessens the control that we have over the total client experience. Should the third party service providers we rely upon not deliver at standards we expect and desire, acceptance of our platforms could suffer, which would have an adverse effect on our business and financial performance. Further, we cannot be assured of entering into agreements with such third party service providers on economically favorable terms.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Increases in costs, disruption of supply or shortage of raw materials could harm our business.</w:t>
      </w:r>
    </w:p>
    <w:p>
      <w:pPr>
        <w:spacing w:after="0" w:line="156"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right="599"/>
        <w:spacing w:after="0" w:line="308" w:lineRule="auto"/>
        <w:rPr>
          <w:sz w:val="20"/>
          <w:szCs w:val="20"/>
          <w:color w:val="auto"/>
        </w:rPr>
      </w:pPr>
      <w:r>
        <w:rPr>
          <w:rFonts w:ascii="Arial" w:cs="Arial" w:eastAsia="Arial" w:hAnsi="Arial"/>
          <w:sz w:val="17"/>
          <w:szCs w:val="17"/>
          <w:b w:val="1"/>
          <w:bCs w:val="1"/>
          <w:i w:val="1"/>
          <w:iCs w:val="1"/>
          <w:color w:val="auto"/>
        </w:rPr>
        <w:t>The growth and success of our business depends on the continued contributions of Raymond Chang, as our key executive officer, as well as our ability to attract and retain qualified personnel.</w:t>
      </w:r>
    </w:p>
    <w:p>
      <w:pPr>
        <w:spacing w:after="0" w:line="79"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Our growth and success is dependent upon the continued contributions made by our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face intense competition that could prohibit us from developing or increasing our customer base.</w:t>
      </w:r>
    </w:p>
    <w:p>
      <w:pPr>
        <w:spacing w:after="0" w:line="167"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indoor agriculture industry is highly competitive. We may compete with companies that have greater capital resources and facilities. More established companies with much greater financial resources which do not currently compete with us may be able to more easily adapt their existing operations to our line of business. In 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marketspace.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85" w:lineRule="exact"/>
        <w:rPr>
          <w:sz w:val="20"/>
          <w:szCs w:val="20"/>
          <w:color w:val="auto"/>
        </w:rPr>
      </w:pPr>
    </w:p>
    <w:p>
      <w:pPr>
        <w:ind w:left="460" w:right="899"/>
        <w:spacing w:after="0" w:line="277" w:lineRule="auto"/>
        <w:rPr>
          <w:sz w:val="20"/>
          <w:szCs w:val="20"/>
          <w:color w:val="auto"/>
        </w:rPr>
      </w:pPr>
      <w:r>
        <w:rPr>
          <w:rFonts w:ascii="Arial" w:cs="Arial" w:eastAsia="Arial" w:hAnsi="Arial"/>
          <w:sz w:val="18"/>
          <w:szCs w:val="18"/>
          <w:b w:val="1"/>
          <w:bCs w:val="1"/>
          <w:i w:val="1"/>
          <w:iCs w:val="1"/>
          <w:color w:val="auto"/>
        </w:rPr>
        <w:t>Protecting and defending against intellectual property claims may have a material adverse effect on our business.</w:t>
      </w:r>
    </w:p>
    <w:p>
      <w:pPr>
        <w:spacing w:after="0" w:line="10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Our ability to compete depends, in part, upon successful protection of our intellectual property relating to our proprietary Agrify “Precision Elevated™” cultivation solution, including our flagship hardware product, the AVFU, and our proprietary SaaS product, AI.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114"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have one pending PCT patent application and we will file national applications from this PCT in countries, including the United States. We cannot assure investors that we will continue to innovate and file new patent applications, or that this application or any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investors that other parties will not challenge any patents granted to us, or that courts or regulatory agencies will hold our patents to be valid, enforceable, and/or infringed. We cannot guarantee investors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spacing w:after="0" w:line="93" w:lineRule="exact"/>
        <w:rPr>
          <w:sz w:val="20"/>
          <w:szCs w:val="20"/>
          <w:color w:val="auto"/>
        </w:rPr>
      </w:pPr>
    </w:p>
    <w:p>
      <w:pPr>
        <w:ind w:left="1320" w:right="1339" w:hanging="434"/>
        <w:spacing w:after="0" w:line="277" w:lineRule="auto"/>
        <w:tabs>
          <w:tab w:leader="none" w:pos="13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have been the first to make the inventions claimed or disclosed in our patent application;</w:t>
      </w:r>
    </w:p>
    <w:p>
      <w:pPr>
        <w:spacing w:after="0" w:line="102" w:lineRule="exact"/>
        <w:rPr>
          <w:rFonts w:ascii="Arial" w:cs="Arial" w:eastAsia="Arial" w:hAnsi="Arial"/>
          <w:sz w:val="18"/>
          <w:szCs w:val="18"/>
          <w:color w:val="auto"/>
        </w:rPr>
      </w:pPr>
    </w:p>
    <w:p>
      <w:pPr>
        <w:ind w:left="1320" w:right="799" w:hanging="434"/>
        <w:spacing w:after="0" w:line="259" w:lineRule="auto"/>
        <w:tabs>
          <w:tab w:leader="none" w:pos="13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have been the first to file patent application. To determine the priority of these inventions, we may have to participate in interference proceedings or derivation proceedings declared by the U.S. Patent and Trademark Office (“USPTO”), which could result in substantial cost to us, and could</w:t>
      </w:r>
    </w:p>
    <w:p>
      <w:pPr>
        <w:sectPr>
          <w:pgSz w:w="11900" w:h="16838" w:orient="portrait"/>
          <w:cols w:equalWidth="0" w:num="1">
            <w:col w:w="9019"/>
          </w:cols>
          <w:pgMar w:left="1440" w:top="341"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28" w:name="page29"/>
    <w:bookmarkEnd w:id="28"/>
    <w:p>
      <w:pPr>
        <w:ind w:left="1320" w:right="559"/>
        <w:spacing w:after="0" w:line="263" w:lineRule="auto"/>
        <w:rPr>
          <w:sz w:val="20"/>
          <w:szCs w:val="20"/>
          <w:color w:val="auto"/>
        </w:rPr>
      </w:pPr>
      <w:r>
        <w:rPr>
          <w:rFonts w:ascii="Arial" w:cs="Arial" w:eastAsia="Arial" w:hAnsi="Arial"/>
          <w:sz w:val="18"/>
          <w:szCs w:val="18"/>
          <w:color w:val="auto"/>
        </w:rPr>
        <w:t>possibly result in a loss or narrowing of patent rights. No assurance can be given that our granted patents will have priority over any other patent or patent application involved in such a proceeding, or will be held valid as an outcome of the proceeding;</w:t>
      </w:r>
    </w:p>
    <w:p>
      <w:pPr>
        <w:spacing w:after="0" w:line="103" w:lineRule="exact"/>
        <w:rPr>
          <w:sz w:val="20"/>
          <w:szCs w:val="20"/>
          <w:color w:val="auto"/>
        </w:rPr>
      </w:pPr>
    </w:p>
    <w:p>
      <w:pPr>
        <w:ind w:left="1320" w:right="639" w:hanging="434"/>
        <w:spacing w:after="0" w:line="259"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parties may independently develop similar or alternative products and technologies or duplicate any of our products and technologies, which can potentially impact our market share, revenue, and goodwill, regardless of whether intellectual property rights are successfully enforced against these other parties;</w:t>
      </w:r>
    </w:p>
    <w:p>
      <w:pPr>
        <w:spacing w:after="0" w:line="119" w:lineRule="exact"/>
        <w:rPr>
          <w:rFonts w:ascii="Arial" w:cs="Arial" w:eastAsia="Arial" w:hAnsi="Arial"/>
          <w:sz w:val="18"/>
          <w:szCs w:val="18"/>
          <w:color w:val="auto"/>
        </w:rPr>
      </w:pPr>
    </w:p>
    <w:p>
      <w:pPr>
        <w:ind w:left="1320" w:right="579" w:hanging="434"/>
        <w:spacing w:after="0" w:line="311" w:lineRule="auto"/>
        <w:tabs>
          <w:tab w:leader="none" w:pos="1311" w:val="left"/>
        </w:tabs>
        <w:numPr>
          <w:ilvl w:val="0"/>
          <w:numId w:val="19"/>
        </w:numPr>
        <w:rPr>
          <w:rFonts w:ascii="Arial" w:cs="Arial" w:eastAsia="Arial" w:hAnsi="Arial"/>
          <w:sz w:val="16"/>
          <w:szCs w:val="16"/>
          <w:color w:val="auto"/>
        </w:rPr>
      </w:pPr>
      <w:r>
        <w:rPr>
          <w:rFonts w:ascii="Arial" w:cs="Arial" w:eastAsia="Arial" w:hAnsi="Arial"/>
          <w:sz w:val="16"/>
          <w:szCs w:val="16"/>
          <w:color w:val="auto"/>
        </w:rPr>
        <w:t>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p>
      <w:pPr>
        <w:spacing w:after="0" w:line="81" w:lineRule="exact"/>
        <w:rPr>
          <w:rFonts w:ascii="Arial" w:cs="Arial" w:eastAsia="Arial" w:hAnsi="Arial"/>
          <w:sz w:val="16"/>
          <w:szCs w:val="16"/>
          <w:color w:val="auto"/>
        </w:rPr>
      </w:pPr>
    </w:p>
    <w:p>
      <w:pPr>
        <w:ind w:left="1320" w:right="919" w:hanging="434"/>
        <w:spacing w:after="0" w:line="342" w:lineRule="auto"/>
        <w:tabs>
          <w:tab w:leader="none" w:pos="1311"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unaware of or unfamiliar with prior art and/or interpretations of prior art that could potentially impact the validity or scope of our patents or patent applications that we may file;</w:t>
      </w:r>
    </w:p>
    <w:p>
      <w:pPr>
        <w:spacing w:after="0" w:line="42" w:lineRule="exact"/>
        <w:rPr>
          <w:rFonts w:ascii="Arial" w:cs="Arial" w:eastAsia="Arial" w:hAnsi="Arial"/>
          <w:sz w:val="16"/>
          <w:szCs w:val="16"/>
          <w:color w:val="auto"/>
        </w:rPr>
      </w:pPr>
    </w:p>
    <w:p>
      <w:pPr>
        <w:ind w:left="1320" w:right="619" w:hanging="434"/>
        <w:spacing w:after="0" w:line="301" w:lineRule="auto"/>
        <w:tabs>
          <w:tab w:leader="none" w:pos="1311"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p>
      <w:pPr>
        <w:spacing w:after="0" w:line="89" w:lineRule="exact"/>
        <w:rPr>
          <w:rFonts w:ascii="Arial" w:cs="Arial" w:eastAsia="Arial" w:hAnsi="Arial"/>
          <w:sz w:val="16"/>
          <w:szCs w:val="16"/>
          <w:color w:val="auto"/>
        </w:rPr>
      </w:pPr>
    </w:p>
    <w:p>
      <w:pPr>
        <w:ind w:left="1320" w:right="639" w:hanging="434"/>
        <w:spacing w:after="0" w:line="277"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elect not to maintain or pursue intellectual property rights that, at some point in time, may be considered relevant to or enforceable against a competitor;</w:t>
      </w:r>
    </w:p>
    <w:p>
      <w:pPr>
        <w:spacing w:after="0" w:line="102" w:lineRule="exact"/>
        <w:rPr>
          <w:rFonts w:ascii="Arial" w:cs="Arial" w:eastAsia="Arial" w:hAnsi="Arial"/>
          <w:sz w:val="18"/>
          <w:szCs w:val="18"/>
          <w:color w:val="auto"/>
        </w:rPr>
      </w:pPr>
    </w:p>
    <w:p>
      <w:pPr>
        <w:ind w:left="1320" w:right="519" w:hanging="434"/>
        <w:spacing w:after="0" w:line="308" w:lineRule="auto"/>
        <w:tabs>
          <w:tab w:leader="none" w:pos="1311"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develop additional proprietary products and technologies that are patentable, or we may develop additional proprietary products and technologies that are not patentable;</w:t>
      </w:r>
    </w:p>
    <w:p>
      <w:pPr>
        <w:spacing w:after="0" w:line="65" w:lineRule="exact"/>
        <w:rPr>
          <w:rFonts w:ascii="Arial" w:cs="Arial" w:eastAsia="Arial" w:hAnsi="Arial"/>
          <w:sz w:val="17"/>
          <w:szCs w:val="17"/>
          <w:color w:val="auto"/>
        </w:rPr>
      </w:pPr>
    </w:p>
    <w:p>
      <w:pPr>
        <w:ind w:left="1320" w:right="479" w:hanging="434"/>
        <w:spacing w:after="0" w:line="277"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patents or other intellectual property rights of others may have an adverse effect on our business; and</w:t>
      </w:r>
    </w:p>
    <w:p>
      <w:pPr>
        <w:spacing w:after="0" w:line="102" w:lineRule="exact"/>
        <w:rPr>
          <w:rFonts w:ascii="Arial" w:cs="Arial" w:eastAsia="Arial" w:hAnsi="Arial"/>
          <w:sz w:val="18"/>
          <w:szCs w:val="18"/>
          <w:color w:val="auto"/>
        </w:rPr>
      </w:pPr>
    </w:p>
    <w:p>
      <w:pPr>
        <w:ind w:left="1320" w:right="799" w:hanging="434"/>
        <w:spacing w:after="0" w:line="301" w:lineRule="auto"/>
        <w:tabs>
          <w:tab w:leader="none" w:pos="1311"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spacing w:after="0" w:line="9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success depends in part upon our ability to protect our core technology and intellectual property.</w:t>
      </w:r>
    </w:p>
    <w:p>
      <w:pPr>
        <w:spacing w:after="0" w:line="167" w:lineRule="exact"/>
        <w:rPr>
          <w:sz w:val="20"/>
          <w:szCs w:val="20"/>
          <w:color w:val="auto"/>
        </w:rPr>
      </w:pPr>
    </w:p>
    <w:p>
      <w:pPr>
        <w:ind w:left="460" w:right="619" w:firstLine="432"/>
        <w:spacing w:after="0" w:line="288" w:lineRule="auto"/>
        <w:rPr>
          <w:sz w:val="20"/>
          <w:szCs w:val="20"/>
          <w:color w:val="auto"/>
        </w:rPr>
      </w:pPr>
      <w:r>
        <w:rPr>
          <w:rFonts w:ascii="Arial" w:cs="Arial" w:eastAsia="Arial" w:hAnsi="Arial"/>
          <w:sz w:val="16"/>
          <w:szCs w:val="16"/>
          <w:color w:val="auto"/>
        </w:rPr>
        <w:t>Our success depends in part upon our ability to protect our core technology and intellectual property. To establish and protect our proprietary rights, we rely on a combination of trademark, copyright, patent, trade secret and unfair competition laws of the United States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101"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98"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 w:name="page30"/>
    <w:bookmarkEnd w:id="29"/>
    <w:p>
      <w:pPr>
        <w:ind w:left="460" w:right="519"/>
        <w:spacing w:after="0" w:line="254" w:lineRule="auto"/>
        <w:rPr>
          <w:sz w:val="20"/>
          <w:szCs w:val="20"/>
          <w:color w:val="auto"/>
        </w:rPr>
      </w:pPr>
      <w:r>
        <w:rPr>
          <w:rFonts w:ascii="Arial" w:cs="Arial" w:eastAsia="Arial" w:hAnsi="Arial"/>
          <w:sz w:val="18"/>
          <w:szCs w:val="18"/>
          <w:color w:val="auto"/>
        </w:rPr>
        <w:t>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United States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1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192" w:lineRule="exact"/>
        <w:rPr>
          <w:sz w:val="20"/>
          <w:szCs w:val="20"/>
          <w:color w:val="auto"/>
        </w:rPr>
      </w:pPr>
    </w:p>
    <w:p>
      <w:pPr>
        <w:ind w:left="460" w:right="879"/>
        <w:spacing w:after="0" w:line="277" w:lineRule="auto"/>
        <w:rPr>
          <w:sz w:val="20"/>
          <w:szCs w:val="20"/>
          <w:color w:val="auto"/>
        </w:rPr>
      </w:pPr>
      <w:r>
        <w:rPr>
          <w:rFonts w:ascii="Arial" w:cs="Arial" w:eastAsia="Arial" w:hAnsi="Arial"/>
          <w:sz w:val="18"/>
          <w:szCs w:val="18"/>
          <w:b w:val="1"/>
          <w:bCs w:val="1"/>
          <w:i w:val="1"/>
          <w:iCs w:val="1"/>
          <w:color w:val="auto"/>
        </w:rPr>
        <w:t>We may need to enter into intellectual property license agreements in the future, and if we are unable to obtain these licenses, our business could be harmed.</w:t>
      </w:r>
    </w:p>
    <w:p>
      <w:pPr>
        <w:spacing w:after="0" w:line="103"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Others may assert intellectual property infringement claims against us.</w:t>
      </w:r>
    </w:p>
    <w:p>
      <w:pPr>
        <w:spacing w:after="0" w:line="158"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 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Litigation may adversely affect our business, financial condition and results of operations.</w:t>
      </w:r>
    </w:p>
    <w:p>
      <w:pPr>
        <w:spacing w:after="0" w:line="14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w:t>
      </w:r>
    </w:p>
    <w:p>
      <w:pPr>
        <w:sectPr>
          <w:pgSz w:w="11900" w:h="16838" w:orient="portrait"/>
          <w:cols w:equalWidth="0" w:num="1">
            <w:col w:w="9019"/>
          </w:cols>
          <w:pgMar w:left="1440" w:top="274"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0" w:name="page31"/>
    <w:bookmarkEnd w:id="30"/>
    <w:p>
      <w:pPr>
        <w:ind w:left="460" w:right="539"/>
        <w:spacing w:after="0" w:line="296" w:lineRule="auto"/>
        <w:rPr>
          <w:sz w:val="20"/>
          <w:szCs w:val="20"/>
          <w:color w:val="auto"/>
        </w:rPr>
      </w:pPr>
      <w:r>
        <w:rPr>
          <w:rFonts w:ascii="Arial" w:cs="Arial" w:eastAsia="Arial" w:hAnsi="Arial"/>
          <w:sz w:val="16"/>
          <w:szCs w:val="16"/>
          <w:color w:val="auto"/>
        </w:rPr>
        <w:t>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161" w:lineRule="exact"/>
        <w:rPr>
          <w:sz w:val="20"/>
          <w:szCs w:val="20"/>
          <w:color w:val="auto"/>
        </w:rPr>
      </w:pPr>
    </w:p>
    <w:p>
      <w:pPr>
        <w:ind w:left="460" w:right="599"/>
        <w:spacing w:after="0" w:line="320" w:lineRule="auto"/>
        <w:rPr>
          <w:sz w:val="20"/>
          <w:szCs w:val="20"/>
          <w:color w:val="auto"/>
        </w:rPr>
      </w:pPr>
      <w:r>
        <w:rPr>
          <w:rFonts w:ascii="Arial" w:cs="Arial" w:eastAsia="Arial" w:hAnsi="Arial"/>
          <w:sz w:val="15"/>
          <w:szCs w:val="15"/>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65"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113"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 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177" w:lineRule="exact"/>
        <w:rPr>
          <w:sz w:val="20"/>
          <w:szCs w:val="20"/>
          <w:color w:val="auto"/>
        </w:rPr>
      </w:pPr>
    </w:p>
    <w:p>
      <w:pPr>
        <w:ind w:left="460" w:right="1279"/>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03"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As of December 31, 2019, we had net operating loss (NOL) carryforwards for federal and state income tax purposes which may be available to offset taxable income in the future, and which expire in various years for federal purposes if not utilized. The state NOLs will expire depending upon the various rules in the states in which we operate.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its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income tax purposes. For these reasons, we may not be able to utilize a material portion of our NOLs, even if we attain profitability, which could potentially result in increased future tax liability to us and could adversely affect our results of operations and financial condition.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If we are unable to maintain certain licenses, our business, reputation and brand could be adversely affected.</w:t>
      </w:r>
    </w:p>
    <w:p>
      <w:pPr>
        <w:spacing w:after="0" w:line="179"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We rely on a license from Holden Company to our Agrify Brands LLC subsidiary and sublicense certain trademarks to third parties. Our use of these intellectual property rights is subject to inspection and the approval of Holden Company and the license may be terminated in certain limited circumstances. The term of the license automatically renews in ten year increments with the next renewal on November 14, 2028. Under the license, we are required to indemnify ABI against losses related to our use of the marks. If we were to lose or have to renegotiate this license, our business may be adversely affected.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29"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There is no existing market for our common stock and we do not know if one will develop to provide you with adequate liquidity.</w:t>
      </w:r>
    </w:p>
    <w:p>
      <w:pPr>
        <w:spacing w:after="0" w:line="103"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Prior to this offering, there has not been a public market for our common stock. We cannot assure you that an active trading market for our common stock will develop following this offering, or if it does develop, it may not be maintained. You may not be able to sell your common stock quickly or at the market price if trading in our securities is not active. The initial public offering price for the shares offered hereby will be determined by negotiations between us and the representative of the underwriters and may not be indicative of prices that will prevail in the trading market.</w:t>
      </w:r>
    </w:p>
    <w:p>
      <w:pPr>
        <w:spacing w:after="0" w:line="192" w:lineRule="exact"/>
        <w:rPr>
          <w:sz w:val="20"/>
          <w:szCs w:val="20"/>
          <w:color w:val="auto"/>
        </w:rPr>
      </w:pPr>
    </w:p>
    <w:p>
      <w:pPr>
        <w:ind w:left="460" w:right="719"/>
        <w:spacing w:after="0" w:line="277" w:lineRule="auto"/>
        <w:rPr>
          <w:sz w:val="20"/>
          <w:szCs w:val="20"/>
          <w:color w:val="auto"/>
        </w:rPr>
      </w:pPr>
      <w:r>
        <w:rPr>
          <w:rFonts w:ascii="Arial" w:cs="Arial" w:eastAsia="Arial" w:hAnsi="Arial"/>
          <w:sz w:val="18"/>
          <w:szCs w:val="18"/>
          <w:b w:val="1"/>
          <w:bCs w:val="1"/>
          <w:i w:val="1"/>
          <w:iCs w:val="1"/>
          <w:color w:val="auto"/>
        </w:rPr>
        <w:t>An active, liquid and orderly trading market for our common stock may not develop, the price of our stock may be volatile, and you could lose all or part of your investment.</w:t>
      </w:r>
    </w:p>
    <w:p>
      <w:pPr>
        <w:spacing w:after="0" w:line="89"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7"/>
          <w:szCs w:val="17"/>
          <w:color w:val="auto"/>
        </w:rPr>
        <w:t>The trading price of our common stock following this offering is likely to be highly volatile and could be subject to wide fluctuations in response to various factors, some of which are beyond our control. Our stock price could be subject to wide fluctuations in response to a variety of factors, which include:</w:t>
      </w:r>
    </w:p>
    <w:p>
      <w:pPr>
        <w:spacing w:after="0" w:line="98" w:lineRule="exact"/>
        <w:rPr>
          <w:sz w:val="20"/>
          <w:szCs w:val="20"/>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we achieve our anticipated corporate objectives;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financial or operational estimates or projections;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implement our operational plans;</w:t>
      </w:r>
    </w:p>
    <w:p>
      <w:pPr>
        <w:spacing w:after="0" w:line="157"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termination of the lock-up agreement or other restrictions on the ability of our stockholders to sell shares after this offering;</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the economic performance or market valuations of companies similar to ours;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or political conditions in the United States or elsewhere.</w:t>
      </w:r>
    </w:p>
    <w:p>
      <w:pPr>
        <w:spacing w:after="0" w:line="158" w:lineRule="exact"/>
        <w:rPr>
          <w:sz w:val="20"/>
          <w:szCs w:val="20"/>
          <w:color w:val="auto"/>
        </w:rPr>
      </w:pPr>
    </w:p>
    <w:p>
      <w:pPr>
        <w:ind w:left="460" w:right="599" w:firstLine="432"/>
        <w:spacing w:after="0" w:line="270" w:lineRule="auto"/>
        <w:rPr>
          <w:sz w:val="20"/>
          <w:szCs w:val="20"/>
          <w:color w:val="auto"/>
        </w:rPr>
      </w:pPr>
      <w:r>
        <w:rPr>
          <w:rFonts w:ascii="Arial" w:cs="Arial" w:eastAsia="Arial" w:hAnsi="Arial"/>
          <w:sz w:val="17"/>
          <w:szCs w:val="17"/>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1" w:lineRule="exact"/>
        <w:rPr>
          <w:sz w:val="20"/>
          <w:szCs w:val="20"/>
          <w:color w:val="auto"/>
        </w:rPr>
      </w:pPr>
    </w:p>
    <w:p>
      <w:pPr>
        <w:ind w:left="460" w:right="919"/>
        <w:spacing w:after="0" w:line="308" w:lineRule="auto"/>
        <w:rPr>
          <w:sz w:val="20"/>
          <w:szCs w:val="20"/>
          <w:color w:val="auto"/>
        </w:rPr>
      </w:pPr>
      <w:r>
        <w:rPr>
          <w:rFonts w:ascii="Arial" w:cs="Arial" w:eastAsia="Arial" w:hAnsi="Arial"/>
          <w:sz w:val="17"/>
          <w:szCs w:val="17"/>
          <w:b w:val="1"/>
          <w:bCs w:val="1"/>
          <w:i w:val="1"/>
          <w:iCs w:val="1"/>
          <w:color w:val="auto"/>
        </w:rPr>
        <w:t>Our management will have broad discretion over the use of the proceeds we receive in this offering and might not apply the proceeds in ways that increase the value of your investment.</w:t>
      </w:r>
    </w:p>
    <w:p>
      <w:pPr>
        <w:spacing w:after="0" w:line="65"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Our management will have broad discretion over the use of our net proceeds from this offering, and you will be relying on the judgment of our management regarding the application of these proceeds. Our management might not apply our net proceeds in ways that ultimately increase the value of your investment. We expect to use the net proceeds from this offering for general corporate purposes, including working capital and capital expenditures, or CapEx, which may in the future include investments in, or acquisitions of, complementary businesses, services or technologies. Our management might not be able to yield a significant return, if any, on any investment of these net proceeds. You will not have the opportunity to influence our decisions on how to use our net proceeds from this offering.</w:t>
      </w:r>
    </w:p>
    <w:p>
      <w:pPr>
        <w:spacing w:after="0" w:line="178" w:lineRule="exact"/>
        <w:rPr>
          <w:sz w:val="20"/>
          <w:szCs w:val="20"/>
          <w:color w:val="auto"/>
        </w:rPr>
      </w:pPr>
    </w:p>
    <w:p>
      <w:pPr>
        <w:ind w:left="460" w:right="659"/>
        <w:spacing w:after="0" w:line="277" w:lineRule="auto"/>
        <w:rPr>
          <w:sz w:val="20"/>
          <w:szCs w:val="20"/>
          <w:color w:val="auto"/>
        </w:rPr>
      </w:pPr>
      <w:r>
        <w:rPr>
          <w:rFonts w:ascii="Arial" w:cs="Arial" w:eastAsia="Arial" w:hAnsi="Arial"/>
          <w:sz w:val="18"/>
          <w:szCs w:val="18"/>
          <w:b w:val="1"/>
          <w:bCs w:val="1"/>
          <w:i w:val="1"/>
          <w:iCs w:val="1"/>
          <w:color w:val="auto"/>
        </w:rPr>
        <w:t>Our failure to meet the continuing listing requirements of The Nasdaq Capital Market could result in a de-listing of our securities.</w:t>
      </w:r>
    </w:p>
    <w:p>
      <w:pPr>
        <w:spacing w:after="0" w:line="103"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If, after this offering, we fail to satisfy the continuing listing requirements of Nasdaq, such as the corporate governance, stockholders equity or minimum closing bid price requirements, Nasdaq may take steps to delist our common stock. Such a delisting would likely have a negative effect on the price of our common stock and would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2" w:name="page33"/>
    <w:bookmarkEnd w:id="32"/>
    <w:p>
      <w:pPr>
        <w:ind w:left="460" w:right="499"/>
        <w:spacing w:after="0" w:line="296" w:lineRule="auto"/>
        <w:rPr>
          <w:sz w:val="20"/>
          <w:szCs w:val="20"/>
          <w:color w:val="auto"/>
        </w:rPr>
      </w:pPr>
      <w:r>
        <w:rPr>
          <w:rFonts w:ascii="Arial" w:cs="Arial" w:eastAsia="Arial" w:hAnsi="Arial"/>
          <w:sz w:val="16"/>
          <w:szCs w:val="16"/>
          <w:color w:val="auto"/>
        </w:rPr>
        <w:t>impair your ability to sell or purchase our common stock when you wish to do so. In the event of a delisting, we would likely take actions to restore our compliance with Nasdaq’s listing requirements, but we can provide no assurance that any such action taken by us would allow our common stock to become listed again, stabilize the market price or improve the liquidity of our securities, prevent our common stock from dropping below the Nasdaq minimum bid price requirement or prevent future non-compliance with Nasdaq’s listing requirements.</w:t>
      </w:r>
    </w:p>
    <w:p>
      <w:pPr>
        <w:spacing w:after="0" w:line="161" w:lineRule="exact"/>
        <w:rPr>
          <w:sz w:val="20"/>
          <w:szCs w:val="20"/>
          <w:color w:val="auto"/>
        </w:rPr>
      </w:pPr>
    </w:p>
    <w:p>
      <w:pPr>
        <w:ind w:left="460" w:right="799"/>
        <w:spacing w:after="0" w:line="342" w:lineRule="auto"/>
        <w:rPr>
          <w:sz w:val="20"/>
          <w:szCs w:val="20"/>
          <w:color w:val="auto"/>
        </w:rPr>
      </w:pPr>
      <w:r>
        <w:rPr>
          <w:rFonts w:ascii="Arial" w:cs="Arial" w:eastAsia="Arial" w:hAnsi="Arial"/>
          <w:sz w:val="16"/>
          <w:szCs w:val="16"/>
          <w:b w:val="1"/>
          <w:bCs w:val="1"/>
          <w:i w:val="1"/>
          <w:iCs w:val="1"/>
          <w:color w:val="auto"/>
        </w:rPr>
        <w:t>We will incur increased costs and demands upon management as a result of complying with the laws and regulations affecting public companies, which could adversely affect our operating results.</w:t>
      </w:r>
    </w:p>
    <w:p>
      <w:pPr>
        <w:spacing w:after="0" w:line="43"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the NASDAQ Stock Market. In addition, our management team will also have to adapt to the requirements of being a public company. We expect complying with these rules and regulations will substantially increase our legal and financial compliance costs and to make some activities more time-consuming and costly.</w:t>
      </w:r>
    </w:p>
    <w:p>
      <w:pPr>
        <w:spacing w:after="0" w:line="99"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120"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157"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Upon completion of this offering, our executive officers, directors and their affiliates will beneficially</w:t>
      </w:r>
    </w:p>
    <w:p>
      <w:pPr>
        <w:spacing w:after="0" w:line="35" w:lineRule="exact"/>
        <w:rPr>
          <w:sz w:val="20"/>
          <w:szCs w:val="20"/>
          <w:color w:val="auto"/>
        </w:rPr>
      </w:pPr>
    </w:p>
    <w:p>
      <w:pPr>
        <w:ind w:left="460"/>
        <w:spacing w:after="0"/>
        <w:tabs>
          <w:tab w:leader="none" w:pos="3520" w:val="left"/>
        </w:tabs>
        <w:rPr>
          <w:sz w:val="20"/>
          <w:szCs w:val="20"/>
          <w:color w:val="auto"/>
        </w:rPr>
      </w:pPr>
      <w:r>
        <w:rPr>
          <w:rFonts w:ascii="Arial" w:cs="Arial" w:eastAsia="Arial" w:hAnsi="Arial"/>
          <w:sz w:val="18"/>
          <w:szCs w:val="18"/>
          <w:color w:val="auto"/>
        </w:rPr>
        <w:t>own, in the aggregate, approximately</w:t>
      </w:r>
      <w:r>
        <w:rPr>
          <w:sz w:val="20"/>
          <w:szCs w:val="20"/>
          <w:color w:val="auto"/>
        </w:rPr>
        <w:tab/>
      </w:r>
      <w:r>
        <w:rPr>
          <w:rFonts w:ascii="Arial" w:cs="Arial" w:eastAsia="Arial" w:hAnsi="Arial"/>
          <w:sz w:val="16"/>
          <w:szCs w:val="16"/>
          <w:color w:val="auto"/>
        </w:rPr>
        <w:t>% of our outstanding shares of common stock. In particular,</w:t>
      </w:r>
    </w:p>
    <w:p>
      <w:pPr>
        <w:spacing w:after="0" w:line="9" w:lineRule="exact"/>
        <w:rPr>
          <w:sz w:val="20"/>
          <w:szCs w:val="20"/>
          <w:color w:val="auto"/>
        </w:rPr>
      </w:pPr>
    </w:p>
    <w:p>
      <w:pPr>
        <w:ind w:left="460"/>
        <w:spacing w:after="0"/>
        <w:tabs>
          <w:tab w:leader="none" w:pos="6740" w:val="left"/>
        </w:tabs>
        <w:rPr>
          <w:sz w:val="20"/>
          <w:szCs w:val="20"/>
          <w:color w:val="auto"/>
        </w:rPr>
      </w:pPr>
      <w:r>
        <w:rPr>
          <w:rFonts w:ascii="Arial" w:cs="Arial" w:eastAsia="Arial" w:hAnsi="Arial"/>
          <w:sz w:val="18"/>
          <w:szCs w:val="18"/>
          <w:color w:val="auto"/>
        </w:rPr>
        <w:t>Raymond Chang, our chief executive officer, will beneficially own approximately</w:t>
      </w:r>
      <w:r>
        <w:rPr>
          <w:sz w:val="20"/>
          <w:szCs w:val="20"/>
          <w:color w:val="auto"/>
        </w:rPr>
        <w:tab/>
      </w:r>
      <w:r>
        <w:rPr>
          <w:rFonts w:ascii="Arial" w:cs="Arial" w:eastAsia="Arial" w:hAnsi="Arial"/>
          <w:sz w:val="16"/>
          <w:szCs w:val="16"/>
          <w:color w:val="auto"/>
        </w:rPr>
        <w:t>% of our outstanding</w:t>
      </w:r>
    </w:p>
    <w:p>
      <w:pPr>
        <w:spacing w:after="0" w:line="9" w:lineRule="exact"/>
        <w:rPr>
          <w:sz w:val="20"/>
          <w:szCs w:val="20"/>
          <w:color w:val="auto"/>
        </w:rPr>
      </w:pPr>
    </w:p>
    <w:p>
      <w:pPr>
        <w:ind w:left="460" w:right="639"/>
        <w:spacing w:after="0" w:line="252" w:lineRule="auto"/>
        <w:rPr>
          <w:sz w:val="20"/>
          <w:szCs w:val="20"/>
          <w:color w:val="auto"/>
        </w:rPr>
      </w:pPr>
      <w:r>
        <w:rPr>
          <w:rFonts w:ascii="Arial" w:cs="Arial" w:eastAsia="Arial" w:hAnsi="Arial"/>
          <w:sz w:val="18"/>
          <w:szCs w:val="18"/>
          <w:color w:val="auto"/>
        </w:rPr>
        <w:t>shares of common stock upon completion of this offering. As a result, these stockholders will be able to exercise a significant level of control over all matters requiring stockholder approval, including the election of directors, amendment of our articles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94" w:lineRule="exact"/>
        <w:rPr>
          <w:sz w:val="20"/>
          <w:szCs w:val="20"/>
          <w:color w:val="auto"/>
        </w:rPr>
      </w:pPr>
    </w:p>
    <w:p>
      <w:pPr>
        <w:ind w:left="460" w:right="579"/>
        <w:spacing w:after="0" w:line="257" w:lineRule="auto"/>
        <w:rPr>
          <w:sz w:val="20"/>
          <w:szCs w:val="20"/>
          <w:color w:val="auto"/>
        </w:rPr>
      </w:pPr>
      <w:r>
        <w:rPr>
          <w:rFonts w:ascii="Arial" w:cs="Arial" w:eastAsia="Arial" w:hAnsi="Arial"/>
          <w:sz w:val="18"/>
          <w:szCs w:val="18"/>
          <w:b w:val="1"/>
          <w:bCs w:val="1"/>
          <w:i w:val="1"/>
          <w:iCs w:val="1"/>
          <w:color w:val="auto"/>
        </w:rPr>
        <w:t>As a result of becoming a public company, we will be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120" w:lineRule="exact"/>
        <w:rPr>
          <w:sz w:val="20"/>
          <w:szCs w:val="20"/>
          <w:color w:val="auto"/>
        </w:rPr>
      </w:pPr>
    </w:p>
    <w:p>
      <w:pPr>
        <w:ind w:left="460" w:right="759" w:firstLine="432"/>
        <w:spacing w:after="0" w:line="255" w:lineRule="auto"/>
        <w:rPr>
          <w:sz w:val="20"/>
          <w:szCs w:val="20"/>
          <w:color w:val="auto"/>
        </w:rPr>
      </w:pPr>
      <w:r>
        <w:rPr>
          <w:rFonts w:ascii="Arial" w:cs="Arial" w:eastAsia="Arial" w:hAnsi="Arial"/>
          <w:sz w:val="18"/>
          <w:szCs w:val="18"/>
          <w:color w:val="auto"/>
        </w:rPr>
        <w:t>We will be required, pursuant to Section 404 of the Sarbanes-Oxley Act, to furnish a report by management on, among other things, the effectiveness of our internal control over financial reporting for the first fiscal year beginning after the effective date of this offering. This assessment will need to include disclosure of any material weaknesses identified by our management in our internal control over financial reporting, as well as a statement that our auditors have issued an attestation report on effectiveness of our internal controls.</w:t>
      </w:r>
    </w:p>
    <w:p>
      <w:pPr>
        <w:spacing w:after="0" w:line="125"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are in the very early stages of the costly and challenging process of compiling the system and processing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3" w:name="page34"/>
    <w:bookmarkEnd w:id="33"/>
    <w:p>
      <w:pPr>
        <w:ind w:left="460" w:right="459"/>
        <w:spacing w:after="0" w:line="259" w:lineRule="auto"/>
        <w:rPr>
          <w:sz w:val="20"/>
          <w:szCs w:val="20"/>
          <w:color w:val="auto"/>
        </w:rPr>
      </w:pPr>
      <w:r>
        <w:rPr>
          <w:rFonts w:ascii="Arial" w:cs="Arial" w:eastAsia="Arial" w:hAnsi="Arial"/>
          <w:sz w:val="18"/>
          <w:szCs w:val="18"/>
          <w:b w:val="1"/>
          <w:bCs w:val="1"/>
          <w:i w:val="1"/>
          <w:iCs w:val="1"/>
          <w:color w:val="auto"/>
        </w:rPr>
        <w:t>A total of , or %, of our total outstanding shares after the offering are restricted from immediate resale, but may be sold on a stock exchange in the near future. The large number of shares eligible for public sale or subject to rights requiring us to register them for public sale could depress the market price of our common stock.</w:t>
      </w:r>
    </w:p>
    <w:p>
      <w:pPr>
        <w:spacing w:after="0" w:line="119"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market price of our common stock could decline as a result of sales of a large number of shares of our common stock in the market after this offering, and the perception that these sales could occur may also depress</w:t>
      </w:r>
    </w:p>
    <w:p>
      <w:pPr>
        <w:jc w:val="both"/>
        <w:ind w:left="460" w:right="539"/>
        <w:spacing w:after="0" w:line="281" w:lineRule="auto"/>
        <w:rPr>
          <w:sz w:val="20"/>
          <w:szCs w:val="20"/>
          <w:color w:val="auto"/>
        </w:rPr>
      </w:pPr>
      <w:r>
        <w:rPr>
          <w:rFonts w:ascii="Arial" w:cs="Arial" w:eastAsia="Arial" w:hAnsi="Arial"/>
          <w:sz w:val="16"/>
          <w:szCs w:val="16"/>
          <w:color w:val="auto"/>
        </w:rPr>
        <w:t>the market price of our common stock. Based on shares outstanding as of , 2020, we will have shares of common stock outstanding after this offering. Of these shares, the common stock sold in this offering will be freely tradable in the United States, except for any shares purchased by our “affiliates” as defined in Rule 144</w:t>
      </w:r>
    </w:p>
    <w:p>
      <w:pPr>
        <w:spacing w:after="0" w:line="2" w:lineRule="exact"/>
        <w:rPr>
          <w:sz w:val="20"/>
          <w:szCs w:val="20"/>
          <w:color w:val="auto"/>
        </w:rPr>
      </w:pPr>
    </w:p>
    <w:p>
      <w:pPr>
        <w:ind w:left="460" w:right="479"/>
        <w:spacing w:after="0" w:line="252" w:lineRule="auto"/>
        <w:rPr>
          <w:sz w:val="20"/>
          <w:szCs w:val="20"/>
          <w:color w:val="auto"/>
        </w:rPr>
      </w:pPr>
      <w:r>
        <w:rPr>
          <w:rFonts w:ascii="Arial" w:cs="Arial" w:eastAsia="Arial" w:hAnsi="Arial"/>
          <w:sz w:val="18"/>
          <w:szCs w:val="18"/>
          <w:color w:val="auto"/>
        </w:rPr>
        <w:t>under the Securities Act of 1933. The holders of shares of outstanding common stock have agreed with the underwriters, subject to certain exceptions, not to dispose of or hedge any of their common stock during the 180-day period beginning on the date of this prospectus, except with the prior written consent of the underwriters. After the expiration of the 180-day restricted period, these shares may be sold in the public market in the United States, subject to prior registration in the United States, if required, or reliance upon an exemption from U.S. registration, including, in the case of shares held by affiliates or control persons, compliance with the volume restrictions of Rule 144.</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420" w:type="dxa"/>
            <w:vAlign w:val="bottom"/>
            <w:gridSpan w:val="3"/>
          </w:tcPr>
          <w:p>
            <w:pPr>
              <w:spacing w:after="0"/>
              <w:rPr>
                <w:sz w:val="20"/>
                <w:szCs w:val="20"/>
                <w:color w:val="auto"/>
              </w:rPr>
            </w:pPr>
            <w:r>
              <w:rPr>
                <w:rFonts w:ascii="Arial" w:cs="Arial" w:eastAsia="Arial" w:hAnsi="Arial"/>
                <w:sz w:val="16"/>
                <w:szCs w:val="16"/>
                <w:b w:val="1"/>
                <w:bCs w:val="1"/>
                <w:color w:val="auto"/>
              </w:rPr>
              <w:t>Number of Shares and % of</w:t>
            </w:r>
          </w:p>
        </w:tc>
        <w:tc>
          <w:tcPr>
            <w:tcW w:w="5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20" w:type="dxa"/>
            <w:vAlign w:val="bottom"/>
            <w:gridSpan w:val="3"/>
          </w:tcPr>
          <w:p>
            <w:pPr>
              <w:spacing w:after="0"/>
              <w:rPr>
                <w:sz w:val="20"/>
                <w:szCs w:val="20"/>
                <w:color w:val="auto"/>
              </w:rPr>
            </w:pPr>
            <w:r>
              <w:rPr>
                <w:rFonts w:ascii="Arial" w:cs="Arial" w:eastAsia="Arial" w:hAnsi="Arial"/>
                <w:sz w:val="16"/>
                <w:szCs w:val="16"/>
                <w:b w:val="1"/>
                <w:bCs w:val="1"/>
                <w:color w:val="auto"/>
              </w:rPr>
              <w:t>Total Outstanding</w:t>
            </w:r>
          </w:p>
        </w:tc>
        <w:tc>
          <w:tcPr>
            <w:tcW w:w="5680" w:type="dxa"/>
            <w:vAlign w:val="bottom"/>
          </w:tcPr>
          <w:p>
            <w:pPr>
              <w:ind w:left="1340"/>
              <w:spacing w:after="0"/>
              <w:rPr>
                <w:sz w:val="20"/>
                <w:szCs w:val="20"/>
                <w:color w:val="auto"/>
              </w:rPr>
            </w:pPr>
            <w:r>
              <w:rPr>
                <w:rFonts w:ascii="Arial" w:cs="Arial" w:eastAsia="Arial" w:hAnsi="Arial"/>
                <w:sz w:val="16"/>
                <w:szCs w:val="16"/>
                <w:b w:val="1"/>
                <w:bCs w:val="1"/>
                <w:color w:val="auto"/>
              </w:rPr>
              <w:t>Date Available for Sale into Public Markets</w:t>
            </w:r>
          </w:p>
        </w:tc>
        <w:tc>
          <w:tcPr>
            <w:tcW w:w="0" w:type="dxa"/>
            <w:vAlign w:val="bottom"/>
          </w:tcPr>
          <w:p>
            <w:pPr>
              <w:spacing w:after="0"/>
              <w:rPr>
                <w:sz w:val="1"/>
                <w:szCs w:val="1"/>
                <w:color w:val="auto"/>
              </w:rPr>
            </w:pPr>
          </w:p>
        </w:tc>
      </w:tr>
      <w:tr>
        <w:trPr>
          <w:trHeight w:val="47"/>
        </w:trPr>
        <w:tc>
          <w:tcPr>
            <w:tcW w:w="8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800" w:type="dxa"/>
            <w:vAlign w:val="bottom"/>
          </w:tcPr>
          <w:p>
            <w:pPr>
              <w:ind w:left="360"/>
              <w:spacing w:after="0"/>
              <w:rPr>
                <w:sz w:val="20"/>
                <w:szCs w:val="20"/>
                <w:color w:val="auto"/>
              </w:rPr>
            </w:pPr>
            <w:r>
              <w:rPr>
                <w:rFonts w:ascii="Arial" w:cs="Arial" w:eastAsia="Arial" w:hAnsi="Arial"/>
                <w:sz w:val="18"/>
                <w:szCs w:val="18"/>
                <w:color w:val="auto"/>
              </w:rPr>
              <w:t>, or</w:t>
            </w:r>
          </w:p>
        </w:tc>
        <w:tc>
          <w:tcPr>
            <w:tcW w:w="152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Immediately after this offering.</w:t>
            </w:r>
          </w:p>
        </w:tc>
        <w:tc>
          <w:tcPr>
            <w:tcW w:w="0" w:type="dxa"/>
            <w:vAlign w:val="bottom"/>
          </w:tcPr>
          <w:p>
            <w:pPr>
              <w:spacing w:after="0"/>
              <w:rPr>
                <w:sz w:val="1"/>
                <w:szCs w:val="1"/>
                <w:color w:val="auto"/>
              </w:rPr>
            </w:pPr>
          </w:p>
        </w:tc>
      </w:tr>
      <w:tr>
        <w:trPr>
          <w:trHeight w:val="390"/>
        </w:trPr>
        <w:tc>
          <w:tcPr>
            <w:tcW w:w="800" w:type="dxa"/>
            <w:vAlign w:val="bottom"/>
          </w:tcPr>
          <w:p>
            <w:pPr>
              <w:ind w:left="360"/>
              <w:spacing w:after="0"/>
              <w:rPr>
                <w:sz w:val="20"/>
                <w:szCs w:val="20"/>
                <w:color w:val="auto"/>
              </w:rPr>
            </w:pPr>
            <w:r>
              <w:rPr>
                <w:rFonts w:ascii="Arial" w:cs="Arial" w:eastAsia="Arial" w:hAnsi="Arial"/>
                <w:sz w:val="18"/>
                <w:szCs w:val="18"/>
                <w:color w:val="auto"/>
              </w:rPr>
              <w:t>, or</w:t>
            </w:r>
          </w:p>
        </w:tc>
        <w:tc>
          <w:tcPr>
            <w:tcW w:w="152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3"/>
              </w:rPr>
              <w:t>180 days after the date of this prospectus due to contractual obligations and</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0"/>
              </w:rPr>
              <w:t>lock-up agreements between the holders of these shares and the underwriters.</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However, the underwriters can waive the provisions of these lock-up</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7"/>
              </w:rPr>
              <w:t>agreements and allow these stockholders to sell their shares at any time,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9"/>
              </w:rPr>
              <w:t>provided their respective one-year holding periods under Rule 144 have</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expired.</w:t>
            </w:r>
          </w:p>
        </w:tc>
        <w:tc>
          <w:tcPr>
            <w:tcW w:w="0" w:type="dxa"/>
            <w:vAlign w:val="bottom"/>
          </w:tcPr>
          <w:p>
            <w:pPr>
              <w:spacing w:after="0"/>
              <w:rPr>
                <w:sz w:val="1"/>
                <w:szCs w:val="1"/>
                <w:color w:val="auto"/>
              </w:rPr>
            </w:pPr>
          </w:p>
        </w:tc>
      </w:tr>
      <w:tr>
        <w:trPr>
          <w:trHeight w:val="391"/>
        </w:trPr>
        <w:tc>
          <w:tcPr>
            <w:tcW w:w="800" w:type="dxa"/>
            <w:vAlign w:val="bottom"/>
          </w:tcPr>
          <w:p>
            <w:pPr>
              <w:ind w:left="360"/>
              <w:spacing w:after="0"/>
              <w:rPr>
                <w:sz w:val="20"/>
                <w:szCs w:val="20"/>
                <w:color w:val="auto"/>
              </w:rPr>
            </w:pPr>
            <w:r>
              <w:rPr>
                <w:rFonts w:ascii="Arial" w:cs="Arial" w:eastAsia="Arial" w:hAnsi="Arial"/>
                <w:sz w:val="18"/>
                <w:szCs w:val="18"/>
                <w:color w:val="auto"/>
              </w:rPr>
              <w:t>, or</w:t>
            </w:r>
          </w:p>
        </w:tc>
        <w:tc>
          <w:tcPr>
            <w:tcW w:w="152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6"/>
              </w:rPr>
              <w:t>From time to time after the date 180 days after the date of this prospectus</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upon expiration of their respective one-year holding periods in the U.S.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color w:val="auto"/>
        </w:rPr>
        <w:t>Upon completion of this offering, stockholders owning an aggregate of shares (including convertible shares) will be entitled, under contracts providing for registration rights, to require us to register shares of our common stock owned by them for public sale in the United States. In addition, we intend to file a</w:t>
      </w:r>
    </w:p>
    <w:p>
      <w:pPr>
        <w:ind w:left="460" w:right="619"/>
        <w:spacing w:after="0" w:line="271" w:lineRule="auto"/>
        <w:rPr>
          <w:sz w:val="20"/>
          <w:szCs w:val="20"/>
          <w:color w:val="auto"/>
        </w:rPr>
      </w:pPr>
      <w:r>
        <w:rPr>
          <w:rFonts w:ascii="Arial" w:cs="Arial" w:eastAsia="Arial" w:hAnsi="Arial"/>
          <w:sz w:val="17"/>
          <w:szCs w:val="17"/>
          <w:color w:val="auto"/>
        </w:rPr>
        <w:t>registration statement to register the approximately shares reserved for future issuance under our equity compensation plans. Upon effectiveness of that registration statement, subject to the satisfaction of applicable exercise periods and, in certain cases, lock-up agreements with the representatives of the underwriters referred to above, the shares of common stock issued upon exercise of outstanding options will be available for immediate resale in the United States in the open market.</w:t>
      </w:r>
    </w:p>
    <w:p>
      <w:pPr>
        <w:spacing w:after="0" w:line="111"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49" w:lineRule="exact"/>
        <w:rPr>
          <w:sz w:val="20"/>
          <w:szCs w:val="20"/>
          <w:color w:val="auto"/>
        </w:rPr>
      </w:pPr>
    </w:p>
    <w:p>
      <w:pPr>
        <w:ind w:left="460" w:right="799"/>
        <w:spacing w:after="0" w:line="277" w:lineRule="auto"/>
        <w:rPr>
          <w:sz w:val="20"/>
          <w:szCs w:val="20"/>
          <w:color w:val="auto"/>
        </w:rPr>
      </w:pPr>
      <w:r>
        <w:rPr>
          <w:rFonts w:ascii="Arial" w:cs="Arial" w:eastAsia="Arial" w:hAnsi="Arial"/>
          <w:sz w:val="18"/>
          <w:szCs w:val="18"/>
          <w:b w:val="1"/>
          <w:bCs w:val="1"/>
          <w:i w:val="1"/>
          <w:iCs w:val="1"/>
          <w:color w:val="auto"/>
        </w:rPr>
        <w:t>If our shares of common stock become subject to the penny stock rules, it would become more difficult to trade our shares.</w:t>
      </w:r>
    </w:p>
    <w:p>
      <w:pPr>
        <w:spacing w:after="0" w:line="103"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obtain or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ectPr>
          <w:pgSz w:w="11900" w:h="16838" w:orient="portrait"/>
          <w:cols w:equalWidth="0" w:num="1">
            <w:col w:w="9019"/>
          </w:cols>
          <w:pgMar w:left="1440" w:top="341"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4" w:name="page35"/>
    <w:bookmarkEnd w:id="34"/>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p>
    <w:p>
      <w:pPr>
        <w:spacing w:after="0" w:line="116" w:lineRule="exact"/>
        <w:rPr>
          <w:sz w:val="20"/>
          <w:szCs w:val="20"/>
          <w:color w:val="auto"/>
        </w:rPr>
      </w:pPr>
    </w:p>
    <w:p>
      <w:pPr>
        <w:ind w:left="460" w:right="619" w:firstLine="432"/>
        <w:spacing w:after="0" w:line="296" w:lineRule="auto"/>
        <w:rPr>
          <w:sz w:val="20"/>
          <w:szCs w:val="20"/>
          <w:color w:val="auto"/>
        </w:rPr>
      </w:pPr>
      <w:r>
        <w:rPr>
          <w:rFonts w:ascii="Arial" w:cs="Arial" w:eastAsia="Arial" w:hAnsi="Arial"/>
          <w:sz w:val="16"/>
          <w:szCs w:val="16"/>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80" w:lineRule="exact"/>
        <w:rPr>
          <w:sz w:val="20"/>
          <w:szCs w:val="20"/>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57" w:lineRule="exact"/>
        <w:rPr>
          <w:rFonts w:ascii="Arial" w:cs="Arial" w:eastAsia="Arial" w:hAnsi="Arial"/>
          <w:sz w:val="18"/>
          <w:szCs w:val="18"/>
          <w:color w:val="auto"/>
        </w:rPr>
      </w:pPr>
    </w:p>
    <w:p>
      <w:pPr>
        <w:ind w:left="1320" w:right="539" w:hanging="434"/>
        <w:spacing w:after="0" w:line="275" w:lineRule="auto"/>
        <w:tabs>
          <w:tab w:leader="none" w:pos="13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pacing w:after="0" w:line="109"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87" w:lineRule="exact"/>
        <w:rPr>
          <w:sz w:val="20"/>
          <w:szCs w:val="20"/>
          <w:color w:val="auto"/>
        </w:rPr>
      </w:pPr>
    </w:p>
    <w:p>
      <w:pPr>
        <w:ind w:left="460" w:right="879"/>
        <w:spacing w:after="0" w:line="277" w:lineRule="auto"/>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89" w:lineRule="exact"/>
        <w:rPr>
          <w:sz w:val="20"/>
          <w:szCs w:val="20"/>
          <w:color w:val="auto"/>
        </w:rPr>
      </w:pPr>
    </w:p>
    <w:p>
      <w:pPr>
        <w:ind w:left="460" w:right="739" w:firstLine="432"/>
        <w:spacing w:after="0" w:line="291" w:lineRule="auto"/>
        <w:rPr>
          <w:sz w:val="20"/>
          <w:szCs w:val="20"/>
          <w:color w:val="auto"/>
        </w:rPr>
      </w:pPr>
      <w:r>
        <w:rPr>
          <w:rFonts w:ascii="Arial" w:cs="Arial" w:eastAsia="Arial" w:hAnsi="Arial"/>
          <w:sz w:val="16"/>
          <w:szCs w:val="16"/>
          <w:color w:val="auto"/>
        </w:rPr>
        <w:t>The anticipated initial public offering price of our common stock is substantially higher than the net tangible book value per share of our outstanding common stock immediately after this offering. Therefore, if</w:t>
      </w:r>
    </w:p>
    <w:p>
      <w:pPr>
        <w:ind w:left="460" w:right="819"/>
        <w:spacing w:after="0" w:line="281" w:lineRule="auto"/>
        <w:rPr>
          <w:sz w:val="20"/>
          <w:szCs w:val="20"/>
          <w:color w:val="auto"/>
        </w:rPr>
      </w:pPr>
      <w:r>
        <w:rPr>
          <w:rFonts w:ascii="Arial" w:cs="Arial" w:eastAsia="Arial" w:hAnsi="Arial"/>
          <w:sz w:val="16"/>
          <w:szCs w:val="16"/>
          <w:color w:val="auto"/>
        </w:rPr>
        <w:t>you purchase our common stock in this offering, you will incur immediate dilution of $ in the net tangible book value per share from the price you paid. In addition, following this offering, purchasers in the offering will have contributed % of the total consideration paid by our stockholders to purchase shares of</w:t>
      </w:r>
    </w:p>
    <w:p>
      <w:pPr>
        <w:spacing w:after="0" w:line="2"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7260" w:type="dxa"/>
            <w:vAlign w:val="bottom"/>
          </w:tcPr>
          <w:p>
            <w:pPr>
              <w:spacing w:after="0"/>
              <w:rPr>
                <w:sz w:val="20"/>
                <w:szCs w:val="20"/>
                <w:color w:val="auto"/>
              </w:rPr>
            </w:pPr>
            <w:r>
              <w:rPr>
                <w:rFonts w:ascii="Arial" w:cs="Arial" w:eastAsia="Arial" w:hAnsi="Arial"/>
                <w:sz w:val="18"/>
                <w:szCs w:val="18"/>
                <w:color w:val="auto"/>
                <w:w w:val="94"/>
              </w:rPr>
              <w:t>common stock, in exchange for acquiring approximately   % of our total outstanding shares as of</w:t>
            </w:r>
          </w:p>
        </w:tc>
        <w:tc>
          <w:tcPr>
            <w:tcW w:w="640" w:type="dxa"/>
            <w:vAlign w:val="bottom"/>
          </w:tcPr>
          <w:p>
            <w:pPr>
              <w:jc w:val="right"/>
              <w:spacing w:after="0"/>
              <w:rPr>
                <w:sz w:val="20"/>
                <w:szCs w:val="20"/>
                <w:color w:val="auto"/>
              </w:rPr>
            </w:pPr>
            <w:r>
              <w:rPr>
                <w:rFonts w:ascii="Arial" w:cs="Arial" w:eastAsia="Arial" w:hAnsi="Arial"/>
                <w:sz w:val="18"/>
                <w:szCs w:val="18"/>
                <w:color w:val="auto"/>
              </w:rPr>
              <w:t>, 2020</w:t>
            </w:r>
          </w:p>
        </w:tc>
      </w:tr>
    </w:tbl>
    <w:p>
      <w:pPr>
        <w:ind w:left="460"/>
        <w:spacing w:after="0"/>
        <w:rPr>
          <w:sz w:val="20"/>
          <w:szCs w:val="20"/>
          <w:color w:val="auto"/>
        </w:rPr>
      </w:pPr>
      <w:r>
        <w:rPr>
          <w:rFonts w:ascii="Arial" w:cs="Arial" w:eastAsia="Arial" w:hAnsi="Arial"/>
          <w:sz w:val="17"/>
          <w:szCs w:val="17"/>
          <w:color w:val="auto"/>
        </w:rPr>
        <w:t>after giving effect to this offering. The exercise of outstanding stock options will result in further dilution.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The financial and operational projections that we may make from time to time are subject to inherent risks.</w:t>
      </w:r>
    </w:p>
    <w:p>
      <w:pPr>
        <w:spacing w:after="0" w:line="192"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prospectus should not be regarded as an indication that we or our management or representatives considered or consider the projections to be a reliable prediction of future events, and the projections should not be relied upon as such.</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If we were to dissolve, the holders of our securities may lose all or substantial amounts of their investments.</w:t>
      </w:r>
    </w:p>
    <w:p>
      <w:pPr>
        <w:spacing w:after="0" w:line="19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If we were to dissolve as a corporation, as part of ceasing to do business or otherwise, we may be required to pay all amounts owed to any creditors before distributing any assets to the investors. There is a risk that in the event of such a dissolution, there will be insufficient funds to repay amounts owed to holders of any of our indebtedness and insufficient assets to distribute to our other investors, in which case investors could lose their entire investment.</w:t>
      </w:r>
    </w:p>
    <w:p>
      <w:pPr>
        <w:spacing w:after="0" w:line="188" w:lineRule="exact"/>
        <w:rPr>
          <w:sz w:val="20"/>
          <w:szCs w:val="20"/>
          <w:color w:val="auto"/>
        </w:rPr>
      </w:pPr>
    </w:p>
    <w:p>
      <w:pPr>
        <w:ind w:left="460" w:right="759"/>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03"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w:t>
      </w:r>
    </w:p>
    <w:p>
      <w:pPr>
        <w:sectPr>
          <w:pgSz w:w="11900" w:h="16838" w:orient="portrait"/>
          <w:cols w:equalWidth="0" w:num="1">
            <w:col w:w="9019"/>
          </w:cols>
          <w:pgMar w:left="1440" w:top="341" w:right="1440"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5" w:name="page36"/>
    <w:bookmarkEnd w:id="35"/>
    <w:p>
      <w:pPr>
        <w:jc w:val="both"/>
        <w:ind w:left="460" w:right="559"/>
        <w:spacing w:after="0" w:line="286" w:lineRule="auto"/>
        <w:rPr>
          <w:sz w:val="20"/>
          <w:szCs w:val="20"/>
          <w:color w:val="auto"/>
        </w:rPr>
      </w:pPr>
      <w:r>
        <w:rPr>
          <w:rFonts w:ascii="Arial" w:cs="Arial" w:eastAsia="Arial" w:hAnsi="Arial"/>
          <w:sz w:val="17"/>
          <w:szCs w:val="17"/>
          <w:color w:val="auto"/>
        </w:rPr>
        <w:t>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65" w:lineRule="exact"/>
        <w:rPr>
          <w:sz w:val="20"/>
          <w:szCs w:val="20"/>
          <w:color w:val="auto"/>
        </w:rPr>
      </w:pPr>
    </w:p>
    <w:p>
      <w:pPr>
        <w:ind w:left="460" w:right="519"/>
        <w:spacing w:after="0" w:line="259" w:lineRule="auto"/>
        <w:rPr>
          <w:sz w:val="20"/>
          <w:szCs w:val="20"/>
          <w:color w:val="auto"/>
        </w:rPr>
      </w:pPr>
      <w:r>
        <w:rPr>
          <w:rFonts w:ascii="Arial" w:cs="Arial" w:eastAsia="Arial" w:hAnsi="Arial"/>
          <w:sz w:val="18"/>
          <w:szCs w:val="18"/>
          <w:b w:val="1"/>
          <w:bCs w:val="1"/>
          <w:i w:val="1"/>
          <w:iCs w:val="1"/>
          <w:color w:val="auto"/>
        </w:rPr>
        <w:t>We are eligible to be treated as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106"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prospectus and our periodic reports and proxy statements 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and two years of selected financial data in this prospectus. We could be an emerging growth company for up to five years, although circumstances could cause us to lose that status earlier, including if the market value of our common stock held by non-affiliates exceeds $700.0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00"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98" w:lineRule="exact"/>
        <w:rPr>
          <w:sz w:val="20"/>
          <w:szCs w:val="20"/>
          <w:color w:val="auto"/>
        </w:rPr>
      </w:pPr>
    </w:p>
    <w:p>
      <w:pPr>
        <w:ind w:left="460" w:right="659" w:firstLine="432"/>
        <w:spacing w:after="0" w:line="257" w:lineRule="auto"/>
        <w:rPr>
          <w:sz w:val="20"/>
          <w:szCs w:val="20"/>
          <w:color w:val="auto"/>
        </w:rPr>
      </w:pPr>
      <w:r>
        <w:rPr>
          <w:rFonts w:ascii="Arial" w:cs="Arial" w:eastAsia="Arial" w:hAnsi="Arial"/>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have not and do not expect to declare any dividends to our shareholders in the foreseeable future.</w:t>
      </w:r>
    </w:p>
    <w:p>
      <w:pPr>
        <w:spacing w:after="0" w:line="167"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87" w:lineRule="exact"/>
        <w:rPr>
          <w:sz w:val="20"/>
          <w:szCs w:val="20"/>
          <w:color w:val="auto"/>
        </w:rPr>
      </w:pPr>
    </w:p>
    <w:p>
      <w:pPr>
        <w:ind w:left="460" w:right="1259"/>
        <w:spacing w:after="0" w:line="342" w:lineRule="auto"/>
        <w:rPr>
          <w:sz w:val="20"/>
          <w:szCs w:val="20"/>
          <w:color w:val="auto"/>
        </w:rPr>
      </w:pPr>
      <w:r>
        <w:rPr>
          <w:rFonts w:ascii="Arial" w:cs="Arial" w:eastAsia="Arial" w:hAnsi="Arial"/>
          <w:sz w:val="16"/>
          <w:szCs w:val="16"/>
          <w:b w:val="1"/>
          <w:bCs w:val="1"/>
          <w:i w:val="1"/>
          <w:iCs w:val="1"/>
          <w:color w:val="auto"/>
        </w:rPr>
        <w:t>In making your investment decision, you should understand that we and the underwriters have not authorized any other party to provide you with information concerning us or this offering.</w:t>
      </w:r>
    </w:p>
    <w:p>
      <w:pPr>
        <w:spacing w:after="0" w:line="56"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You should carefully evaluate all of the information in this prospectus before investing in our company. We may receive media coverage regarding our company, including coverage that is not directly attributable to statements made by our officers, that incorrectly reports on statements made by our officers or employees, or that is misleading as a result of omitting information provided by us, our officers or employees. We and the underwriters have not authorized any other party to provide you with information concerning us or this offering, and you should not rely on this information in making an investment decision.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ind w:left="460" w:right="679" w:firstLine="432"/>
        <w:spacing w:after="0" w:line="254"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All statements other than statements of historical facts contained in this prospectus,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11" w:lineRule="exact"/>
        <w:rPr>
          <w:sz w:val="20"/>
          <w:szCs w:val="20"/>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market opportunity;</w:t>
      </w:r>
    </w:p>
    <w:p>
      <w:pPr>
        <w:spacing w:after="0" w:line="157" w:lineRule="exact"/>
        <w:rPr>
          <w:rFonts w:ascii="Arial" w:cs="Arial" w:eastAsia="Arial" w:hAnsi="Arial"/>
          <w:sz w:val="18"/>
          <w:szCs w:val="18"/>
          <w:color w:val="auto"/>
        </w:rPr>
      </w:pPr>
    </w:p>
    <w:p>
      <w:pPr>
        <w:ind w:left="1320" w:right="659" w:hanging="434"/>
        <w:spacing w:after="0" w:line="277" w:lineRule="auto"/>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market;</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retain our existing customers and to increase our number of customers;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future growth of the indoor agriculture industry and demands of our customers;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acquisitions and integration of complementary businesses and technologies;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expected use of proceeds from this offering;</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or strengthen awareness of, our brand;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revenue, hiring plans, expenses, capital expenditures, and capital requirements;</w:t>
      </w:r>
    </w:p>
    <w:p>
      <w:pPr>
        <w:spacing w:after="0" w:line="144" w:lineRule="exact"/>
        <w:rPr>
          <w:rFonts w:ascii="Arial" w:cs="Arial" w:eastAsia="Arial" w:hAnsi="Arial"/>
          <w:sz w:val="18"/>
          <w:szCs w:val="18"/>
          <w:color w:val="auto"/>
        </w:rPr>
      </w:pPr>
    </w:p>
    <w:p>
      <w:pPr>
        <w:ind w:left="1320" w:right="819" w:hanging="434"/>
        <w:spacing w:after="0" w:line="277" w:lineRule="auto"/>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comply with new or modified laws and regulations that currently apply or become applicable to our business;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 of key employees or management personnel;</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financial performance and capital requirements; 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5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caution you that the foregoing list may not contain all of the forward-looking statements made in this prospectus.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11"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w:t>
      </w:r>
    </w:p>
    <w:p>
      <w:pPr>
        <w:spacing w:after="0" w:line="96"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MARKET, INDUSTRY AND OTHER DATA</w:t>
      </w:r>
    </w:p>
    <w:p>
      <w:pPr>
        <w:spacing w:after="0" w:line="162"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 party information and cannot assure you of its accuracy or completeness.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87" w:lineRule="exact"/>
        <w:rPr>
          <w:sz w:val="20"/>
          <w:szCs w:val="20"/>
          <w:color w:val="auto"/>
        </w:rPr>
      </w:pPr>
    </w:p>
    <w:p>
      <w:pPr>
        <w:ind w:left="460" w:right="479" w:firstLine="432"/>
        <w:spacing w:after="0" w:line="266" w:lineRule="auto"/>
        <w:rPr>
          <w:sz w:val="20"/>
          <w:szCs w:val="20"/>
          <w:color w:val="auto"/>
        </w:rPr>
      </w:pPr>
      <w:r>
        <w:rPr>
          <w:rFonts w:ascii="Arial" w:cs="Arial" w:eastAsia="Arial" w:hAnsi="Arial"/>
          <w:sz w:val="17"/>
          <w:szCs w:val="17"/>
          <w:color w:val="auto"/>
        </w:rPr>
        <w:t xml:space="preserve">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prospectus may also contain trademarks, service marks and trade names of other companies, which are the property of their respective owners. Our use or display of third parties’ trademarks, service marks, trade names or products in this prospectus is not intended to, and should not be read to, imply a relationship with or endorsement or sponsorship of us. Solely for convenience, some of the copyrights, trade names and trademarks referred to in this prospectus are listed without their </w:t>
      </w:r>
      <w:r>
        <w:rPr>
          <w:rFonts w:ascii="Arial" w:cs="Arial" w:eastAsia="Arial" w:hAnsi="Arial"/>
          <w:sz w:val="19"/>
          <w:szCs w:val="19"/>
          <w:color w:val="auto"/>
          <w:vertAlign w:val="superscript"/>
        </w:rPr>
        <w:t>©</w:t>
      </w:r>
      <w:r>
        <w:rPr>
          <w:rFonts w:ascii="Arial" w:cs="Arial" w:eastAsia="Arial" w:hAnsi="Arial"/>
          <w:sz w:val="17"/>
          <w:szCs w:val="17"/>
          <w:color w:val="auto"/>
        </w:rPr>
        <w:t xml:space="preserve">, </w:t>
      </w:r>
      <w:r>
        <w:rPr>
          <w:rFonts w:ascii="Arial" w:cs="Arial" w:eastAsia="Arial" w:hAnsi="Arial"/>
          <w:sz w:val="19"/>
          <w:szCs w:val="19"/>
          <w:color w:val="auto"/>
          <w:vertAlign w:val="superscript"/>
        </w:rPr>
        <w:t>®</w:t>
      </w:r>
      <w:r>
        <w:rPr>
          <w:rFonts w:ascii="Arial" w:cs="Arial" w:eastAsia="Arial" w:hAnsi="Arial"/>
          <w:sz w:val="17"/>
          <w:szCs w:val="17"/>
          <w:color w:val="auto"/>
        </w:rPr>
        <w:t xml:space="preserve"> and </w:t>
      </w:r>
      <w:r>
        <w:rPr>
          <w:rFonts w:ascii="Arial" w:cs="Arial" w:eastAsia="Arial" w:hAnsi="Arial"/>
          <w:sz w:val="19"/>
          <w:szCs w:val="19"/>
          <w:color w:val="auto"/>
          <w:vertAlign w:val="superscript"/>
        </w:rPr>
        <w:t>™</w:t>
      </w:r>
      <w:r>
        <w:rPr>
          <w:rFonts w:ascii="Arial" w:cs="Arial" w:eastAsia="Arial" w:hAnsi="Arial"/>
          <w:sz w:val="17"/>
          <w:szCs w:val="17"/>
          <w:color w:val="auto"/>
        </w:rPr>
        <w:t xml:space="preserve"> symbols, but we will assert, to the fullest extent under applicable law, our rights to our copyrights, trade names and trademarks. All other trademarks are the property of their respective owners.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460" w:right="659" w:firstLine="432"/>
        <w:spacing w:after="0" w:line="274" w:lineRule="auto"/>
        <w:rPr>
          <w:sz w:val="20"/>
          <w:szCs w:val="20"/>
          <w:color w:val="auto"/>
        </w:rPr>
      </w:pPr>
      <w:r>
        <w:rPr>
          <w:rFonts w:ascii="Arial" w:cs="Arial" w:eastAsia="Arial" w:hAnsi="Arial"/>
          <w:sz w:val="17"/>
          <w:szCs w:val="17"/>
          <w:color w:val="auto"/>
        </w:rPr>
        <w:t>We estimate that we will receive net proceeds from this offering of approximately $ , based on an assumed initial public offering price of $ per share, which is the midpoint of the price range set forth on</w:t>
      </w:r>
    </w:p>
    <w:p>
      <w:pPr>
        <w:ind w:left="460" w:right="679"/>
        <w:spacing w:after="0"/>
        <w:rPr>
          <w:sz w:val="20"/>
          <w:szCs w:val="20"/>
          <w:color w:val="auto"/>
        </w:rPr>
      </w:pPr>
      <w:r>
        <w:rPr>
          <w:rFonts w:ascii="Arial" w:cs="Arial" w:eastAsia="Arial" w:hAnsi="Arial"/>
          <w:sz w:val="12"/>
          <w:szCs w:val="12"/>
          <w:color w:val="auto"/>
        </w:rPr>
        <w:t>the cover of this prospectus, and after deducting the underwriting discounts and commissions, including an underwriting discount of 8.0% (without taking into account an underwriting discount of 3.5% of the public offering price as applied to shares sold to certain investors), and estimated offering expenses payable by us. If the underwriters exercise their option to purchase additional shares, we estimate that we will receive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additional $</w:t>
      </w:r>
      <w:r>
        <w:rPr>
          <w:sz w:val="20"/>
          <w:szCs w:val="20"/>
          <w:color w:val="auto"/>
        </w:rPr>
        <w:tab/>
      </w:r>
      <w:r>
        <w:rPr>
          <w:rFonts w:ascii="Arial" w:cs="Arial" w:eastAsia="Arial" w:hAnsi="Arial"/>
          <w:sz w:val="16"/>
          <w:szCs w:val="16"/>
          <w:color w:val="auto"/>
        </w:rPr>
        <w:t>million in net proceeds.</w:t>
      </w:r>
    </w:p>
    <w:p>
      <w:pPr>
        <w:sectPr>
          <w:pgSz w:w="11900" w:h="16838" w:orient="portrait"/>
          <w:cols w:equalWidth="0" w:num="1">
            <w:col w:w="9019"/>
          </w:cols>
          <w:pgMar w:left="1440" w:top="337" w:right="1440" w:bottom="1440" w:gutter="0" w:footer="0" w:header="0"/>
        </w:sectPr>
      </w:pPr>
    </w:p>
    <w:p>
      <w:pPr>
        <w:spacing w:after="0" w:line="144" w:lineRule="exact"/>
        <w:rPr>
          <w:sz w:val="20"/>
          <w:szCs w:val="20"/>
          <w:color w:val="auto"/>
        </w:rPr>
      </w:pPr>
    </w:p>
    <w:p>
      <w:pPr>
        <w:ind w:left="460" w:firstLine="432"/>
        <w:spacing w:after="0" w:line="277" w:lineRule="auto"/>
        <w:rPr>
          <w:sz w:val="20"/>
          <w:szCs w:val="20"/>
          <w:color w:val="auto"/>
        </w:rPr>
      </w:pPr>
      <w:r>
        <w:rPr>
          <w:rFonts w:ascii="Arial" w:cs="Arial" w:eastAsia="Arial" w:hAnsi="Arial"/>
          <w:sz w:val="18"/>
          <w:szCs w:val="18"/>
          <w:color w:val="auto"/>
        </w:rPr>
        <w:t>A $1.00 increase (decrease) in the assumed initial public offering price of $ (decrease) the net proceeds to us from this offering by $ .</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would increase</w:t>
      </w:r>
    </w:p>
    <w:p>
      <w:pPr>
        <w:spacing w:after="0" w:line="396" w:lineRule="exact"/>
        <w:rPr>
          <w:sz w:val="20"/>
          <w:szCs w:val="20"/>
          <w:color w:val="auto"/>
        </w:rPr>
      </w:pPr>
    </w:p>
    <w:p>
      <w:pPr>
        <w:sectPr>
          <w:pgSz w:w="11900" w:h="16838" w:orient="portrait"/>
          <w:cols w:equalWidth="0" w:num="2">
            <w:col w:w="6320" w:space="480"/>
            <w:col w:w="2219"/>
          </w:cols>
          <w:pgMar w:left="1440" w:top="337" w:right="1440" w:bottom="1440" w:gutter="0" w:footer="0" w:header="0"/>
          <w:type w:val="continuous"/>
        </w:sectPr>
      </w:pPr>
    </w:p>
    <w:p>
      <w:pPr>
        <w:ind w:left="880"/>
        <w:spacing w:after="0"/>
        <w:rPr>
          <w:sz w:val="20"/>
          <w:szCs w:val="20"/>
          <w:color w:val="auto"/>
        </w:rPr>
      </w:pPr>
      <w:r>
        <w:rPr>
          <w:rFonts w:ascii="Arial" w:cs="Arial" w:eastAsia="Arial" w:hAnsi="Arial"/>
          <w:sz w:val="18"/>
          <w:szCs w:val="18"/>
          <w:color w:val="auto"/>
        </w:rPr>
        <w:t>We intend to use the net proceeds from this offering for the following purposes:</w:t>
      </w:r>
    </w:p>
    <w:p>
      <w:pPr>
        <w:spacing w:after="0" w:line="158" w:lineRule="exact"/>
        <w:rPr>
          <w:sz w:val="20"/>
          <w:szCs w:val="20"/>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$[__] million on [_______________________];</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$[__] million on [_______________________];</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$[__] million on [_______________________]; and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remainder for working capital and general corporate purposes.</w:t>
      </w:r>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Pending specific utilization of the net proceeds as described above, we intend to invest the net proceeds of the offering in short-term investment grade and U.S. government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We have never paid cash dividends on any of our capital stock and currently intend to retain our future earnings, if any, to fund the development and growth of our business.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jc w:val="both"/>
        <w:ind w:left="460" w:right="839" w:firstLine="432"/>
        <w:spacing w:after="0" w:line="263" w:lineRule="auto"/>
        <w:rPr>
          <w:sz w:val="20"/>
          <w:szCs w:val="20"/>
          <w:color w:val="auto"/>
        </w:rPr>
      </w:pPr>
      <w:r>
        <w:rPr>
          <w:rFonts w:ascii="Arial" w:cs="Arial" w:eastAsia="Arial" w:hAnsi="Arial"/>
          <w:sz w:val="18"/>
          <w:szCs w:val="18"/>
          <w:i w:val="1"/>
          <w:iCs w:val="1"/>
          <w:color w:val="auto"/>
        </w:rPr>
        <w:t>As described elsewhere in this prospectus, all share and per share amounts set forth below have been presented on a retroactive basis to reflect a one-for-[•] reverse stock split of our outstanding common stock implemented on [•], 2020.</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our capitalization as of March 31, 2020:</w:t>
      </w:r>
    </w:p>
    <w:p>
      <w:pPr>
        <w:spacing w:after="0" w:line="158" w:lineRule="exact"/>
        <w:rPr>
          <w:sz w:val="20"/>
          <w:szCs w:val="20"/>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57" w:lineRule="exact"/>
        <w:rPr>
          <w:rFonts w:ascii="Arial" w:cs="Arial" w:eastAsia="Arial" w:hAnsi="Arial"/>
          <w:sz w:val="18"/>
          <w:szCs w:val="18"/>
          <w:color w:val="auto"/>
        </w:rPr>
      </w:pPr>
    </w:p>
    <w:p>
      <w:pPr>
        <w:ind w:left="1320" w:right="599" w:hanging="434"/>
        <w:spacing w:after="0" w:line="287" w:lineRule="auto"/>
        <w:tabs>
          <w:tab w:leader="none" w:pos="1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a pro forma basis, to give effect to the conversion of our outstanding shares of Series A Preferred Stock into ______ shares of common stock immediately prior to the closing of this offering based on a conversion formula equal to the quotient of (i) the lesser of (x) $70 million and</w:t>
      </w:r>
    </w:p>
    <w:p>
      <w:pPr>
        <w:spacing w:after="0" w:line="2" w:lineRule="exact"/>
        <w:rPr>
          <w:rFonts w:ascii="Arial" w:cs="Arial" w:eastAsia="Arial" w:hAnsi="Arial"/>
          <w:sz w:val="16"/>
          <w:szCs w:val="16"/>
          <w:color w:val="auto"/>
        </w:rPr>
      </w:pPr>
    </w:p>
    <w:p>
      <w:pPr>
        <w:ind w:left="1320"/>
        <w:spacing w:after="0"/>
        <w:rPr>
          <w:rFonts w:ascii="Arial" w:cs="Arial" w:eastAsia="Arial" w:hAnsi="Arial"/>
          <w:sz w:val="16"/>
          <w:szCs w:val="16"/>
          <w:color w:val="auto"/>
        </w:rPr>
      </w:pPr>
      <w:r>
        <w:rPr>
          <w:rFonts w:ascii="Arial" w:cs="Arial" w:eastAsia="Arial" w:hAnsi="Arial"/>
          <w:sz w:val="17"/>
          <w:szCs w:val="17"/>
          <w:color w:val="auto"/>
        </w:rPr>
        <w:t>(y) 70% of the aggregate valuation of our company on the date of this prospectus divided by (ii)</w:t>
      </w:r>
    </w:p>
    <w:p>
      <w:pPr>
        <w:spacing w:after="0" w:line="20" w:lineRule="exact"/>
        <w:rPr>
          <w:rFonts w:ascii="Arial" w:cs="Arial" w:eastAsia="Arial" w:hAnsi="Arial"/>
          <w:sz w:val="16"/>
          <w:szCs w:val="16"/>
          <w:color w:val="auto"/>
        </w:rPr>
      </w:pPr>
    </w:p>
    <w:p>
      <w:pPr>
        <w:ind w:left="1320" w:right="659"/>
        <w:spacing w:after="0" w:line="323" w:lineRule="auto"/>
        <w:rPr>
          <w:rFonts w:ascii="Arial" w:cs="Arial" w:eastAsia="Arial" w:hAnsi="Arial"/>
          <w:sz w:val="16"/>
          <w:szCs w:val="16"/>
          <w:color w:val="auto"/>
        </w:rPr>
      </w:pPr>
      <w:r>
        <w:rPr>
          <w:rFonts w:ascii="Arial" w:cs="Arial" w:eastAsia="Arial" w:hAnsi="Arial"/>
          <w:sz w:val="16"/>
          <w:szCs w:val="16"/>
          <w:color w:val="auto"/>
        </w:rPr>
        <w:t>____________ (which represents the number of total outstanding shares of common stock immediately prior to the consummation of this offering on a fully diluted as-converted basis); and</w:t>
      </w:r>
    </w:p>
    <w:p>
      <w:pPr>
        <w:spacing w:after="0" w:line="57" w:lineRule="exact"/>
        <w:rPr>
          <w:rFonts w:ascii="Arial" w:cs="Arial" w:eastAsia="Arial" w:hAnsi="Arial"/>
          <w:sz w:val="16"/>
          <w:szCs w:val="16"/>
          <w:color w:val="auto"/>
        </w:rPr>
      </w:pPr>
    </w:p>
    <w:p>
      <w:pPr>
        <w:ind w:left="1320" w:right="559" w:hanging="434"/>
        <w:spacing w:after="0" w:line="257" w:lineRule="auto"/>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(i) the sale of _______ shares of common stock by us in this offering at the initial public offering price of $ ___ per share, which is the midpoint of the estimated offering price range set forth on the cover page of this prospectus, and after deducting the estimated underwriting discounts and commissions and estimated offering expenses payable by us.</w:t>
      </w:r>
    </w:p>
    <w:p>
      <w:pPr>
        <w:spacing w:after="0" w:line="120"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the financial statements and related notes included elsewhere in this prospectus.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March 31, 2020</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4"/>
              </w:rPr>
              <w:t>Pro Forma</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240" w:type="dxa"/>
            <w:vAlign w:val="bottom"/>
            <w:gridSpan w:val="3"/>
          </w:tcPr>
          <w:p>
            <w:pPr>
              <w:ind w:left="340"/>
              <w:spacing w:after="0"/>
              <w:rPr>
                <w:sz w:val="20"/>
                <w:szCs w:val="20"/>
                <w:color w:val="auto"/>
              </w:rPr>
            </w:pPr>
            <w:r>
              <w:rPr>
                <w:rFonts w:ascii="Arial" w:cs="Arial" w:eastAsia="Arial" w:hAnsi="Arial"/>
                <w:sz w:val="16"/>
                <w:szCs w:val="16"/>
                <w:b w:val="1"/>
                <w:bCs w:val="1"/>
                <w:color w:val="auto"/>
              </w:rPr>
              <w:t>Actual</w:t>
            </w:r>
          </w:p>
        </w:tc>
        <w:tc>
          <w:tcPr>
            <w:tcW w:w="1220" w:type="dxa"/>
            <w:vAlign w:val="bottom"/>
            <w:gridSpan w:val="2"/>
          </w:tcPr>
          <w:p>
            <w:pPr>
              <w:ind w:left="180"/>
              <w:spacing w:after="0"/>
              <w:rPr>
                <w:sz w:val="20"/>
                <w:szCs w:val="20"/>
                <w:color w:val="auto"/>
              </w:rPr>
            </w:pPr>
            <w:r>
              <w:rPr>
                <w:rFonts w:ascii="Arial" w:cs="Arial" w:eastAsia="Arial" w:hAnsi="Arial"/>
                <w:sz w:val="16"/>
                <w:szCs w:val="16"/>
                <w:b w:val="1"/>
                <w:bCs w:val="1"/>
                <w:color w:val="auto"/>
              </w:rPr>
              <w:t>Pro Forma</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As Adjusted</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360" w:type="dxa"/>
            <w:vAlign w:val="bottom"/>
          </w:tcPr>
          <w:p>
            <w:pPr>
              <w:ind w:left="180"/>
              <w:spacing w:after="0" w:line="201" w:lineRule="exact"/>
              <w:rPr>
                <w:sz w:val="20"/>
                <w:szCs w:val="20"/>
                <w:color w:val="auto"/>
              </w:rPr>
            </w:pPr>
            <w:r>
              <w:rPr>
                <w:rFonts w:ascii="Arial" w:cs="Arial" w:eastAsia="Arial" w:hAnsi="Arial"/>
                <w:sz w:val="18"/>
                <w:szCs w:val="18"/>
                <w:color w:val="auto"/>
              </w:rPr>
              <w:t>Preferred stock, $.001 par value, 3,000,000 shares</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60"/>
              <w:spacing w:after="0"/>
              <w:rPr>
                <w:sz w:val="20"/>
                <w:szCs w:val="20"/>
                <w:color w:val="auto"/>
              </w:rPr>
            </w:pPr>
            <w:r>
              <w:rPr>
                <w:rFonts w:ascii="Arial" w:cs="Arial" w:eastAsia="Arial" w:hAnsi="Arial"/>
                <w:sz w:val="18"/>
                <w:szCs w:val="18"/>
                <w:color w:val="auto"/>
                <w:w w:val="98"/>
              </w:rPr>
              <w:t>authorized; 60,000 shares issued and outstanding.</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$.001 par value, 50,000,000 shares</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authorized; 6,662,028 shares issued and outstanding;</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__________ shares issued and outstanding,</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adjusted</w:t>
            </w:r>
            <w:r>
              <w:rPr>
                <w:rFonts w:ascii="Arial" w:cs="Arial" w:eastAsia="Arial" w:hAnsi="Arial"/>
                <w:sz w:val="20"/>
                <w:szCs w:val="20"/>
                <w:color w:val="auto"/>
                <w:vertAlign w:val="superscript"/>
              </w:rPr>
              <w:t>(1)</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11,538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(8,306)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Arial" w:cs="Arial" w:eastAsia="Arial" w:hAnsi="Arial"/>
                <w:sz w:val="18"/>
                <w:szCs w:val="18"/>
                <w:color w:val="auto"/>
              </w:rPr>
              <w:t>Other comprehensive income</w:t>
            </w: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 (deficit)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48895</wp:posOffset>
            </wp:positionV>
            <wp:extent cx="23660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number of shares of our common stock outstanding set forth in the table above excludes:</w:t>
      </w:r>
    </w:p>
    <w:p>
      <w:pPr>
        <w:spacing w:after="0" w:line="144" w:lineRule="exact"/>
        <w:rPr>
          <w:sz w:val="20"/>
          <w:szCs w:val="20"/>
          <w:color w:val="auto"/>
        </w:rPr>
      </w:pPr>
    </w:p>
    <w:p>
      <w:pPr>
        <w:ind w:left="1320" w:right="599" w:hanging="434"/>
        <w:spacing w:after="0" w:line="277" w:lineRule="auto"/>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________ shares of common stock issuable upon the exercise of outstanding options at a weighted average exercise price of $___ per share;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_____ shares reserved for issuance under our equity incentive plan; and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____ shares reserved for issuance under the Representative’s Warrant.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DILUTION</w:t>
      </w:r>
    </w:p>
    <w:p>
      <w:pPr>
        <w:spacing w:after="0" w:line="162" w:lineRule="exact"/>
        <w:rPr>
          <w:sz w:val="20"/>
          <w:szCs w:val="20"/>
          <w:color w:val="auto"/>
        </w:rPr>
      </w:pPr>
    </w:p>
    <w:p>
      <w:pPr>
        <w:jc w:val="both"/>
        <w:ind w:left="460" w:right="839" w:firstLine="432"/>
        <w:spacing w:after="0" w:line="263" w:lineRule="auto"/>
        <w:rPr>
          <w:sz w:val="20"/>
          <w:szCs w:val="20"/>
          <w:color w:val="auto"/>
        </w:rPr>
      </w:pPr>
      <w:r>
        <w:rPr>
          <w:rFonts w:ascii="Arial" w:cs="Arial" w:eastAsia="Arial" w:hAnsi="Arial"/>
          <w:sz w:val="18"/>
          <w:szCs w:val="18"/>
          <w:i w:val="1"/>
          <w:iCs w:val="1"/>
          <w:color w:val="auto"/>
        </w:rPr>
        <w:t>As described elsewhere in this prospectus, all share and per share amounts set forth below have been presented on a retroactive basis to reflect a one-for-[•] reverse stock split of our outstanding common stock implemented on [•], 2020.</w:t>
      </w:r>
    </w:p>
    <w:p>
      <w:pPr>
        <w:spacing w:after="0" w:line="89"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“Net tangible book value” is total assets minus the sum of liabilities and intangible assets. “Net tangible book value per share” is net tangible book value divided by the total number of shares outstanding on March 31, 2020. After giving pro forma effect to the conversion of our outstanding shares of Series A Preferred Stock into</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 shares of common stock immediately prior to the consummation of this offering based on a conversion</w:t>
      </w:r>
    </w:p>
    <w:p>
      <w:pPr>
        <w:spacing w:after="0" w:line="32" w:lineRule="exact"/>
        <w:rPr>
          <w:sz w:val="20"/>
          <w:szCs w:val="20"/>
          <w:color w:val="auto"/>
        </w:rPr>
      </w:pPr>
    </w:p>
    <w:p>
      <w:pPr>
        <w:ind w:left="460" w:right="639"/>
        <w:spacing w:after="0" w:line="281" w:lineRule="auto"/>
        <w:rPr>
          <w:sz w:val="20"/>
          <w:szCs w:val="20"/>
          <w:color w:val="auto"/>
        </w:rPr>
      </w:pPr>
      <w:r>
        <w:rPr>
          <w:rFonts w:ascii="Arial" w:cs="Arial" w:eastAsia="Arial" w:hAnsi="Arial"/>
          <w:sz w:val="16"/>
          <w:szCs w:val="16"/>
          <w:color w:val="auto"/>
        </w:rPr>
        <w:t>formula equal to the quotient of (i) the lesser of (x) $70 million and (y) 70% of the aggregate valuation of our company on the date of this prospectus divided by (ii) ______________ (which represents the number of total</w:t>
      </w:r>
    </w:p>
    <w:p>
      <w:pPr>
        <w:spacing w:after="0" w:line="1" w:lineRule="exact"/>
        <w:rPr>
          <w:sz w:val="20"/>
          <w:szCs w:val="20"/>
          <w:color w:val="auto"/>
        </w:rPr>
      </w:pPr>
    </w:p>
    <w:p>
      <w:pPr>
        <w:ind w:left="460" w:right="519"/>
        <w:spacing w:after="0" w:line="255" w:lineRule="auto"/>
        <w:rPr>
          <w:sz w:val="20"/>
          <w:szCs w:val="20"/>
          <w:color w:val="auto"/>
        </w:rPr>
      </w:pPr>
      <w:r>
        <w:rPr>
          <w:rFonts w:ascii="Arial" w:cs="Arial" w:eastAsia="Arial" w:hAnsi="Arial"/>
          <w:sz w:val="18"/>
          <w:szCs w:val="18"/>
          <w:color w:val="auto"/>
        </w:rPr>
        <w:t>outstanding shares of common stock immediately prior to the consummation of this offering on a fully diluted as-converted basis), our pro forma net tangible book value on March 31, 2020 was approximately $___ million, or $__ per share.</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840" w:type="dxa"/>
            <w:vAlign w:val="bottom"/>
            <w:gridSpan w:val="3"/>
          </w:tcPr>
          <w:p>
            <w:pPr>
              <w:ind w:left="420"/>
              <w:spacing w:after="0"/>
              <w:rPr>
                <w:sz w:val="20"/>
                <w:szCs w:val="20"/>
                <w:color w:val="auto"/>
              </w:rPr>
            </w:pPr>
            <w:r>
              <w:rPr>
                <w:rFonts w:ascii="Arial" w:cs="Arial" w:eastAsia="Arial" w:hAnsi="Arial"/>
                <w:sz w:val="18"/>
                <w:szCs w:val="18"/>
                <w:color w:val="auto"/>
                <w:w w:val="92"/>
              </w:rPr>
              <w:t>After giving effect to our issuance and sale of shares of common stock in this offering at an assumed</w:t>
            </w:r>
          </w:p>
        </w:tc>
        <w:tc>
          <w:tcPr>
            <w:tcW w:w="260" w:type="dxa"/>
            <w:vAlign w:val="bottom"/>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initial public offering price of $</w:t>
            </w: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w w:val="91"/>
              </w:rPr>
              <w:t>per share, the mid-point of the estimated price range shown on the cover</w:t>
            </w:r>
          </w:p>
        </w:tc>
      </w:tr>
      <w:tr>
        <w:trPr>
          <w:trHeight w:val="216"/>
        </w:trPr>
        <w:tc>
          <w:tcPr>
            <w:tcW w:w="7840" w:type="dxa"/>
            <w:vAlign w:val="bottom"/>
            <w:gridSpan w:val="3"/>
          </w:tcPr>
          <w:p>
            <w:pPr>
              <w:spacing w:after="0"/>
              <w:rPr>
                <w:sz w:val="20"/>
                <w:szCs w:val="20"/>
                <w:color w:val="auto"/>
              </w:rPr>
            </w:pPr>
            <w:r>
              <w:rPr>
                <w:rFonts w:ascii="Arial" w:cs="Arial" w:eastAsia="Arial" w:hAnsi="Arial"/>
                <w:sz w:val="18"/>
                <w:szCs w:val="18"/>
                <w:color w:val="auto"/>
                <w:w w:val="89"/>
              </w:rPr>
              <w:t>of this prospectus, after deducting the estimated underwriting discounts and offering expenses payable by us,</w:t>
            </w:r>
          </w:p>
        </w:tc>
        <w:tc>
          <w:tcPr>
            <w:tcW w:w="260" w:type="dxa"/>
            <w:vAlign w:val="bottom"/>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w w:val="94"/>
              </w:rPr>
              <w:t>the pro forma as adjusted net tangible book value as of March 31, 2020 would have been $</w:t>
            </w:r>
          </w:p>
        </w:tc>
        <w:tc>
          <w:tcPr>
            <w:tcW w:w="980" w:type="dxa"/>
            <w:vAlign w:val="bottom"/>
          </w:tcPr>
          <w:p>
            <w:pPr>
              <w:jc w:val="right"/>
              <w:ind w:right="421"/>
              <w:spacing w:after="0"/>
              <w:rPr>
                <w:sz w:val="20"/>
                <w:szCs w:val="20"/>
                <w:color w:val="auto"/>
              </w:rPr>
            </w:pPr>
            <w:r>
              <w:rPr>
                <w:rFonts w:ascii="Arial" w:cs="Arial" w:eastAsia="Arial" w:hAnsi="Arial"/>
                <w:sz w:val="18"/>
                <w:szCs w:val="18"/>
                <w:color w:val="auto"/>
              </w:rPr>
              <w:t>, or $</w:t>
            </w:r>
          </w:p>
        </w:tc>
        <w:tc>
          <w:tcPr>
            <w:tcW w:w="260" w:type="dxa"/>
            <w:vAlign w:val="bottom"/>
          </w:tcPr>
          <w:p>
            <w:pPr>
              <w:spacing w:after="0"/>
              <w:rPr>
                <w:sz w:val="20"/>
                <w:szCs w:val="20"/>
                <w:color w:val="auto"/>
              </w:rPr>
            </w:pPr>
            <w:r>
              <w:rPr>
                <w:rFonts w:ascii="Arial" w:cs="Arial" w:eastAsia="Arial" w:hAnsi="Arial"/>
                <w:sz w:val="18"/>
                <w:szCs w:val="18"/>
                <w:color w:val="auto"/>
                <w:w w:val="92"/>
              </w:rPr>
              <w:t>per</w:t>
            </w:r>
          </w:p>
        </w:tc>
      </w:tr>
      <w:tr>
        <w:trPr>
          <w:trHeight w:val="216"/>
        </w:trPr>
        <w:tc>
          <w:tcPr>
            <w:tcW w:w="7840" w:type="dxa"/>
            <w:vAlign w:val="bottom"/>
            <w:gridSpan w:val="3"/>
          </w:tcPr>
          <w:p>
            <w:pPr>
              <w:spacing w:after="0"/>
              <w:rPr>
                <w:sz w:val="20"/>
                <w:szCs w:val="20"/>
                <w:color w:val="auto"/>
              </w:rPr>
            </w:pPr>
            <w:r>
              <w:rPr>
                <w:rFonts w:ascii="Arial" w:cs="Arial" w:eastAsia="Arial" w:hAnsi="Arial"/>
                <w:sz w:val="18"/>
                <w:szCs w:val="18"/>
                <w:color w:val="auto"/>
                <w:w w:val="90"/>
              </w:rPr>
              <w:t>share. This represents an immediate increase in pro forma net tangible book value of $____ per share to our</w:t>
            </w:r>
          </w:p>
        </w:tc>
        <w:tc>
          <w:tcPr>
            <w:tcW w:w="260" w:type="dxa"/>
            <w:vAlign w:val="bottom"/>
          </w:tcPr>
          <w:p>
            <w:pPr>
              <w:spacing w:after="0"/>
              <w:rPr>
                <w:sz w:val="18"/>
                <w:szCs w:val="18"/>
                <w:color w:val="auto"/>
              </w:rPr>
            </w:pPr>
          </w:p>
        </w:tc>
      </w:tr>
      <w:tr>
        <w:trPr>
          <w:trHeight w:val="216"/>
        </w:trPr>
        <w:tc>
          <w:tcPr>
            <w:tcW w:w="7840" w:type="dxa"/>
            <w:vAlign w:val="bottom"/>
            <w:gridSpan w:val="3"/>
          </w:tcPr>
          <w:p>
            <w:pPr>
              <w:spacing w:after="0"/>
              <w:rPr>
                <w:sz w:val="20"/>
                <w:szCs w:val="20"/>
                <w:color w:val="auto"/>
              </w:rPr>
            </w:pPr>
            <w:r>
              <w:rPr>
                <w:rFonts w:ascii="Arial" w:cs="Arial" w:eastAsia="Arial" w:hAnsi="Arial"/>
                <w:sz w:val="18"/>
                <w:szCs w:val="18"/>
                <w:color w:val="auto"/>
                <w:w w:val="92"/>
              </w:rPr>
              <w:t>existing stockholders and an immediate dilution in pro forma net tangible book value of $____ per share to</w:t>
            </w:r>
          </w:p>
        </w:tc>
        <w:tc>
          <w:tcPr>
            <w:tcW w:w="260" w:type="dxa"/>
            <w:vAlign w:val="bottom"/>
          </w:tcPr>
          <w:p>
            <w:pPr>
              <w:spacing w:after="0"/>
              <w:rPr>
                <w:sz w:val="18"/>
                <w:szCs w:val="18"/>
                <w:color w:val="auto"/>
              </w:rPr>
            </w:pPr>
          </w:p>
        </w:tc>
      </w:tr>
      <w:tr>
        <w:trPr>
          <w:trHeight w:val="230"/>
        </w:trPr>
        <w:tc>
          <w:tcPr>
            <w:tcW w:w="7840" w:type="dxa"/>
            <w:vAlign w:val="bottom"/>
            <w:gridSpan w:val="3"/>
          </w:tcPr>
          <w:p>
            <w:pPr>
              <w:spacing w:after="0"/>
              <w:rPr>
                <w:sz w:val="20"/>
                <w:szCs w:val="20"/>
                <w:color w:val="auto"/>
              </w:rPr>
            </w:pPr>
            <w:r>
              <w:rPr>
                <w:rFonts w:ascii="Arial" w:cs="Arial" w:eastAsia="Arial" w:hAnsi="Arial"/>
                <w:sz w:val="18"/>
                <w:szCs w:val="18"/>
                <w:color w:val="auto"/>
              </w:rPr>
              <w:t>investors purchasing shares of common stock in this offering at the assumed public offering price.</w:t>
            </w:r>
          </w:p>
        </w:tc>
        <w:tc>
          <w:tcPr>
            <w:tcW w:w="260" w:type="dxa"/>
            <w:vAlign w:val="bottom"/>
          </w:tcPr>
          <w:p>
            <w:pPr>
              <w:spacing w:after="0"/>
              <w:rPr>
                <w:sz w:val="20"/>
                <w:szCs w:val="20"/>
                <w:color w:val="auto"/>
              </w:rPr>
            </w:pPr>
          </w:p>
        </w:tc>
      </w:tr>
      <w:tr>
        <w:trPr>
          <w:trHeight w:val="351"/>
        </w:trPr>
        <w:tc>
          <w:tcPr>
            <w:tcW w:w="6860" w:type="dxa"/>
            <w:vAlign w:val="bottom"/>
            <w:gridSpan w:val="2"/>
          </w:tcPr>
          <w:p>
            <w:pPr>
              <w:ind w:left="420"/>
              <w:spacing w:after="0"/>
              <w:rPr>
                <w:sz w:val="20"/>
                <w:szCs w:val="20"/>
                <w:color w:val="auto"/>
              </w:rPr>
            </w:pPr>
            <w:r>
              <w:rPr>
                <w:rFonts w:ascii="Arial" w:cs="Arial" w:eastAsia="Arial" w:hAnsi="Arial"/>
                <w:sz w:val="18"/>
                <w:szCs w:val="18"/>
                <w:color w:val="auto"/>
              </w:rPr>
              <w:t>The following table illustrates this dilution:</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6"/>
        </w:trPr>
        <w:tc>
          <w:tcPr>
            <w:tcW w:w="6860" w:type="dxa"/>
            <w:vAlign w:val="bottom"/>
            <w:gridSpan w:val="2"/>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8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98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CCEEFF"/>
            </w:tcBorders>
            <w:shd w:val="clear" w:color="auto" w:fill="CCEEFF"/>
          </w:tcPr>
          <w:p>
            <w:pPr>
              <w:spacing w:after="0"/>
              <w:rPr>
                <w:sz w:val="24"/>
                <w:szCs w:val="24"/>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share as of March 31, 2020</w:t>
            </w: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r>
      <w:tr>
        <w:trPr>
          <w:trHeight w:val="40"/>
        </w:trPr>
        <w:tc>
          <w:tcPr>
            <w:tcW w:w="6860" w:type="dxa"/>
            <w:vAlign w:val="bottom"/>
            <w:tcBorders>
              <w:bottom w:val="single" w:sz="8" w:color="CCEEFF"/>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the offering</w:t>
            </w:r>
          </w:p>
        </w:tc>
        <w:tc>
          <w:tcPr>
            <w:tcW w:w="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r>
      <w:tr>
        <w:trPr>
          <w:trHeight w:val="182"/>
        </w:trPr>
        <w:tc>
          <w:tcPr>
            <w:tcW w:w="6860" w:type="dxa"/>
            <w:vAlign w:val="bottom"/>
            <w:gridSpan w:val="2"/>
          </w:tcPr>
          <w:p>
            <w:pPr>
              <w:spacing w:after="0" w:line="182" w:lineRule="exact"/>
              <w:rPr>
                <w:sz w:val="20"/>
                <w:szCs w:val="20"/>
                <w:color w:val="auto"/>
              </w:rPr>
            </w:pPr>
            <w:r>
              <w:rPr>
                <w:rFonts w:ascii="Arial" w:cs="Arial" w:eastAsia="Arial" w:hAnsi="Arial"/>
                <w:sz w:val="18"/>
                <w:szCs w:val="18"/>
                <w:color w:val="auto"/>
                <w:w w:val="98"/>
              </w:rPr>
              <w:t>Pro forma as adjusted net tangible book value per share as of March 31, 2020 after the</w:t>
            </w:r>
          </w:p>
        </w:tc>
        <w:tc>
          <w:tcPr>
            <w:tcW w:w="9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r>
      <w:tr>
        <w:trPr>
          <w:trHeight w:val="230"/>
        </w:trPr>
        <w:tc>
          <w:tcPr>
            <w:tcW w:w="2520" w:type="dxa"/>
            <w:vAlign w:val="bottom"/>
          </w:tcPr>
          <w:p>
            <w:pPr>
              <w:ind w:left="180"/>
              <w:spacing w:after="0"/>
              <w:rPr>
                <w:sz w:val="20"/>
                <w:szCs w:val="20"/>
                <w:color w:val="auto"/>
              </w:rPr>
            </w:pPr>
            <w:r>
              <w:rPr>
                <w:rFonts w:ascii="Arial" w:cs="Arial" w:eastAsia="Arial" w:hAnsi="Arial"/>
                <w:sz w:val="18"/>
                <w:szCs w:val="18"/>
                <w:color w:val="auto"/>
              </w:rPr>
              <w:t>offering</w:t>
            </w:r>
          </w:p>
        </w:tc>
        <w:tc>
          <w:tcPr>
            <w:tcW w:w="4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0"/>
        </w:trPr>
        <w:tc>
          <w:tcPr>
            <w:tcW w:w="6860" w:type="dxa"/>
            <w:vAlign w:val="bottom"/>
            <w:tcBorders>
              <w:bottom w:val="single" w:sz="8" w:color="CCEEFF"/>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r>
      <w:tr>
        <w:trPr>
          <w:trHeight w:val="244"/>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Dilution per share to new investors in the offering</w:t>
            </w:r>
          </w:p>
        </w:tc>
        <w:tc>
          <w:tcPr>
            <w:tcW w:w="98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spacing w:after="0"/>
              <w:rPr>
                <w:sz w:val="21"/>
                <w:szCs w:val="21"/>
                <w:color w:val="auto"/>
              </w:rPr>
            </w:pPr>
          </w:p>
        </w:tc>
      </w:tr>
      <w:tr>
        <w:trPr>
          <w:trHeight w:val="20"/>
        </w:trPr>
        <w:tc>
          <w:tcPr>
            <w:tcW w:w="25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A $1.00 increase (decrease) in the assumed initial public offering price of $___ per share would increase (decrease) the pro forma net tangible book value by ____, the pro forma net tangible book value per share after</w:t>
      </w:r>
    </w:p>
    <w:p>
      <w:pPr>
        <w:ind w:left="460" w:right="539"/>
        <w:spacing w:after="0" w:line="288" w:lineRule="auto"/>
        <w:rPr>
          <w:sz w:val="20"/>
          <w:szCs w:val="20"/>
          <w:color w:val="auto"/>
        </w:rPr>
      </w:pPr>
      <w:r>
        <w:rPr>
          <w:rFonts w:ascii="Arial" w:cs="Arial" w:eastAsia="Arial" w:hAnsi="Arial"/>
          <w:sz w:val="16"/>
          <w:szCs w:val="16"/>
          <w:color w:val="auto"/>
        </w:rPr>
        <w:t>this offering by $___ per share and the dilution in pro forma net tangible book value per share to investors in this offering by $___ per share, assuming that the number of shares offered by us, as set forth on the cover page of this prospectus, remains the same and after deducting the estimated underwriting discount and offering expenses payable by us. If the underwriters exercise their over-allotment option in full, the pro forma as adjusted net tangible book value will increase to $___ per share, representing an immediate increase to existing stockholders of $ ___ per share and an immediate dilution of $___ per share to new investors. If any shares are issued in connection with outstanding options, you will experience further dilution.</w:t>
      </w:r>
    </w:p>
    <w:p>
      <w:pPr>
        <w:spacing w:after="0" w:line="87"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The following table presents, on a pro forma basis as of March 31, 2020, the differences between the existing stockholders and the new investors purchasing our common stock in this offering with respect to the number of shares purchased from us, the total consideration paid or to be paid to us, which includes net proceeds received from the issuance of common stock, cash received from the exercise of stock options and the</w:t>
      </w:r>
    </w:p>
    <w:tbl>
      <w:tblPr>
        <w:tblLayout w:type="fixed"/>
        <w:tblInd w:w="460" w:type="dxa"/>
        <w:tblCellMar>
          <w:top w:w="0" w:type="dxa"/>
          <w:left w:w="0" w:type="dxa"/>
          <w:bottom w:w="0" w:type="dxa"/>
          <w:right w:w="0" w:type="dxa"/>
        </w:tblCellMar>
      </w:tblPr>
      <w:tr>
        <w:trPr>
          <w:trHeight w:val="203"/>
        </w:trPr>
        <w:tc>
          <w:tcPr>
            <w:tcW w:w="5640" w:type="dxa"/>
            <w:vAlign w:val="bottom"/>
            <w:gridSpan w:val="9"/>
          </w:tcPr>
          <w:p>
            <w:pPr>
              <w:spacing w:after="0" w:line="203" w:lineRule="exact"/>
              <w:rPr>
                <w:sz w:val="20"/>
                <w:szCs w:val="20"/>
                <w:color w:val="auto"/>
              </w:rPr>
            </w:pPr>
            <w:r>
              <w:rPr>
                <w:rFonts w:ascii="Arial" w:cs="Arial" w:eastAsia="Arial" w:hAnsi="Arial"/>
                <w:sz w:val="18"/>
                <w:szCs w:val="18"/>
                <w:color w:val="auto"/>
                <w:w w:val="90"/>
              </w:rPr>
              <w:t>average price per share paid or to be paid to us at the public offering price of $</w:t>
            </w:r>
          </w:p>
        </w:tc>
        <w:tc>
          <w:tcPr>
            <w:tcW w:w="2460" w:type="dxa"/>
            <w:vAlign w:val="bottom"/>
            <w:gridSpan w:val="4"/>
          </w:tcPr>
          <w:p>
            <w:pPr>
              <w:spacing w:after="0" w:line="203" w:lineRule="exact"/>
              <w:rPr>
                <w:sz w:val="20"/>
                <w:szCs w:val="20"/>
                <w:color w:val="auto"/>
              </w:rPr>
            </w:pPr>
            <w:r>
              <w:rPr>
                <w:rFonts w:ascii="Arial" w:cs="Arial" w:eastAsia="Arial" w:hAnsi="Arial"/>
                <w:sz w:val="18"/>
                <w:szCs w:val="18"/>
                <w:color w:val="auto"/>
              </w:rPr>
              <w:t>__________ per share, the</w:t>
            </w:r>
          </w:p>
        </w:tc>
        <w:tc>
          <w:tcPr>
            <w:tcW w:w="0" w:type="dxa"/>
            <w:vAlign w:val="bottom"/>
          </w:tcPr>
          <w:p>
            <w:pPr>
              <w:spacing w:after="0"/>
              <w:rPr>
                <w:sz w:val="1"/>
                <w:szCs w:val="1"/>
                <w:color w:val="auto"/>
              </w:rPr>
            </w:pPr>
          </w:p>
        </w:tc>
      </w:tr>
      <w:tr>
        <w:trPr>
          <w:trHeight w:val="216"/>
        </w:trPr>
        <w:tc>
          <w:tcPr>
            <w:tcW w:w="8100" w:type="dxa"/>
            <w:vAlign w:val="bottom"/>
            <w:gridSpan w:val="13"/>
          </w:tcPr>
          <w:p>
            <w:pPr>
              <w:spacing w:after="0"/>
              <w:rPr>
                <w:sz w:val="20"/>
                <w:szCs w:val="20"/>
                <w:color w:val="auto"/>
              </w:rPr>
            </w:pPr>
            <w:r>
              <w:rPr>
                <w:rFonts w:ascii="Arial" w:cs="Arial" w:eastAsia="Arial" w:hAnsi="Arial"/>
                <w:sz w:val="18"/>
                <w:szCs w:val="18"/>
                <w:color w:val="auto"/>
              </w:rPr>
              <w:t>midpoint of the price range set forth on the cover page of this prospectus, before deducting estimated</w:t>
            </w:r>
          </w:p>
        </w:tc>
        <w:tc>
          <w:tcPr>
            <w:tcW w:w="0" w:type="dxa"/>
            <w:vAlign w:val="bottom"/>
          </w:tcPr>
          <w:p>
            <w:pPr>
              <w:spacing w:after="0"/>
              <w:rPr>
                <w:sz w:val="1"/>
                <w:szCs w:val="1"/>
                <w:color w:val="auto"/>
              </w:rPr>
            </w:pPr>
          </w:p>
        </w:tc>
      </w:tr>
      <w:tr>
        <w:trPr>
          <w:trHeight w:val="230"/>
        </w:trPr>
        <w:tc>
          <w:tcPr>
            <w:tcW w:w="5640" w:type="dxa"/>
            <w:vAlign w:val="bottom"/>
            <w:gridSpan w:val="9"/>
          </w:tcPr>
          <w:p>
            <w:pPr>
              <w:spacing w:after="0"/>
              <w:rPr>
                <w:sz w:val="20"/>
                <w:szCs w:val="20"/>
                <w:color w:val="auto"/>
              </w:rPr>
            </w:pPr>
            <w:r>
              <w:rPr>
                <w:rFonts w:ascii="Arial" w:cs="Arial" w:eastAsia="Arial" w:hAnsi="Arial"/>
                <w:sz w:val="18"/>
                <w:szCs w:val="18"/>
                <w:color w:val="auto"/>
                <w:w w:val="94"/>
              </w:rPr>
              <w:t>underwriting discounts and commissions and estimated offering expenses:</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880" w:type="dxa"/>
            <w:vAlign w:val="bottom"/>
          </w:tcPr>
          <w:p>
            <w:pPr>
              <w:spacing w:after="0"/>
              <w:rPr>
                <w:sz w:val="24"/>
                <w:szCs w:val="24"/>
                <w:color w:val="auto"/>
              </w:rPr>
            </w:pPr>
          </w:p>
        </w:tc>
        <w:tc>
          <w:tcPr>
            <w:tcW w:w="2160" w:type="dxa"/>
            <w:vAlign w:val="bottom"/>
            <w:gridSpan w:val="3"/>
            <w:vMerge w:val="restart"/>
          </w:tcPr>
          <w:p>
            <w:pPr>
              <w:ind w:left="560"/>
              <w:spacing w:after="0"/>
              <w:rPr>
                <w:sz w:val="20"/>
                <w:szCs w:val="20"/>
                <w:color w:val="auto"/>
              </w:rPr>
            </w:pPr>
            <w:r>
              <w:rPr>
                <w:rFonts w:ascii="Arial" w:cs="Arial" w:eastAsia="Arial" w:hAnsi="Arial"/>
                <w:sz w:val="16"/>
                <w:szCs w:val="16"/>
                <w:b w:val="1"/>
                <w:bCs w:val="1"/>
                <w:color w:val="auto"/>
              </w:rPr>
              <w:t>Shares Purchased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vMerge w:val="restart"/>
          </w:tcPr>
          <w:p>
            <w:pPr>
              <w:ind w:left="500"/>
              <w:spacing w:after="0"/>
              <w:rPr>
                <w:sz w:val="20"/>
                <w:szCs w:val="20"/>
                <w:color w:val="auto"/>
              </w:rPr>
            </w:pPr>
            <w:r>
              <w:rPr>
                <w:rFonts w:ascii="Arial" w:cs="Arial" w:eastAsia="Arial" w:hAnsi="Arial"/>
                <w:sz w:val="16"/>
                <w:szCs w:val="16"/>
                <w:b w:val="1"/>
                <w:bCs w:val="1"/>
                <w:color w:val="auto"/>
              </w:rPr>
              <w:t>Total Consideration</w:t>
            </w:r>
          </w:p>
        </w:tc>
        <w:tc>
          <w:tcPr>
            <w:tcW w:w="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16"/>
        </w:trPr>
        <w:tc>
          <w:tcPr>
            <w:tcW w:w="188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2"/>
              </w:rPr>
              <w:t>Price Per</w:t>
            </w:r>
          </w:p>
        </w:tc>
        <w:tc>
          <w:tcPr>
            <w:tcW w:w="0" w:type="dxa"/>
            <w:vAlign w:val="bottom"/>
          </w:tcPr>
          <w:p>
            <w:pPr>
              <w:spacing w:after="0"/>
              <w:rPr>
                <w:sz w:val="1"/>
                <w:szCs w:val="1"/>
                <w:color w:val="auto"/>
              </w:rPr>
            </w:pPr>
          </w:p>
        </w:tc>
      </w:tr>
      <w:tr>
        <w:trPr>
          <w:trHeight w:val="47"/>
        </w:trPr>
        <w:tc>
          <w:tcPr>
            <w:tcW w:w="18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w:t>
            </w:r>
          </w:p>
        </w:tc>
        <w:tc>
          <w:tcPr>
            <w:tcW w:w="920" w:type="dxa"/>
            <w:vAlign w:val="bottom"/>
          </w:tcPr>
          <w:p>
            <w:pPr>
              <w:ind w:left="30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ind w:left="280"/>
              <w:spacing w:after="0"/>
              <w:rPr>
                <w:sz w:val="20"/>
                <w:szCs w:val="20"/>
                <w:color w:val="auto"/>
              </w:rPr>
            </w:pPr>
            <w:r>
              <w:rPr>
                <w:rFonts w:ascii="Arial" w:cs="Arial" w:eastAsia="Arial" w:hAnsi="Arial"/>
                <w:sz w:val="16"/>
                <w:szCs w:val="16"/>
                <w:b w:val="1"/>
                <w:bCs w:val="1"/>
                <w:color w:val="auto"/>
              </w:rPr>
              <w:t>Amount</w:t>
            </w:r>
          </w:p>
        </w:tc>
        <w:tc>
          <w:tcPr>
            <w:tcW w:w="116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Percent</w:t>
            </w:r>
          </w:p>
        </w:tc>
        <w:tc>
          <w:tcPr>
            <w:tcW w:w="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47"/>
        </w:trPr>
        <w:tc>
          <w:tcPr>
            <w:tcW w:w="18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9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3"/>
            <w:shd w:val="clear" w:color="auto" w:fill="CCEEFF"/>
          </w:tcPr>
          <w:p>
            <w:pPr>
              <w:jc w:val="right"/>
              <w:ind w:right="979"/>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109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12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920" w:type="dxa"/>
            <w:vAlign w:val="bottom"/>
          </w:tcPr>
          <w:p>
            <w:pPr>
              <w:spacing w:after="0"/>
              <w:rPr>
                <w:sz w:val="21"/>
                <w:szCs w:val="21"/>
                <w:color w:val="auto"/>
              </w:rPr>
            </w:pPr>
          </w:p>
        </w:tc>
        <w:tc>
          <w:tcPr>
            <w:tcW w:w="1460" w:type="dxa"/>
            <w:vAlign w:val="bottom"/>
            <w:gridSpan w:val="3"/>
          </w:tcPr>
          <w:p>
            <w:pPr>
              <w:jc w:val="right"/>
              <w:ind w:right="979"/>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60" w:type="dxa"/>
            <w:vAlign w:val="bottom"/>
            <w:gridSpan w:val="4"/>
          </w:tcPr>
          <w:p>
            <w:pPr>
              <w:ind w:left="9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1"/>
        </w:trPr>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979"/>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8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Assuming the underwriters’ option to purchase additional shares is exercised in full, sales in this offering will reduce the percentage of shares held by existing stockholders to _____% and will increase the number of</w:t>
      </w:r>
    </w:p>
    <w:p>
      <w:pPr>
        <w:ind w:left="460"/>
        <w:spacing w:after="0"/>
        <w:rPr>
          <w:sz w:val="20"/>
          <w:szCs w:val="20"/>
          <w:color w:val="auto"/>
        </w:rPr>
      </w:pPr>
      <w:r>
        <w:rPr>
          <w:rFonts w:ascii="Arial" w:cs="Arial" w:eastAsia="Arial" w:hAnsi="Arial"/>
          <w:sz w:val="16"/>
          <w:szCs w:val="16"/>
          <w:color w:val="auto"/>
        </w:rPr>
        <w:t>shares held by our new investors to _________ shares, or ____%, assuming no purchases of our common stock</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existing stockholders in this offering.</w:t>
      </w:r>
    </w:p>
    <w:p>
      <w:pPr>
        <w:sectPr>
          <w:pgSz w:w="11900" w:h="16838" w:orient="portrait"/>
          <w:cols w:equalWidth="0" w:num="1">
            <w:col w:w="9019"/>
          </w:cols>
          <w:pgMar w:left="1440" w:top="337"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162"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 The statements of operations data for the fiscal years ended December 31, 2019 and 2018 and the statements of financial condition data as of March 31, 2020 and 2019 are derived from our audited financial statements and interim reviewed financial statements included elsewhere in this prospectus. The statements of operations data for the three months ended March 31, 2020 and 2019 and the statements of financial condition data as of March 31, 2020 and 2019 are derived from our unaudited financial statements included elsewhere in this prospectus.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2460" w:type="dxa"/>
            <w:vAlign w:val="bottom"/>
            <w:gridSpan w:val="8"/>
          </w:tcPr>
          <w:p>
            <w:pPr>
              <w:ind w:left="280"/>
              <w:spacing w:after="0"/>
              <w:rPr>
                <w:sz w:val="20"/>
                <w:szCs w:val="20"/>
                <w:color w:val="auto"/>
              </w:rPr>
            </w:pPr>
            <w:r>
              <w:rPr>
                <w:rFonts w:ascii="Arial" w:cs="Arial" w:eastAsia="Arial" w:hAnsi="Arial"/>
                <w:sz w:val="16"/>
                <w:szCs w:val="16"/>
                <w:b w:val="1"/>
                <w:bCs w:val="1"/>
                <w:color w:val="auto"/>
              </w:rPr>
              <w:t>Year Ended December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6"/>
          </w:tcPr>
          <w:p>
            <w:pPr>
              <w:jc w:val="right"/>
              <w:ind w:right="160"/>
              <w:spacing w:after="0"/>
              <w:rPr>
                <w:sz w:val="20"/>
                <w:szCs w:val="20"/>
                <w:color w:val="auto"/>
              </w:rPr>
            </w:pPr>
            <w:r>
              <w:rPr>
                <w:rFonts w:ascii="Arial" w:cs="Arial" w:eastAsia="Arial" w:hAnsi="Arial"/>
                <w:sz w:val="16"/>
                <w:szCs w:val="16"/>
                <w:b w:val="1"/>
                <w:bCs w:val="1"/>
                <w:color w:val="auto"/>
                <w:w w:val="92"/>
              </w:rPr>
              <w:t>Three months Ended March 31,</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4"/>
              </w:rPr>
              <w:t>Pro Forma</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(unaudited)</w:t>
            </w:r>
          </w:p>
        </w:tc>
        <w:tc>
          <w:tcPr>
            <w:tcW w:w="16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0"/>
                <w:szCs w:val="20"/>
                <w:color w:val="auto"/>
              </w:rPr>
            </w:pPr>
            <w:r>
              <w:rPr>
                <w:rFonts w:ascii="Arial" w:cs="Arial" w:eastAsia="Arial" w:hAnsi="Arial"/>
                <w:sz w:val="18"/>
                <w:szCs w:val="18"/>
                <w:color w:val="auto"/>
              </w:rPr>
              <w:t>Revenue, net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  4,088,000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1,769,000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1,013,000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1,292,000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2,846,000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1,238,000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3,490,000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(3,091,000)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(1,016,000)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(3,449,000)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income (expense), net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Net loss before non-controlling interest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(3,042,000)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(1,014,000)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(3,444,000)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attributable to non-controlling</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(3,042,000)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(1,014,000)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(3,413,000)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64"/>
        </w:trPr>
        <w:tc>
          <w:tcPr>
            <w:tcW w:w="3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6"/>
          </w:tcPr>
          <w:p>
            <w:pPr>
              <w:jc w:val="center"/>
              <w:ind w:left="732"/>
              <w:spacing w:after="0"/>
              <w:rPr>
                <w:sz w:val="20"/>
                <w:szCs w:val="20"/>
                <w:color w:val="auto"/>
              </w:rPr>
            </w:pPr>
            <w:r>
              <w:rPr>
                <w:rFonts w:ascii="Arial" w:cs="Arial" w:eastAsia="Arial" w:hAnsi="Arial"/>
                <w:sz w:val="16"/>
                <w:szCs w:val="16"/>
                <w:b w:val="1"/>
                <w:bCs w:val="1"/>
                <w:color w:val="auto"/>
                <w:w w:val="84"/>
              </w:rPr>
              <w:t>As of</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95"/>
        </w:trPr>
        <w:tc>
          <w:tcPr>
            <w:tcW w:w="3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00" w:type="dxa"/>
            <w:vAlign w:val="bottom"/>
            <w:gridSpan w:val="9"/>
            <w:vMerge w:val="restart"/>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00" w:type="dxa"/>
            <w:vAlign w:val="bottom"/>
            <w:gridSpan w:val="9"/>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restart"/>
          </w:tcPr>
          <w:p>
            <w:pPr>
              <w:jc w:val="center"/>
              <w:ind w:right="200"/>
              <w:spacing w:after="0" w:line="142" w:lineRule="exact"/>
              <w:rPr>
                <w:sz w:val="20"/>
                <w:szCs w:val="20"/>
                <w:color w:val="auto"/>
              </w:rPr>
            </w:pPr>
            <w:r>
              <w:rPr>
                <w:rFonts w:ascii="Arial" w:cs="Arial" w:eastAsia="Arial" w:hAnsi="Arial"/>
                <w:sz w:val="16"/>
                <w:szCs w:val="16"/>
                <w:b w:val="1"/>
                <w:bCs w:val="1"/>
                <w:color w:val="auto"/>
                <w:w w:val="97"/>
              </w:rPr>
              <w:t>March 31,</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206,000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85,000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1,211,000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3,227,000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2,196,000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8,260,000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4,032,000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3,821,000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4,805,000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4,032,000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3,954,000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4,805,000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(805,000)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(1,758,000)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3,239,000</w:t>
            </w:r>
          </w:p>
        </w:tc>
        <w:tc>
          <w:tcPr>
            <w:tcW w:w="0" w:type="dxa"/>
            <w:vAlign w:val="bottom"/>
          </w:tcPr>
          <w:p>
            <w:pPr>
              <w:spacing w:after="0"/>
              <w:rPr>
                <w:sz w:val="1"/>
                <w:szCs w:val="1"/>
                <w:color w:val="auto"/>
              </w:rPr>
            </w:pPr>
          </w:p>
        </w:tc>
      </w:tr>
      <w:tr>
        <w:trPr>
          <w:trHeight w:val="445"/>
        </w:trPr>
        <w:tc>
          <w:tcPr>
            <w:tcW w:w="3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43"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our operations together with its consolidated financial statements and the notes thereto appearing elsewhere in this prospectus. This discussion contains forward-looking statements reflecting our current expectations, whose actual outcomes involve risks and uncertainties. Actual results and the timing of events may differ materially from those stated in or implied by these forward-looking statements due to a number of factors, including those discussed in the sections entitled “Risk Factors”, “Cautionary Statement regarding Forward-Looking Statements” and elsewhere in this prospectus.</w:t>
      </w:r>
    </w:p>
    <w:p>
      <w:pPr>
        <w:spacing w:after="0" w:line="96" w:lineRule="exact"/>
        <w:rPr>
          <w:sz w:val="20"/>
          <w:szCs w:val="20"/>
          <w:color w:val="auto"/>
        </w:rPr>
      </w:pPr>
    </w:p>
    <w:p>
      <w:pPr>
        <w:jc w:val="both"/>
        <w:ind w:left="460" w:right="839" w:firstLine="432"/>
        <w:spacing w:after="0" w:line="263" w:lineRule="auto"/>
        <w:rPr>
          <w:sz w:val="20"/>
          <w:szCs w:val="20"/>
          <w:color w:val="auto"/>
        </w:rPr>
      </w:pPr>
      <w:r>
        <w:rPr>
          <w:rFonts w:ascii="Arial" w:cs="Arial" w:eastAsia="Arial" w:hAnsi="Arial"/>
          <w:sz w:val="18"/>
          <w:szCs w:val="18"/>
          <w:i w:val="1"/>
          <w:iCs w:val="1"/>
          <w:color w:val="auto"/>
        </w:rPr>
        <w:t>As described elsewhere in this prospectus, all share and per share amounts set forth below have been presented on a retroactive basis to reflect a one-for-[•] reverse stock split of our outstanding common stock implemented on [•], 2020.</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 xml:space="preserve">We are a developer of highly advanced and proprietary precision hardware and software grow solutions for the indoor agriculture marketplace. We believe we are the only company with an automated and fully integrated grow solution in the industry. We believe our </w:t>
      </w:r>
      <w:r>
        <w:rPr>
          <w:rFonts w:ascii="Arial" w:cs="Arial" w:eastAsia="Arial" w:hAnsi="Arial"/>
          <w:sz w:val="17"/>
          <w:szCs w:val="17"/>
          <w:i w:val="1"/>
          <w:iCs w:val="1"/>
          <w:color w:val="auto"/>
        </w:rPr>
        <w:t>Agrify</w:t>
      </w:r>
      <w:r>
        <w:rPr>
          <w:rFonts w:ascii="Arial" w:cs="Arial" w:eastAsia="Arial" w:hAnsi="Arial"/>
          <w:sz w:val="17"/>
          <w:szCs w:val="17"/>
          <w:color w:val="auto"/>
        </w:rPr>
        <w:t xml:space="preserve"> “</w:t>
      </w:r>
      <w:r>
        <w:rPr>
          <w:rFonts w:ascii="Arial" w:cs="Arial" w:eastAsia="Arial" w:hAnsi="Arial"/>
          <w:sz w:val="17"/>
          <w:szCs w:val="17"/>
          <w:i w:val="1"/>
          <w:iCs w:val="1"/>
          <w:color w:val="auto"/>
        </w:rPr>
        <w:t>Precision Elevated</w:t>
      </w:r>
      <w:r>
        <w:rPr>
          <w:rFonts w:ascii="Arial" w:cs="Arial" w:eastAsia="Arial" w:hAnsi="Arial"/>
          <w:sz w:val="17"/>
          <w:szCs w:val="17"/>
          <w:color w:val="auto"/>
        </w:rPr>
        <w:t>™”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sector.</w:t>
      </w:r>
    </w:p>
    <w:p>
      <w:pPr>
        <w:spacing w:after="0" w:line="113"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had limited revenues from operations in each of the last two fiscal years, and in the current fiscal year. Through 2018 and 2019, we concentrated our business with TriGrow Systems, Inc., acting as our exclusive distributor. During January 2020, we acquired TriGrow Systems, Inc. and began selling our products directly to end customers.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4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Beginning in the first quarter of 2020, we issued an aggregate of 60,000 shares of our Series A Convertible Preferred Stock, or Series A Preferred Stock, for an aggregate purchase price of $6,000,000. In April 2020, we completed our offering of Series A Preferred with the issuance of an additional 40,000 shares of Series A Preferred for an aggregate purchase price of $4,000,000.</w:t>
      </w:r>
    </w:p>
    <w:p>
      <w:pPr>
        <w:spacing w:after="0" w:line="119"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The Series A Preferred Stock is senior to our shares of common stock, par value $0.001 per share, and each other class or series of our capital stock hereafter created (which we refer to collectively with the common stock as junior stock). Holders of Series A Preferred Stock are entitled to receive, in preference to any dividend paid or declared and set aside for any junior stock, dividends at a per share price equal to the Series A Preferred Stock original issue price at an annual rate equal to 7% compounded annually. Holders of Series A Preferred Stock are entitled to cast the number of votes, rounded down to the nearest whole number, equal to the number of votes that would be attributable to the shares of common stock issuable upon conversion of such shares of Series A Preferred Stock, assuming conversion on the date applicable to the vote. In the event of a liquidation, dissolution or winding up of our company, each share of Series A Preferred Stock will be entitled to a payment as set forth in the Certificate of Designation of the Series A Preferred Stock. The Series A Preferred Stock is convertible, at any time after issuance, into common stock at the election of the holder into an amount of shares equal to (i) the product of the Series A Preferred Stock original price plus accrued but unpaid dividends on the shares being converted, multiplied by the number of shares of Series A Preferred Stock being converted, divided by (ii) a conversion price of $7.43 per share, subject to adjustment.</w:t>
      </w:r>
    </w:p>
    <w:p>
      <w:pPr>
        <w:spacing w:after="0" w:line="103"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In addition, pursuant to its terms, all outstanding shares of Series A Preferred Stock will automatically convert into [•] shares of common stock based on a conversion formula equal to the quotient of (i) the lesser of</w:t>
      </w:r>
    </w:p>
    <w:p>
      <w:pPr>
        <w:ind w:left="460" w:right="479" w:hanging="6"/>
        <w:spacing w:after="0" w:line="273" w:lineRule="auto"/>
        <w:tabs>
          <w:tab w:leader="none" w:pos="7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$70,000,000 and (y) 70% of the aggregate valuation of our company on the date of this prospectus divided by (ii) __________ (which represents the number of total outstanding shares of common stock immediately prior to the consummation of this offering on a fully diluted as-converted basis) immediately prior to the closing of this offering and will therefore no longer be outstanding following this offering.</w:t>
      </w:r>
    </w:p>
    <w:p>
      <w:pPr>
        <w:sectPr>
          <w:pgSz w:w="11900" w:h="16838" w:orient="portrait"/>
          <w:cols w:equalWidth="0" w:num="1">
            <w:col w:w="9019"/>
          </w:cols>
          <w:pgMar w:left="1440" w:top="337"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3" w:name="page44"/>
    <w:bookmarkEnd w:id="43"/>
    <w:p>
      <w:pPr>
        <w:ind w:left="460"/>
        <w:spacing w:after="0"/>
        <w:rPr>
          <w:sz w:val="20"/>
          <w:szCs w:val="20"/>
          <w:color w:val="auto"/>
        </w:rPr>
      </w:pPr>
      <w:r>
        <w:rPr>
          <w:rFonts w:ascii="Arial" w:cs="Arial" w:eastAsia="Arial" w:hAnsi="Arial"/>
          <w:sz w:val="18"/>
          <w:szCs w:val="18"/>
          <w:b w:val="1"/>
          <w:bCs w:val="1"/>
          <w:i w:val="1"/>
          <w:iCs w:val="1"/>
          <w:color w:val="auto"/>
        </w:rPr>
        <w:t>Acquisition of TriGrow</w:t>
      </w:r>
    </w:p>
    <w:p>
      <w:pPr>
        <w:spacing w:after="0" w:line="158"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On January 22, 2020 we completed the acquisition of all outstanding shares of TriGrow. TriGrow is an integrator and exclusive distributor of our premium indoor grow solutions for the indoor controlled agriculture marketplace. As part of the acquisition, we received TriGrow’s 75% interest in TriGrow Brands, LLC, a licensor of established portfolio of consumer brands that utilize our grow technology. In consideration of TriGrow’s shares, we issued to TriGrow’s shareholders 942,028 shares of common stock and assumed an obligation to invest $1,140,000 in a form of a profit interest investment.</w:t>
      </w:r>
    </w:p>
    <w:p>
      <w:pPr>
        <w:spacing w:after="0" w:line="97" w:lineRule="exact"/>
        <w:rPr>
          <w:sz w:val="20"/>
          <w:szCs w:val="20"/>
          <w:color w:val="auto"/>
        </w:rPr>
      </w:pPr>
    </w:p>
    <w:p>
      <w:pPr>
        <w:ind w:left="460" w:right="639" w:firstLine="432"/>
        <w:spacing w:after="0" w:line="271" w:lineRule="auto"/>
        <w:rPr>
          <w:sz w:val="20"/>
          <w:szCs w:val="20"/>
          <w:color w:val="auto"/>
        </w:rPr>
      </w:pPr>
      <w:r>
        <w:rPr>
          <w:rFonts w:ascii="Arial" w:cs="Arial" w:eastAsia="Arial" w:hAnsi="Arial"/>
          <w:sz w:val="17"/>
          <w:szCs w:val="17"/>
          <w:color w:val="auto"/>
        </w:rPr>
        <w:t>As part of the acquisition of TriGrow, we made available 192,251 shares of our common stock for issuance to certain executives of TriGrow upon TriGrow’s and/or our receipt of $10,000,000 of accumulative purchase orders for TriGrow and/or our equipment, products, and services, for the period from November 21, 2019 through June 30, 2020 as a result of the efforts of the TriGrow executives. Such shares of common stock are to be distributed by us in our sole discretion to certain executives responsible for achievement of such milestone. We concluded that the earn-out, if materialized, will be considered as post combination services. Additionally, we concluded that the value associated with the earn-out to be de minimis. No earn-out was earned through March 31, 2020.</w:t>
      </w:r>
    </w:p>
    <w:p>
      <w:pPr>
        <w:spacing w:after="0" w:line="111"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The purchase price for TriGrow was allocated to the tangible and intangible assets acquired and liabilities assumed based on their estimated fair values on the acquisition dates, with the remaining unallocated purchase prices recorded as goodwill. The fair value assigned to identifiable intangible assets acquired was determined primarily by using the income approach, which discounts expected future cash flows to present value using estimates and assumptions determined by our management.</w:t>
      </w:r>
    </w:p>
    <w:p>
      <w:pPr>
        <w:spacing w:after="0" w:line="109"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Transaction and related costs, consisting primarily of professional fees, directly related to the acquisition, totaled $45,000 for the three months ended March 31, 2020. All transaction and related costs were expensed as incurred and are included in selling, general and administrative expenses.</w:t>
      </w:r>
    </w:p>
    <w:p>
      <w:pPr>
        <w:spacing w:after="0" w:line="103"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Fair value still under review include values assigned to identifiable intangible assets and goodwill.</w:t>
      </w:r>
    </w:p>
    <w:p>
      <w:pPr>
        <w:spacing w:after="0" w:line="119"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91440</wp:posOffset>
            </wp:positionV>
            <wp:extent cx="514350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Purchase Prices:</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Obligation to invest cash in profit interest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1,140,000</w:t>
            </w:r>
          </w:p>
        </w:tc>
      </w:tr>
      <w:tr>
        <w:trPr>
          <w:trHeight w:val="40"/>
        </w:trPr>
        <w:tc>
          <w:tcPr>
            <w:tcW w:w="6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stock consideration</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1,356,000</w:t>
            </w: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207,000</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30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2,703,000</w:t>
            </w:r>
          </w:p>
        </w:tc>
      </w:tr>
      <w:tr>
        <w:trPr>
          <w:trHeight w:val="277"/>
        </w:trPr>
        <w:tc>
          <w:tcPr>
            <w:tcW w:w="68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Allocation of Purchase Price:</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assets: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568,000</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Identifiable intangible assets: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Brand rights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930,000</w:t>
            </w:r>
          </w:p>
        </w:tc>
      </w:tr>
      <w:tr>
        <w:trPr>
          <w:trHeight w:val="40"/>
        </w:trPr>
        <w:tc>
          <w:tcPr>
            <w:tcW w:w="6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850,000</w:t>
            </w: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color w:val="auto"/>
              </w:rPr>
              <w:t>Total identifiable intangible assets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1,780,000</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355,000</w:t>
            </w: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purchase price allocation</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2,703,000</w:t>
            </w: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Brand rights and Customer relationships were assigned estimated useful lives of ten years and nine years, respectively, the weighted average of which is approximately 9.5 years.</w:t>
      </w:r>
    </w:p>
    <w:p>
      <w:pPr>
        <w:spacing w:after="0" w:line="89"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amount of revenue of TriGrow included in our condensed consolidated statement of operations from the acquisition date of January 22, 2020 to March 31, 2020 was $855,000.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4" w:name="page45"/>
    <w:bookmarkEnd w:id="44"/>
    <w:p>
      <w:pPr>
        <w:ind w:left="460" w:right="579" w:firstLine="432"/>
        <w:spacing w:after="0" w:line="277" w:lineRule="auto"/>
        <w:rPr>
          <w:sz w:val="20"/>
          <w:szCs w:val="20"/>
          <w:color w:val="auto"/>
        </w:rPr>
      </w:pPr>
      <w:r>
        <w:rPr>
          <w:rFonts w:ascii="Arial" w:cs="Arial" w:eastAsia="Arial" w:hAnsi="Arial"/>
          <w:sz w:val="18"/>
          <w:szCs w:val="18"/>
          <w:color w:val="auto"/>
        </w:rPr>
        <w:t>The following pro forma financial information summarizes the combined results of operations for us and TriGrow, as though the acquisition of TriGrow occurred on January 1, 2019.</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unaudited pro forma financial information was as follows:</w:t>
      </w:r>
    </w:p>
    <w:p>
      <w:pPr>
        <w:spacing w:after="0" w:line="199" w:lineRule="exact"/>
        <w:rPr>
          <w:sz w:val="20"/>
          <w:szCs w:val="20"/>
          <w:color w:val="auto"/>
        </w:rPr>
      </w:pPr>
    </w:p>
    <w:p>
      <w:pPr>
        <w:ind w:left="65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69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1,045,000</w:t>
            </w: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1,465,000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loss before non-controlling interest</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3,562,000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979,000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3,532,000</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971,000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pro forma financial information for all periods presented above has been calculated after adjusting the results of TriGrow to reflect the business combination accounting effects resulting from this acquisition,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25" w:lineRule="exact"/>
        <w:rPr>
          <w:sz w:val="20"/>
          <w:szCs w:val="20"/>
          <w:color w:val="auto"/>
        </w:rPr>
      </w:pPr>
    </w:p>
    <w:p>
      <w:pPr>
        <w:ind w:left="460" w:right="559" w:firstLine="432"/>
        <w:spacing w:after="0" w:line="308" w:lineRule="auto"/>
        <w:rPr>
          <w:sz w:val="20"/>
          <w:szCs w:val="20"/>
          <w:color w:val="auto"/>
        </w:rPr>
      </w:pPr>
      <w:r>
        <w:rPr>
          <w:rFonts w:ascii="Arial" w:cs="Arial" w:eastAsia="Arial" w:hAnsi="Arial"/>
          <w:sz w:val="17"/>
          <w:szCs w:val="17"/>
          <w:color w:val="auto"/>
        </w:rPr>
        <w:t>The pro forma financial information is for informational purposes only and is not indicative of the results of operations that would have been achieved if the acquisition had taken place on January 1, 2019.</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Impact of coronavirus pandemic (“COVID-19”)</w:t>
      </w:r>
    </w:p>
    <w:p>
      <w:pPr>
        <w:spacing w:after="0" w:line="14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20"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To date, although all of our operations are operating, COVID-19 has caused some disruptions to our business. However, 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Paycheck Protection Program Loan under the Coronavirus Aid, Relief, and Economic Security Act</w:t>
      </w:r>
    </w:p>
    <w:p>
      <w:pPr>
        <w:spacing w:after="0" w:line="169"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On May 7, 2020, we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We received total proceeds of $779,000 from the unsecured PPP Loan. The PPP Loan is scheduled to mature on May 7, 2022 and has an interest rate of 1.00% per annum and is subject to the terms and conditions applicable to loans administered by the U.S. Small Business Administration under the CARES Act. The PPP Loan may be prepaid at any time prior to its maturity with no prepayment penalties.</w:t>
      </w:r>
    </w:p>
    <w:p>
      <w:pPr>
        <w:spacing w:after="0" w:line="85"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us during the eight-week period after the loan origination for certain purposes, including payroll costs, rent payments on certain leases and certain qualified utility payments, provided that, among other things, at least 75% of the loan amount is used for eligible payroll costs, the employer maintaining or rehiring employees and maintaining salaries at certain level. In accordance with the requirements of the CARES Act and the PPP, we intend to use the proceeds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ind w:left="460" w:right="519"/>
        <w:spacing w:after="0" w:line="301" w:lineRule="auto"/>
        <w:rPr>
          <w:sz w:val="20"/>
          <w:szCs w:val="20"/>
          <w:color w:val="auto"/>
        </w:rPr>
      </w:pPr>
      <w:r>
        <w:rPr>
          <w:rFonts w:ascii="Arial" w:cs="Arial" w:eastAsia="Arial" w:hAnsi="Arial"/>
          <w:sz w:val="16"/>
          <w:szCs w:val="16"/>
          <w:color w:val="auto"/>
        </w:rPr>
        <w:t>from the PPP Loan primarily for payroll costs. There can be no assurance that we will be granted forgiveness of the PPP Loan in whole or in part. Assuming the principal amount is not forgiven, the payment schedule would consist of 18 monthly consecutive payments of $44,000 each, beginning December 7, 2020 with a final payment due on May 7, 2022 for all principal and accrued interest not yet paid.</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 based compensation expense, valuation allowance for deferred tax assets and useful life of fixed assets and intangible assets.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62"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80"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generate revenue from the following sources: (1) equipment sales and (2) services sales. We sell our equipment and services to customers under a combination of a contract and purchase order.</w:t>
      </w:r>
    </w:p>
    <w:p>
      <w:pPr>
        <w:spacing w:after="0" w:line="79"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Equipment revenue includes sales from proprietary products designed and engineered by us such as vertical farming units, container farms,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113"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80" w:lineRule="exact"/>
        <w:rPr>
          <w:sz w:val="20"/>
          <w:szCs w:val="20"/>
          <w:color w:val="auto"/>
        </w:rPr>
      </w:pPr>
    </w:p>
    <w:p>
      <w:pPr>
        <w:jc w:val="both"/>
        <w:ind w:left="460" w:right="1019" w:firstLine="432"/>
        <w:spacing w:after="0" w:line="263"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 w:name="page47"/>
    <w:bookmarkEnd w:id="46"/>
    <w:p>
      <w:pPr>
        <w:ind w:left="460" w:right="499"/>
        <w:spacing w:after="0" w:line="277" w:lineRule="auto"/>
        <w:rPr>
          <w:sz w:val="20"/>
          <w:szCs w:val="20"/>
          <w:color w:val="auto"/>
        </w:rPr>
      </w:pPr>
      <w:r>
        <w:rPr>
          <w:rFonts w:ascii="Arial" w:cs="Arial" w:eastAsia="Arial" w:hAnsi="Arial"/>
          <w:sz w:val="18"/>
          <w:szCs w:val="18"/>
          <w:color w:val="auto"/>
        </w:rPr>
        <w:t>Variable consideration is typically not subject to constraint. Changes to variable consideration were not material for the periods presented.</w:t>
      </w:r>
    </w:p>
    <w:p>
      <w:pPr>
        <w:spacing w:after="0" w:line="89"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We typically satisfy our performance obligations for equipment sales when equipment is made available for shipment to the customer. We typically satisfy our performance obligations for services sales as services are rendered to the customer.</w:t>
      </w:r>
    </w:p>
    <w:p>
      <w:pPr>
        <w:spacing w:after="0" w:line="116"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We enter contracts that can include various combinations of equipment and services, which are generally capable of being distinct and accounted for as separate performance obligations.</w:t>
      </w:r>
    </w:p>
    <w:p>
      <w:pPr>
        <w:spacing w:after="0" w:line="103"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06"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i w:val="1"/>
          <w:iCs w:val="1"/>
          <w:color w:val="auto"/>
        </w:rPr>
        <w:t xml:space="preserve">Other Policies and Judgments — </w:t>
      </w:r>
      <w:r>
        <w:rPr>
          <w:rFonts w:ascii="Arial" w:cs="Arial" w:eastAsia="Arial" w:hAnsi="Arial"/>
          <w:sz w:val="17"/>
          <w:szCs w:val="17"/>
          <w:color w:val="auto"/>
        </w:rPr>
        <w:t>We have elected to treat shipping and handling activities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obtains control of the goods as a fulfillment cost and not as a promised good or service. Accordingly, we will accrue all fulfillment costs related to the shipping and handling of consumer goods at the time of shipment. We have payment terms with our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10"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 We receive payment from customers based on specified terms that are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13"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generally provide a one-year warranty on its products for materials and workmanship but may provide multiple year warranties as negotiated, and will pass on the warranties from its vendors, if any, which generally covers this one year period. In accordance with ASC 450-20-25, we accrue for product warranties when the loss is probable and can be reasonably estimated. At March 31, 2020, we had no product warranty accrual our de minimis historical financial warranty experience.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Business Combinations</w:t>
      </w:r>
    </w:p>
    <w:p>
      <w:pPr>
        <w:spacing w:after="0" w:line="148"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We allocated the purchase price of acquired company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97"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16"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Examples of critical estimates in valuing certain of the intangible assets we have acquired or may acquire in the future include but are not limited to:</w:t>
      </w:r>
    </w:p>
    <w:p>
      <w:pPr>
        <w:spacing w:after="0" w:line="89" w:lineRule="exact"/>
        <w:rPr>
          <w:sz w:val="20"/>
          <w:szCs w:val="20"/>
          <w:color w:val="auto"/>
        </w:rPr>
      </w:pPr>
    </w:p>
    <w:p>
      <w:pPr>
        <w:ind w:left="1320" w:right="699" w:hanging="434"/>
        <w:spacing w:after="0" w:line="277" w:lineRule="auto"/>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expected cash flows from software license sales, support agreements, consulting contracts, other customer contracts, and acquired developed technologies;</w:t>
      </w:r>
    </w:p>
    <w:p>
      <w:pPr>
        <w:spacing w:after="0" w:line="102" w:lineRule="exact"/>
        <w:rPr>
          <w:rFonts w:ascii="Arial" w:cs="Arial" w:eastAsia="Arial" w:hAnsi="Arial"/>
          <w:sz w:val="18"/>
          <w:szCs w:val="18"/>
          <w:color w:val="auto"/>
        </w:rPr>
      </w:pPr>
    </w:p>
    <w:p>
      <w:pPr>
        <w:ind w:left="1320" w:right="659" w:hanging="434"/>
        <w:spacing w:after="0" w:line="277" w:lineRule="auto"/>
        <w:tabs>
          <w:tab w:leader="none" w:pos="1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expected costs to develop in-process research and development into commercially viable products and estimated cash flows from the projects when completed;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1320" w:right="599" w:hanging="434"/>
        <w:spacing w:after="0" w:line="342" w:lineRule="auto"/>
        <w:tabs>
          <w:tab w:leader="none" w:pos="131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acquired company’s brand and competitive position, as well as assumptions about the period of time the acquired brand will continue to be used in the combined company’s product portfolio;</w:t>
      </w:r>
    </w:p>
    <w:p>
      <w:pPr>
        <w:spacing w:after="0" w:line="42" w:lineRule="exact"/>
        <w:rPr>
          <w:rFonts w:ascii="Arial" w:cs="Arial" w:eastAsia="Arial" w:hAnsi="Arial"/>
          <w:sz w:val="16"/>
          <w:szCs w:val="16"/>
          <w:color w:val="auto"/>
        </w:rPr>
      </w:pPr>
    </w:p>
    <w:p>
      <w:pPr>
        <w:ind w:left="1320" w:hanging="434"/>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 of capital and discount rates; and</w:t>
      </w:r>
    </w:p>
    <w:p>
      <w:pPr>
        <w:spacing w:after="0" w:line="157" w:lineRule="exact"/>
        <w:rPr>
          <w:rFonts w:ascii="Arial" w:cs="Arial" w:eastAsia="Arial" w:hAnsi="Arial"/>
          <w:sz w:val="18"/>
          <w:szCs w:val="18"/>
          <w:color w:val="auto"/>
        </w:rPr>
      </w:pPr>
    </w:p>
    <w:p>
      <w:pPr>
        <w:ind w:left="1320" w:right="759" w:hanging="434"/>
        <w:spacing w:after="0" w:line="277" w:lineRule="auto"/>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estimating the useful lives of acquired assets as well as the pattern or manner in which the assets will amortize.</w:t>
      </w:r>
    </w:p>
    <w:p>
      <w:pPr>
        <w:spacing w:after="0" w:line="103"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The fair value assigned to identifiable intangible assets acquired during the three months ended March 31, 2020, was determined primarily by using the income approach, which discounts expected future cash flows to present value using estimates and assumptions determined by our management.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0"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03" w:lineRule="exact"/>
        <w:rPr>
          <w:sz w:val="20"/>
          <w:szCs w:val="20"/>
          <w:color w:val="auto"/>
        </w:rPr>
      </w:pPr>
    </w:p>
    <w:p>
      <w:pPr>
        <w:ind w:left="460" w:right="879" w:firstLine="432"/>
        <w:spacing w:after="0" w:line="296" w:lineRule="auto"/>
        <w:rPr>
          <w:sz w:val="20"/>
          <w:szCs w:val="20"/>
          <w:color w:val="auto"/>
        </w:rPr>
      </w:pPr>
      <w:r>
        <w:rPr>
          <w:rFonts w:ascii="Arial" w:cs="Arial" w:eastAsia="Arial" w:hAnsi="Arial"/>
          <w:sz w:val="16"/>
          <w:szCs w:val="16"/>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4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20"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9"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its traded stock, and because changes in the subjective input assumptions can materially affect the fair value estimate, in management’s opinion, the existing models do not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right="459"/>
        <w:spacing w:after="0" w:line="254" w:lineRule="auto"/>
        <w:rPr>
          <w:sz w:val="20"/>
          <w:szCs w:val="20"/>
          <w:color w:val="auto"/>
        </w:rPr>
      </w:pPr>
      <w:r>
        <w:rPr>
          <w:rFonts w:ascii="Arial" w:cs="Arial" w:eastAsia="Arial" w:hAnsi="Arial"/>
          <w:sz w:val="18"/>
          <w:szCs w:val="18"/>
          <w:color w:val="auto"/>
        </w:rPr>
        <w:t>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14"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98"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It is important that the discussion of our operating results that follows be read in conjunction with the critical accounting policies disclosed above.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our results of operations for the Three Months ended March 31, 2020 and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2019:</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5"/>
          </w:tcPr>
          <w:p>
            <w:pPr>
              <w:jc w:val="right"/>
              <w:ind w:right="9"/>
              <w:spacing w:after="0"/>
              <w:rPr>
                <w:sz w:val="20"/>
                <w:szCs w:val="20"/>
                <w:color w:val="auto"/>
              </w:rPr>
            </w:pPr>
            <w:r>
              <w:rPr>
                <w:rFonts w:ascii="Arial" w:cs="Arial" w:eastAsia="Arial" w:hAnsi="Arial"/>
                <w:sz w:val="16"/>
                <w:szCs w:val="16"/>
                <w:b w:val="1"/>
                <w:bCs w:val="1"/>
                <w:color w:val="auto"/>
              </w:rPr>
              <w:t>March 31,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91"/>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1,013,000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1,292,000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2"/>
                <w:szCs w:val="22"/>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972,000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1,269,000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41,000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1,200,000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2"/>
                <w:szCs w:val="22"/>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w w:val="97"/>
              </w:rPr>
              <w:t>2,290,000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3,490,000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Operating (income) expenses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w w:val="97"/>
              </w:rPr>
              <w:t>3,449,000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86"/>
              </w:rPr>
              <w:t>(5,000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loss before non-controlling interest</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w w:val="97"/>
              </w:rPr>
              <w:t>3,444,000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loss attributable to Agrify Corporation.</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w w:val="97"/>
              </w:rPr>
              <w:t>3,413,000</w:t>
            </w:r>
          </w:p>
        </w:tc>
        <w:tc>
          <w:tcPr>
            <w:tcW w:w="100" w:type="dxa"/>
            <w:vAlign w:val="bottom"/>
          </w:tcPr>
          <w:p>
            <w:pPr>
              <w:spacing w:after="0"/>
              <w:rPr>
                <w:sz w:val="21"/>
                <w:szCs w:val="21"/>
                <w:color w:val="auto"/>
              </w:rPr>
            </w:pPr>
          </w:p>
        </w:tc>
        <w:tc>
          <w:tcPr>
            <w:tcW w:w="420" w:type="dxa"/>
            <w:vAlign w:val="bottom"/>
            <w:gridSpan w:val="2"/>
          </w:tcPr>
          <w:p>
            <w:pPr>
              <w:jc w:val="right"/>
              <w:ind w:right="28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goal is to provide our customers with a variety of products to address their entire needs. Our core product offering includes our Agrify Vertical Farming Units and Agrify Integrated Grow Racks with our Agrify Insights software, which in 2020 are supplemented with environmental control products, grow lights, and facility build-out services.</w:t>
      </w:r>
    </w:p>
    <w:p>
      <w:pPr>
        <w:spacing w:after="0" w:line="106"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During the first quarter of 2020 and in parallel with the outbreak of the COVID-19 virus, we experienced a disruption in the supply chain that delay the delivery of several components necessary to the manufacturing of our Agrify Vertical Farming Units (or AVFUs) and as a result, delivery of several AVFUs was delayed to April 2020.</w:t>
      </w:r>
    </w:p>
    <w:p>
      <w:pPr>
        <w:spacing w:after="0" w:line="119" w:lineRule="exact"/>
        <w:rPr>
          <w:sz w:val="20"/>
          <w:szCs w:val="20"/>
          <w:color w:val="auto"/>
        </w:rPr>
      </w:pPr>
    </w:p>
    <w:p>
      <w:pPr>
        <w:jc w:val="both"/>
        <w:ind w:left="460" w:right="659" w:firstLine="432"/>
        <w:spacing w:after="0" w:line="259" w:lineRule="auto"/>
        <w:rPr>
          <w:sz w:val="20"/>
          <w:szCs w:val="20"/>
          <w:color w:val="auto"/>
        </w:rPr>
      </w:pPr>
      <w:r>
        <w:rPr>
          <w:rFonts w:ascii="Arial" w:cs="Arial" w:eastAsia="Arial" w:hAnsi="Arial"/>
          <w:sz w:val="18"/>
          <w:szCs w:val="18"/>
          <w:color w:val="auto"/>
        </w:rPr>
        <w:t>Our revenues were $1,013,000 for the three months ended March 31, 2020 compared to $1,292,000 for the three months ended March 31, 2019. During March 2020, the COVID-19 pandemic created delays in our supply chain. Components from international manufacturers that are necessary to the operation of our AVFUs were not</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9" w:name="page50"/>
    <w:bookmarkEnd w:id="49"/>
    <w:p>
      <w:pPr>
        <w:ind w:left="460" w:right="699"/>
        <w:spacing w:after="0" w:line="311" w:lineRule="auto"/>
        <w:rPr>
          <w:sz w:val="20"/>
          <w:szCs w:val="20"/>
          <w:color w:val="auto"/>
        </w:rPr>
      </w:pPr>
      <w:r>
        <w:rPr>
          <w:rFonts w:ascii="Arial" w:cs="Arial" w:eastAsia="Arial" w:hAnsi="Arial"/>
          <w:sz w:val="16"/>
          <w:szCs w:val="16"/>
          <w:color w:val="auto"/>
        </w:rPr>
        <w:t>delivered to us and therefore we could not complete delivery of a large order. The total revenue that we could not recognize as a result of COVID-19 was $3,145,000. Subsequently, we received these parts during the second quarter of 2020 and were able to deliver the AVFUs and recognize the revenue at the same quarter.</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44" w:lineRule="exact"/>
        <w:rPr>
          <w:sz w:val="20"/>
          <w:szCs w:val="20"/>
          <w:color w:val="auto"/>
        </w:rPr>
      </w:pPr>
    </w:p>
    <w:p>
      <w:pPr>
        <w:jc w:val="both"/>
        <w:ind w:left="460" w:right="619" w:firstLine="432"/>
        <w:spacing w:after="0" w:line="286" w:lineRule="auto"/>
        <w:rPr>
          <w:sz w:val="20"/>
          <w:szCs w:val="20"/>
          <w:color w:val="auto"/>
        </w:rPr>
      </w:pPr>
      <w:r>
        <w:rPr>
          <w:rFonts w:ascii="Arial" w:cs="Arial" w:eastAsia="Arial" w:hAnsi="Arial"/>
          <w:sz w:val="17"/>
          <w:szCs w:val="17"/>
          <w:color w:val="auto"/>
        </w:rPr>
        <w:t>Cost of goods sold include direct cost of parts and outsourced assembly and installation services that are necessary for delivery of our products. Our cost of revenues was $972,000 for the three months ended March 31, 2020 compared to $1,269,000 for the three months ended March 31, 2019.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Profit</w:t>
      </w:r>
    </w:p>
    <w:p>
      <w:pPr>
        <w:spacing w:after="0" w:line="158" w:lineRule="exact"/>
        <w:rPr>
          <w:sz w:val="20"/>
          <w:szCs w:val="20"/>
          <w:color w:val="auto"/>
        </w:rPr>
      </w:pPr>
    </w:p>
    <w:p>
      <w:pPr>
        <w:ind w:left="460" w:right="759" w:firstLine="432"/>
        <w:spacing w:after="0" w:line="286" w:lineRule="auto"/>
        <w:rPr>
          <w:sz w:val="20"/>
          <w:szCs w:val="20"/>
          <w:color w:val="auto"/>
        </w:rPr>
      </w:pPr>
      <w:r>
        <w:rPr>
          <w:rFonts w:ascii="Arial" w:cs="Arial" w:eastAsia="Arial" w:hAnsi="Arial"/>
          <w:sz w:val="17"/>
          <w:szCs w:val="17"/>
          <w:color w:val="auto"/>
        </w:rPr>
        <w:t>Our gross profit represents total revenue less the cost of goods sold, and gross margin is gross profit expressed as a percentage of total revenue. For the three months ended March 31, 2020, our gross profit was $41,000 compared to $23,000 for the three months ended March 31, 2019.</w:t>
      </w:r>
    </w:p>
    <w:p>
      <w:pPr>
        <w:spacing w:after="0" w:line="9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With the acquisition of TriGrow Systems, Inc. which was completed during the first quarter of 2020, we began selling our products directly to end customers. As a result, we expect to generate higher gross margins on the sale of our products. In addition, with the expansion of our customer base that uses our AVFU we expect to recognize high-margin revenue from our Agrify Insights software.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Research and development expenses consisted primarily of costs incurred for the development of Agrify Insight and next generation VFUs, which includes:</w:t>
      </w:r>
    </w:p>
    <w:p>
      <w:pPr>
        <w:spacing w:after="0" w:line="103" w:lineRule="exact"/>
        <w:rPr>
          <w:sz w:val="20"/>
          <w:szCs w:val="20"/>
          <w:color w:val="auto"/>
        </w:rPr>
      </w:pPr>
    </w:p>
    <w:p>
      <w:pPr>
        <w:ind w:left="1320" w:hanging="434"/>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travel;</w:t>
      </w:r>
    </w:p>
    <w:p>
      <w:pPr>
        <w:spacing w:after="0" w:line="157" w:lineRule="exact"/>
        <w:rPr>
          <w:rFonts w:ascii="Arial" w:cs="Arial" w:eastAsia="Arial" w:hAnsi="Arial"/>
          <w:sz w:val="18"/>
          <w:szCs w:val="18"/>
          <w:color w:val="auto"/>
        </w:rPr>
      </w:pPr>
    </w:p>
    <w:p>
      <w:pPr>
        <w:ind w:left="1320" w:right="759" w:hanging="434"/>
        <w:spacing w:after="0" w:line="277" w:lineRule="auto"/>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expenses incurred by subcontractor under agreements to provide engineering work related to the development of our next generation VFUs;</w:t>
      </w:r>
    </w:p>
    <w:p>
      <w:pPr>
        <w:spacing w:after="0" w:line="89" w:lineRule="exact"/>
        <w:rPr>
          <w:rFonts w:ascii="Arial" w:cs="Arial" w:eastAsia="Arial" w:hAnsi="Arial"/>
          <w:sz w:val="18"/>
          <w:szCs w:val="18"/>
          <w:color w:val="auto"/>
        </w:rPr>
      </w:pPr>
    </w:p>
    <w:p>
      <w:pPr>
        <w:ind w:left="1320" w:right="1079" w:hanging="434"/>
        <w:spacing w:after="0" w:line="342" w:lineRule="auto"/>
        <w:tabs>
          <w:tab w:leader="none" w:pos="1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expenses related to our facilities, depreciation, and other expenses, which include direct and allocated expenses for rent and maintenance of facilities, insurance and other supplies.</w:t>
      </w:r>
    </w:p>
    <w:p>
      <w:pPr>
        <w:spacing w:after="0" w:line="56" w:lineRule="exact"/>
        <w:rPr>
          <w:sz w:val="20"/>
          <w:szCs w:val="20"/>
          <w:color w:val="auto"/>
        </w:rPr>
      </w:pPr>
    </w:p>
    <w:p>
      <w:pPr>
        <w:ind w:left="460" w:right="819" w:firstLine="432"/>
        <w:spacing w:after="0" w:line="279" w:lineRule="auto"/>
        <w:rPr>
          <w:sz w:val="20"/>
          <w:szCs w:val="20"/>
          <w:color w:val="auto"/>
        </w:rPr>
      </w:pPr>
      <w:r>
        <w:rPr>
          <w:rFonts w:ascii="Arial" w:cs="Arial" w:eastAsia="Arial" w:hAnsi="Arial"/>
          <w:sz w:val="17"/>
          <w:szCs w:val="17"/>
          <w:color w:val="auto"/>
        </w:rPr>
        <w:t>For the three months ended March 31, 2020 compared to the three months ended March 31, 2019, research and development expenses were $1,200,000 and $8,000, respectively. The increase is primarily attributable to expenses we incurred in connection with our Container Farms products as well as increase in hired employees and consultants for research and development activities.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pacing w:after="0" w:line="106"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For the three months ended March 31, 2020 compared to the three months ended March 31, 2019, general and administrative expenses were $2,290,000 and $23,000, respectively. The increase is primarily attributable to the increase in hired employees and consultants, participation in market conferences, office lease and other administration expenses.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b w:val="1"/>
          <w:bCs w:val="1"/>
          <w:i w:val="1"/>
          <w:iCs w:val="1"/>
          <w:color w:val="auto"/>
        </w:rPr>
        <w:t>Comparison of the Year Ended December 31, 2019 and 2018</w:t>
      </w:r>
    </w:p>
    <w:p>
      <w:pPr>
        <w:spacing w:after="0" w:line="158"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following table summarizes our results of operations for the year ended December 31, 2019 and 2018 (in thousands):</w:t>
      </w:r>
    </w:p>
    <w:p>
      <w:pPr>
        <w:spacing w:after="0" w:line="130"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p>
      <w:pPr>
        <w:ind w:left="6480"/>
        <w:spacing w:after="0"/>
        <w:tabs>
          <w:tab w:leader="none" w:pos="77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profit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general and administrative expenses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70" w:hanging="270"/>
        <w:spacing w:after="0"/>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4,088,000   $   1,769,000</w:t>
      </w:r>
    </w:p>
    <w:p>
      <w:pPr>
        <w:spacing w:after="0" w:line="90" w:lineRule="exact"/>
        <w:rPr>
          <w:rFonts w:ascii="Arial" w:cs="Arial" w:eastAsia="Arial" w:hAnsi="Arial"/>
          <w:sz w:val="18"/>
          <w:szCs w:val="18"/>
          <w:color w:val="auto"/>
        </w:rPr>
      </w:pPr>
    </w:p>
    <w:p>
      <w:pPr>
        <w:ind w:left="270"/>
        <w:spacing w:after="0"/>
        <w:rPr>
          <w:rFonts w:ascii="Arial" w:cs="Arial" w:eastAsia="Arial" w:hAnsi="Arial"/>
          <w:sz w:val="18"/>
          <w:szCs w:val="18"/>
          <w:color w:val="auto"/>
        </w:rPr>
      </w:pPr>
      <w:r>
        <w:rPr>
          <w:rFonts w:ascii="Arial" w:cs="Arial" w:eastAsia="Arial" w:hAnsi="Arial"/>
          <w:sz w:val="18"/>
          <w:szCs w:val="18"/>
          <w:color w:val="auto"/>
        </w:rPr>
        <w:t>4,333,000</w:t>
      </w:r>
      <w:r>
        <w:rPr>
          <w:rFonts w:ascii="Arial" w:cs="Arial" w:eastAsia="Arial" w:hAnsi="Arial"/>
          <w:sz w:val="16"/>
          <w:szCs w:val="16"/>
          <w:color w:val="auto"/>
        </w:rPr>
        <w:t>1,547,000</w:t>
      </w:r>
    </w:p>
    <w:p>
      <w:pPr>
        <w:spacing w:after="0" w:line="63" w:lineRule="exact"/>
        <w:rPr>
          <w:rFonts w:ascii="Arial" w:cs="Arial" w:eastAsia="Arial" w:hAnsi="Arial"/>
          <w:sz w:val="18"/>
          <w:szCs w:val="18"/>
          <w:color w:val="auto"/>
        </w:rPr>
      </w:pPr>
    </w:p>
    <w:p>
      <w:pPr>
        <w:ind w:left="350"/>
        <w:spacing w:after="0"/>
        <w:rPr>
          <w:rFonts w:ascii="Arial" w:cs="Arial" w:eastAsia="Arial" w:hAnsi="Arial"/>
          <w:sz w:val="18"/>
          <w:szCs w:val="18"/>
          <w:color w:val="auto"/>
        </w:rPr>
      </w:pPr>
      <w:r>
        <w:rPr>
          <w:rFonts w:ascii="Arial" w:cs="Arial" w:eastAsia="Arial" w:hAnsi="Arial"/>
          <w:sz w:val="18"/>
          <w:szCs w:val="18"/>
          <w:color w:val="auto"/>
        </w:rPr>
        <w:t>(245,000)</w:t>
      </w:r>
      <w:r>
        <w:rPr>
          <w:rFonts w:ascii="Arial" w:cs="Arial" w:eastAsia="Arial" w:hAnsi="Arial"/>
          <w:sz w:val="16"/>
          <w:szCs w:val="16"/>
          <w:color w:val="auto"/>
        </w:rPr>
        <w:t>222,000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14827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354" w:lineRule="exact"/>
        <w:rPr>
          <w:sz w:val="20"/>
          <w:szCs w:val="20"/>
          <w:color w:val="auto"/>
        </w:rPr>
      </w:pPr>
    </w:p>
    <w:p>
      <w:pPr>
        <w:jc w:val="both"/>
        <w:ind w:left="410"/>
        <w:spacing w:after="0"/>
        <w:tabs>
          <w:tab w:leader="none" w:pos="1830" w:val="left"/>
        </w:tabs>
        <w:rPr>
          <w:sz w:val="20"/>
          <w:szCs w:val="20"/>
          <w:color w:val="auto"/>
        </w:rPr>
      </w:pPr>
      <w:r>
        <w:rPr>
          <w:rFonts w:ascii="Arial" w:cs="Arial" w:eastAsia="Arial" w:hAnsi="Arial"/>
          <w:sz w:val="18"/>
          <w:szCs w:val="18"/>
          <w:color w:val="auto"/>
        </w:rPr>
        <w:t>109,000</w:t>
      </w:r>
      <w:r>
        <w:rPr>
          <w:sz w:val="20"/>
          <w:szCs w:val="20"/>
          <w:color w:val="auto"/>
        </w:rPr>
        <w:tab/>
      </w:r>
      <w:r>
        <w:rPr>
          <w:rFonts w:ascii="Arial" w:cs="Arial" w:eastAsia="Arial" w:hAnsi="Arial"/>
          <w:sz w:val="18"/>
          <w:szCs w:val="18"/>
          <w:color w:val="auto"/>
        </w:rPr>
        <w:t>17,000</w:t>
      </w:r>
    </w:p>
    <w:p>
      <w:pPr>
        <w:spacing w:after="0" w:line="90" w:lineRule="exact"/>
        <w:rPr>
          <w:sz w:val="20"/>
          <w:szCs w:val="20"/>
          <w:color w:val="auto"/>
        </w:rPr>
      </w:pPr>
    </w:p>
    <w:p>
      <w:pPr>
        <w:jc w:val="both"/>
        <w:ind w:left="270"/>
        <w:spacing w:after="0"/>
        <w:tabs>
          <w:tab w:leader="none" w:pos="1590" w:val="left"/>
        </w:tabs>
        <w:rPr>
          <w:sz w:val="20"/>
          <w:szCs w:val="20"/>
          <w:color w:val="auto"/>
        </w:rPr>
      </w:pPr>
      <w:r>
        <w:rPr>
          <w:rFonts w:ascii="Arial" w:cs="Arial" w:eastAsia="Arial" w:hAnsi="Arial"/>
          <w:sz w:val="18"/>
          <w:szCs w:val="18"/>
          <w:color w:val="auto"/>
        </w:rPr>
        <w:t>2,737,000</w:t>
      </w:r>
      <w:r>
        <w:rPr>
          <w:sz w:val="20"/>
          <w:szCs w:val="20"/>
          <w:color w:val="auto"/>
        </w:rPr>
        <w:tab/>
      </w:r>
      <w:r>
        <w:rPr>
          <w:rFonts w:ascii="Arial" w:cs="Arial" w:eastAsia="Arial" w:hAnsi="Arial"/>
          <w:sz w:val="18"/>
          <w:szCs w:val="18"/>
          <w:color w:val="auto"/>
        </w:rPr>
        <w:t>1,221,000</w:t>
      </w:r>
    </w:p>
    <w:p>
      <w:pPr>
        <w:spacing w:after="0" w:line="50" w:lineRule="exact"/>
        <w:rPr>
          <w:sz w:val="20"/>
          <w:szCs w:val="20"/>
          <w:color w:val="auto"/>
        </w:rPr>
      </w:pPr>
    </w:p>
    <w:p>
      <w:pPr>
        <w:sectPr>
          <w:pgSz w:w="11900" w:h="16838" w:orient="portrait"/>
          <w:cols w:equalWidth="0" w:num="2">
            <w:col w:w="5350" w:space="720"/>
            <w:col w:w="2949"/>
          </w:cols>
          <w:pgMar w:left="1440" w:top="341" w:right="1440"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56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vMerge w:val="continue"/>
            <w:shd w:val="clear" w:color="auto" w:fill="CCEEFF"/>
          </w:tcPr>
          <w:p>
            <w:pPr>
              <w:spacing w:after="0"/>
              <w:rPr>
                <w:sz w:val="22"/>
                <w:szCs w:val="22"/>
                <w:color w:val="auto"/>
              </w:rPr>
            </w:pPr>
          </w:p>
        </w:tc>
        <w:tc>
          <w:tcPr>
            <w:tcW w:w="1260" w:type="dxa"/>
            <w:vAlign w:val="bottom"/>
            <w:tcBorders>
              <w:bottom w:val="single" w:sz="8" w:color="CCEEFF"/>
              <w:right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2,846,000</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Operating loss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(3,091,000</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(1,016,000</w:t>
            </w:r>
          </w:p>
        </w:tc>
        <w:tc>
          <w:tcPr>
            <w:tcW w:w="140" w:type="dxa"/>
            <w:vAlign w:val="bottom"/>
          </w:tcPr>
          <w:p>
            <w:pPr>
              <w:jc w:val="right"/>
              <w:ind w:right="6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income, net</w:t>
            </w:r>
          </w:p>
        </w:tc>
        <w:tc>
          <w:tcPr>
            <w:tcW w:w="1260" w:type="dxa"/>
            <w:vAlign w:val="bottom"/>
            <w:tcBorders>
              <w:bottom w:val="single" w:sz="8" w:color="CCEEFF"/>
              <w:right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49,000</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(3,042,000</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(1,014,000</w:t>
            </w:r>
          </w:p>
        </w:tc>
        <w:tc>
          <w:tcPr>
            <w:tcW w:w="140" w:type="dxa"/>
            <w:vAlign w:val="bottom"/>
          </w:tcPr>
          <w:p>
            <w:pPr>
              <w:jc w:val="right"/>
              <w:ind w:right="6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We had limited revenues from operations in each of the last two fiscal years. Through 2018 and 2019, we concentrated our business with TriGrow, acting as our exclusive distributor. During January 2020, we acquired TriGrow Systems, Inc. and began selling our products directly to end customers. Our revenues were $4,088,000 for the year ended December 31, 2019 compared to $1,769,000 for the year ended December 31, 2018. The increase in our revenue is related to delivery of our AVFUs to customers.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44"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Cost of goods sold include direct cost of parts and outsourced assembly and installation services that are necessary for delivery of our products. Our cost of revenues was $4,333,000 for the year ended December 31, 2019 compared to $1,547,000 for the year ended December 31, 2018. As we increased the production in 2019, we experienced higher costs of sales that are related to shipping and outsourced assembly costs. We expect to develop internal assembly capabilities and negotiate lower prices with parts manufacturers and therefore we expect that the costs of our AVFUs, as a percentage of revenue, will decrease in the future.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Profit</w:t>
      </w:r>
    </w:p>
    <w:p>
      <w:pPr>
        <w:spacing w:after="0" w:line="15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gross profit represents total revenue less the cost of goods sold, and gross margin is gross profit expressed as a percentage of total revenue. For the year ended December 31, 2019, our gross loss was $245,000 compared to a gross profit of $222,000 for the year ended December 31, 2018. As described above, we expect to generate positive gross margin in the future.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Research and development expenses consisted primarily of costs incurred for the development of Agrify Insight and next generation AVFUs, which includes:</w:t>
      </w:r>
    </w:p>
    <w:p>
      <w:pPr>
        <w:spacing w:after="0" w:line="89" w:lineRule="exact"/>
        <w:rPr>
          <w:sz w:val="20"/>
          <w:szCs w:val="20"/>
          <w:color w:val="auto"/>
        </w:rPr>
      </w:pPr>
    </w:p>
    <w:p>
      <w:pPr>
        <w:ind w:left="1320" w:hanging="434"/>
        <w:spacing w:after="0"/>
        <w:tabs>
          <w:tab w:leader="none" w:pos="1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travel;</w:t>
      </w:r>
    </w:p>
    <w:p>
      <w:pPr>
        <w:spacing w:after="0" w:line="157" w:lineRule="exact"/>
        <w:rPr>
          <w:rFonts w:ascii="Arial" w:cs="Arial" w:eastAsia="Arial" w:hAnsi="Arial"/>
          <w:sz w:val="18"/>
          <w:szCs w:val="18"/>
          <w:color w:val="auto"/>
        </w:rPr>
      </w:pPr>
    </w:p>
    <w:p>
      <w:pPr>
        <w:ind w:left="1320" w:right="759" w:hanging="434"/>
        <w:spacing w:after="0" w:line="277" w:lineRule="auto"/>
        <w:tabs>
          <w:tab w:leader="none" w:pos="1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incurred by subcontractor under agreements to provide engineering work related to the development of our next generation AVFUs;</w:t>
      </w:r>
    </w:p>
    <w:p>
      <w:pPr>
        <w:spacing w:after="0" w:line="102" w:lineRule="exact"/>
        <w:rPr>
          <w:rFonts w:ascii="Arial" w:cs="Arial" w:eastAsia="Arial" w:hAnsi="Arial"/>
          <w:sz w:val="18"/>
          <w:szCs w:val="18"/>
          <w:color w:val="auto"/>
        </w:rPr>
      </w:pPr>
    </w:p>
    <w:p>
      <w:pPr>
        <w:ind w:left="1320" w:right="1099" w:hanging="434"/>
        <w:spacing w:after="0" w:line="342" w:lineRule="auto"/>
        <w:tabs>
          <w:tab w:leader="none" w:pos="1311"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expenses related to our facilities, depreciation, and other expenses, which include direct and allocated expenses for rent and maintenance of facilities, insurance and other supplies.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51" w:name="page52"/>
    <w:bookmarkEnd w:id="51"/>
    <w:p>
      <w:pPr>
        <w:ind w:left="460" w:right="559" w:firstLine="432"/>
        <w:spacing w:after="0" w:line="286" w:lineRule="auto"/>
        <w:rPr>
          <w:sz w:val="20"/>
          <w:szCs w:val="20"/>
          <w:color w:val="auto"/>
        </w:rPr>
      </w:pPr>
      <w:r>
        <w:rPr>
          <w:rFonts w:ascii="Arial" w:cs="Arial" w:eastAsia="Arial" w:hAnsi="Arial"/>
          <w:sz w:val="17"/>
          <w:szCs w:val="17"/>
          <w:color w:val="auto"/>
        </w:rPr>
        <w:t>For the year ended December 31, 2019 compared to the year ended December 31, 2018, research and development expenses were $109,000 and $17,000, respectively. The $92,000 increase is primarily attributable to the increase in hired employees and consultants for research and development activities.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pacing w:after="0" w:line="119"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For the year ended December 31, 2019 compared to the year ended December 31, 2018, general and administrative expenses were $2,737,000 and $1,221,000, respectively. The $1,516,000 increase is primarily attributable to the increase in hired employees and consultants, participation in market conferences, office lease and other administration expenses.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58"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Other income consisted primarily of interest income charged to our customers for late payments and bank fees expenses.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net loss for the year ended December 31, 2019 was $(3,042,000) compared with a net loss of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$(1,014,000) for the year ended December 31, 2018. The net loss is influenced by the matters discussed in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sections of the Management Discussion and Analysis.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Our ability to continue as a going concern is dependent on our ability to raise additional capital and implement our business plan. Since its inception, we have been funded by revenues from operations and equity and investments in our company.</w:t>
      </w:r>
    </w:p>
    <w:p>
      <w:pPr>
        <w:spacing w:after="0" w:line="116" w:lineRule="exact"/>
        <w:rPr>
          <w:sz w:val="20"/>
          <w:szCs w:val="20"/>
          <w:color w:val="auto"/>
        </w:rPr>
      </w:pPr>
    </w:p>
    <w:p>
      <w:pPr>
        <w:ind w:left="460" w:right="679" w:firstLine="432"/>
        <w:spacing w:after="0" w:line="279" w:lineRule="auto"/>
        <w:rPr>
          <w:sz w:val="20"/>
          <w:szCs w:val="20"/>
          <w:color w:val="auto"/>
        </w:rPr>
      </w:pPr>
      <w:r>
        <w:rPr>
          <w:rFonts w:ascii="Arial" w:cs="Arial" w:eastAsia="Arial" w:hAnsi="Arial"/>
          <w:sz w:val="17"/>
          <w:szCs w:val="17"/>
          <w:color w:val="auto"/>
        </w:rPr>
        <w:t>At March 31, 2020, we had working capital of $967,000 compared to $979,000 deficit at December 31, 2019. Current assets consisted primarily of prepaid inventory and current liabilities consisted primarily of deferred revenue related to projects that are expected to be completed within 12 months. The increase in our working capital is attributed to the capital investment during the first quarter of 2020.</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Cashflow</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5"/>
          </w:tcPr>
          <w:p>
            <w:pPr>
              <w:jc w:val="right"/>
              <w:spacing w:after="0"/>
              <w:rPr>
                <w:sz w:val="20"/>
                <w:szCs w:val="20"/>
                <w:color w:val="auto"/>
              </w:rPr>
            </w:pPr>
            <w:r>
              <w:rPr>
                <w:rFonts w:ascii="Arial" w:cs="Arial" w:eastAsia="Arial" w:hAnsi="Arial"/>
                <w:sz w:val="16"/>
                <w:szCs w:val="16"/>
                <w:b w:val="1"/>
                <w:bCs w:val="1"/>
                <w:color w:val="auto"/>
              </w:rPr>
              <w:t>Years ended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6"/>
          </w:tcPr>
          <w:p>
            <w:pPr>
              <w:jc w:val="right"/>
              <w:ind w:right="69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4"/>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92"/>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(3,441,000)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(184,000)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3,746,000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121,000</w:t>
            </w:r>
          </w:p>
        </w:tc>
        <w:tc>
          <w:tcPr>
            <w:tcW w:w="100" w:type="dxa"/>
            <w:vAlign w:val="bottom"/>
          </w:tcPr>
          <w:p>
            <w:pPr>
              <w:spacing w:after="0"/>
              <w:rPr>
                <w:sz w:val="21"/>
                <w:szCs w:val="21"/>
                <w:color w:val="auto"/>
              </w:rPr>
            </w:pPr>
          </w:p>
        </w:tc>
        <w:tc>
          <w:tcPr>
            <w:tcW w:w="440" w:type="dxa"/>
            <w:vAlign w:val="bottom"/>
            <w:gridSpan w:val="2"/>
          </w:tcPr>
          <w:p>
            <w:pPr>
              <w:jc w:val="right"/>
              <w:ind w:right="309"/>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Cashflow from Operating Activities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During the year ended December 31, 2019, cash provided by (used in) operating activities was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$(3,441,000) compared to $49,000 for the year ended December 31, 2018. The increase in the amounts of cash</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used in operating activities was primarily due to the ramp-up of our operation, increase in numbers of hired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employees and expenses related to research and development, and marketing activities.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b w:val="1"/>
          <w:bCs w:val="1"/>
          <w:i w:val="1"/>
          <w:iCs w:val="1"/>
          <w:color w:val="auto"/>
        </w:rPr>
        <w:t>Cashflow from Investing Activities</w:t>
      </w:r>
    </w:p>
    <w:p>
      <w:pPr>
        <w:spacing w:after="0" w:line="158" w:lineRule="exact"/>
        <w:rPr>
          <w:sz w:val="20"/>
          <w:szCs w:val="20"/>
          <w:color w:val="auto"/>
        </w:rPr>
      </w:pPr>
    </w:p>
    <w:p>
      <w:pPr>
        <w:jc w:val="both"/>
        <w:ind w:left="460" w:right="599" w:firstLine="432"/>
        <w:spacing w:after="0" w:line="263" w:lineRule="auto"/>
        <w:rPr>
          <w:sz w:val="20"/>
          <w:szCs w:val="20"/>
          <w:color w:val="auto"/>
        </w:rPr>
      </w:pPr>
      <w:r>
        <w:rPr>
          <w:rFonts w:ascii="Arial" w:cs="Arial" w:eastAsia="Arial" w:hAnsi="Arial"/>
          <w:sz w:val="18"/>
          <w:szCs w:val="18"/>
          <w:color w:val="auto"/>
        </w:rPr>
        <w:t>During the year ended December 31, 2019, cash used in investing activities was $(184,000) compared to $0 for the year ended December 31, 2018. The increase in the amounts of cash used in investing activities was primarily due to investments in our web site during fiscal year 2019.</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Cashflow from Financing Activities</w:t>
      </w:r>
    </w:p>
    <w:p>
      <w:pPr>
        <w:spacing w:after="0" w:line="144"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During the year ended December 31, 2019, cash provided by financing activity was $3,746,000 compared to $0 provided during the year ended December 31, 2018. The increase in the amounts of cash provided by financing activities was primarily due to capital investment in our company during June 2019.</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Going Concern</w:t>
      </w:r>
    </w:p>
    <w:p>
      <w:pPr>
        <w:spacing w:after="0" w:line="162"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The audited financial statements for the year ended December 31, 2019 and the unaudited financial statements for the three months period ended March 31, 2020 (which are included in the financial statements which form a part of this prospectus) includes an explanatory paragraph expressing substantial doubt about our ability to continue as a going concern. We concluded that the circumstances described above continue to raise substantial doubt about our ability to continue as a going concern as of March 31, 2020. The net proceeds from this offering will increase our working capital and we expect that the doubt about our ability to continue as a going concern will be removed.</w:t>
      </w:r>
    </w:p>
    <w:p>
      <w:pPr>
        <w:spacing w:after="0" w:line="11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condensed consolidated financial statements are presented on the basis that we will continue as a going concern. The going concern concept contemplates the realization of assets and satisfaction of liabilities in the normal course of business. No adjustment has been made to the carrying amount and classification of our assets and the carrying amount of our liabilities based on the going concern uncertainty. As reflected in the accompanying condensed consolidated financial statements, we had a net loss attributable to our shareholders of $3,444,000 for the three months ended March 31, 2020. The net cash used in operating activities was $3,920,000 for the three months ended March 31, 2020. Additionally, we had an accumulated deficit of $8,306,000 at March 31, 2020. These factors raise substantial doubt about our ability to continue as a going concern for a period of twelve months from the issuance date of this report. Our management cannot provide assurance that we will ultimately achieve profitable operations or become cash flow positive or raise additional debt and/or equity capital.</w:t>
      </w:r>
    </w:p>
    <w:p>
      <w:pPr>
        <w:spacing w:after="0" w:line="101"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We are seeking to raise capital through additional debt and/or equity financings to fund our operations in the future. Although we have historically raised capital from product sales and proceeds from sales of common and preferred shares, there is no assurance that we will be able to continue to do so. If we are unable to raise additional capital or secure additional lending in the near future, management expects that we will need to curtail our operations. Our consolidated financial statements do not include any adjustments related to the recoverability and classification of assets or the amounts and classification of liabilities that might be necessary should we are unable to continue as a going concern.</w:t>
      </w:r>
    </w:p>
    <w:p>
      <w:pPr>
        <w:spacing w:after="0" w:line="110" w:lineRule="exact"/>
        <w:rPr>
          <w:sz w:val="20"/>
          <w:szCs w:val="20"/>
          <w:color w:val="auto"/>
        </w:rPr>
      </w:pPr>
    </w:p>
    <w:p>
      <w:pPr>
        <w:ind w:left="460" w:right="599" w:firstLine="432"/>
        <w:spacing w:after="0" w:line="290" w:lineRule="auto"/>
        <w:rPr>
          <w:sz w:val="20"/>
          <w:szCs w:val="20"/>
          <w:color w:val="auto"/>
        </w:rPr>
      </w:pPr>
      <w:r>
        <w:rPr>
          <w:rFonts w:ascii="Arial" w:cs="Arial" w:eastAsia="Arial" w:hAnsi="Arial"/>
          <w:sz w:val="16"/>
          <w:szCs w:val="16"/>
          <w:color w:val="auto"/>
        </w:rPr>
        <w:t>During 2020, we have been evaluating numerous opportunities and relationships to increase shareholder value. We expect to realize revenue through the sale of wholesale and retail products to third parties. However, as we are in a start-up phase in a rapidly evolving industry, many of our costs and challenges are unknown. To fund our activities, we will need to raise additional capital either through the issuance of equity and/or the issuance of debt. During the first four months of 2020, we raised a total of $10,000,000 by issuing Series A Preferred ($6,000,000 in the first quarter of 2020 and $4,000,000 in April 2020). We evaluated whether there are certain conditions and events, considered in the aggregate, that raise substantial doubt for our ability to continue as a going concern within one year after the date that the consolidated financial statements are issued.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are material to stockholders.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58" w:lineRule="exact"/>
        <w:rPr>
          <w:sz w:val="20"/>
          <w:szCs w:val="20"/>
          <w:color w:val="auto"/>
        </w:rPr>
      </w:pPr>
    </w:p>
    <w:p>
      <w:pPr>
        <w:jc w:val="both"/>
        <w:ind w:left="460" w:right="539" w:firstLine="432"/>
        <w:spacing w:after="0" w:line="259" w:lineRule="auto"/>
        <w:rPr>
          <w:sz w:val="20"/>
          <w:szCs w:val="20"/>
          <w:color w:val="auto"/>
        </w:rPr>
      </w:pPr>
      <w:r>
        <w:rPr>
          <w:rFonts w:ascii="Arial" w:cs="Arial" w:eastAsia="Arial" w:hAnsi="Arial"/>
          <w:sz w:val="18"/>
          <w:szCs w:val="18"/>
          <w:color w:val="auto"/>
        </w:rPr>
        <w:t>We have implemented all new accounting pronouncements that are in effect. These pronouncements did not have any material impact on the financial statements unless otherwise disclosed, and we do not believe that there are any other new accounting pronouncements that have been issued that might have a material impact on our financial position or results of operations.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In the ordinary course of our business, we are not exposed to market risk of the sort that may arise from changes in interest rates or foreign currency exchange rates, or that may otherwise arise from transactions in derivatives.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Contingencies</w:t>
      </w:r>
    </w:p>
    <w:p>
      <w:pPr>
        <w:spacing w:after="0" w:line="162"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Certain conditions may exist as of the date the financial statements are issued, which may result in a loss to our company, but which will only be resolved when one or more future events occur or fail to occur. Our management, in consultation with our legal counsel as appropriate, assesses such contingent liabilities, and such assessment inherently involves an exercise of judgment. In assessing loss contingencies related to legal proceedings that are pending against us or unasserted claims that may result in such proceedings, our management, in consultation with legal counsel, evaluates the perceived merits of any legal proceedings or unasserted claims, as well as the perceived merits of the amount of relief sought or expected to be sought therein. If the assessment of a contingency indicates it is probable that a material loss has been incurred and the amount of the liability can be estimated, then the estimated liability would be accrued in our financial statements. If the assessment indicates a potentially material loss contingency is not probable, but is reasonably possible, or is probable, but cannot be estimated, then the nature of the contingent liability, together with an estimate of the range of possible loss, if determinable and material, would be disclosed. Loss contingencies considered remote are generally not disclosed unless they involve guarantees, in which case the guarantees would be disclosed.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believe our </w:t>
      </w:r>
      <w:r>
        <w:rPr>
          <w:rFonts w:ascii="Arial" w:cs="Arial" w:eastAsia="Arial" w:hAnsi="Arial"/>
          <w:sz w:val="16"/>
          <w:szCs w:val="16"/>
          <w:i w:val="1"/>
          <w:iCs w:val="1"/>
          <w:color w:val="auto"/>
        </w:rPr>
        <w:t>Agrify “Precision Elevated™”</w:t>
      </w:r>
      <w:r>
        <w:rPr>
          <w:rFonts w:ascii="Arial" w:cs="Arial" w:eastAsia="Arial" w:hAnsi="Arial"/>
          <w:sz w:val="16"/>
          <w:szCs w:val="16"/>
          <w:color w:val="auto"/>
        </w:rPr>
        <w:t xml:space="preserve">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85"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pacing w:after="0" w:line="118"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thrive in their field and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99"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this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the </w:t>
      </w:r>
      <w:r>
        <w:rPr>
          <w:rFonts w:ascii="Arial" w:cs="Arial" w:eastAsia="Arial" w:hAnsi="Arial"/>
          <w:sz w:val="16"/>
          <w:szCs w:val="16"/>
          <w:i w:val="1"/>
          <w:iCs w:val="1"/>
          <w:color w:val="auto"/>
        </w:rPr>
        <w:t>Agrify</w:t>
      </w:r>
      <w:r>
        <w:rPr>
          <w:rFonts w:ascii="Arial" w:cs="Arial" w:eastAsia="Arial" w:hAnsi="Arial"/>
          <w:sz w:val="16"/>
          <w:szCs w:val="16"/>
          <w:color w:val="auto"/>
        </w:rPr>
        <w:t xml:space="preserve"> </w:t>
      </w:r>
      <w:r>
        <w:rPr>
          <w:rFonts w:ascii="Arial" w:cs="Arial" w:eastAsia="Arial" w:hAnsi="Arial"/>
          <w:sz w:val="16"/>
          <w:szCs w:val="16"/>
          <w:i w:val="1"/>
          <w:iCs w:val="1"/>
          <w:color w:val="auto"/>
        </w:rPr>
        <w:t>Vertical Farming Unit (AVFU)</w:t>
      </w:r>
      <w:r>
        <w:rPr>
          <w:rFonts w:ascii="Arial" w:cs="Arial" w:eastAsia="Arial" w:hAnsi="Arial"/>
          <w:sz w:val="16"/>
          <w:szCs w:val="16"/>
          <w:color w:val="auto"/>
        </w:rPr>
        <w:t>, and our proprietary SaaS product,</w:t>
      </w:r>
      <w:r>
        <w:rPr>
          <w:rFonts w:ascii="Arial" w:cs="Arial" w:eastAsia="Arial" w:hAnsi="Arial"/>
          <w:sz w:val="16"/>
          <w:szCs w:val="16"/>
          <w:i w:val="1"/>
          <w:iCs w:val="1"/>
          <w:color w:val="auto"/>
        </w:rPr>
        <w:t xml:space="preserve"> Agrify Insights (AI)</w:t>
      </w:r>
      <w:r>
        <w:rPr>
          <w:rFonts w:ascii="Arial" w:cs="Arial" w:eastAsia="Arial" w:hAnsi="Arial"/>
          <w:sz w:val="16"/>
          <w:szCs w:val="16"/>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183515</wp:posOffset>
            </wp:positionV>
            <wp:extent cx="5143500" cy="34118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5143500"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Agrify Vertical Farming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161925</wp:posOffset>
            </wp:positionV>
            <wp:extent cx="2811780" cy="31629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11780" cy="31629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Insights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6" w:name="page57"/>
    <w:bookmarkEnd w:id="56"/>
    <w:p>
      <w:pPr>
        <w:ind w:left="460" w:right="479" w:firstLine="432"/>
        <w:spacing w:after="0" w:line="285" w:lineRule="auto"/>
        <w:rPr>
          <w:sz w:val="20"/>
          <w:szCs w:val="20"/>
          <w:color w:val="auto"/>
        </w:rPr>
      </w:pPr>
      <w:r>
        <w:rPr>
          <w:rFonts w:ascii="Arial" w:cs="Arial" w:eastAsia="Arial" w:hAnsi="Arial"/>
          <w:sz w:val="16"/>
          <w:szCs w:val="16"/>
          <w:color w:val="auto"/>
        </w:rPr>
        <w:t>Our core business model includes substantial equipment sales for the AVFUs as well as recurring SaaS revenues from our customers’ use of AI. Additionally, we are able to drive even more revenue and new business through our service offerings and complementary products. We started 2020 with deferred revenue of $4 million and received additional bookings of $29 million in the form of purchase orders or purchase commitments (which we refer to as the 2020 Backlog). Of the total 2020 Backlog of $33 million, we recognized revenue of $1 million during the first quarter of 2020 and expect to recognize the balance as revenue by June 2021. As of June 30, 2020, we have $96 million of carefully vetted potential sales opportunities (which we refer to as our qualified pipeline), and we expect a significant percentage of this pipeline to be converted into confirmed bookings during the second half of 2020 and first half of 2021. We target large scale high-value enterprise sales versus high-volume sales, and we believe that we will be able to significantly scale our business in the coming years without needing to significantly increase our headcount. Additionally, four of our last five purchase orders or purchase commitments (all of which were secured during 2020) have been for between $3.5 million and $9.6 million, and we expect that our average contract size will increase over time as well as we begin to partner with larger facilities that require more equipment and services.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93"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state-of-the-art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replicate and create consistent high-quality products across all of their operations, wherever located, similar to any other consumer product company such as branded food or drink product companies.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460" w:right="1199" w:firstLine="432"/>
        <w:spacing w:after="0" w:line="277" w:lineRule="auto"/>
        <w:rPr>
          <w:sz w:val="20"/>
          <w:szCs w:val="20"/>
          <w:color w:val="auto"/>
        </w:rPr>
      </w:pPr>
      <w:r>
        <w:rPr>
          <w:rFonts w:ascii="Arial" w:cs="Arial" w:eastAsia="Arial" w:hAnsi="Arial"/>
          <w:sz w:val="18"/>
          <w:szCs w:val="18"/>
          <w:color w:val="auto"/>
        </w:rPr>
        <w:t>We believe our business has, and our future success will be driven by, the following competitive strengths:</w:t>
      </w:r>
    </w:p>
    <w:p>
      <w:pPr>
        <w:spacing w:after="0" w:line="103" w:lineRule="exact"/>
        <w:rPr>
          <w:sz w:val="20"/>
          <w:szCs w:val="20"/>
          <w:color w:val="auto"/>
        </w:rPr>
      </w:pPr>
    </w:p>
    <w:p>
      <w:pPr>
        <w:ind w:left="1320" w:right="479" w:hanging="434"/>
        <w:spacing w:after="0" w:line="254" w:lineRule="auto"/>
        <w:tabs>
          <w:tab w:leader="none" w:pos="1311"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Market Leading Technology in an Attractive Growing Industry</w:t>
      </w:r>
      <w:r>
        <w:rPr>
          <w:rFonts w:ascii="Arial" w:cs="Arial" w:eastAsia="Arial" w:hAnsi="Arial"/>
          <w:sz w:val="18"/>
          <w:szCs w:val="18"/>
          <w:color w:val="auto"/>
        </w:rPr>
        <w:t>. Our state-of-the art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breakthrough solutions are aimed at large and growing U.S. domestic and global markets. We believe we are the only provider of a fully integrated end-to-end hardware and software turnkey solutions for indoor cultivation facilities.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113" w:lineRule="exact"/>
        <w:rPr>
          <w:rFonts w:ascii="Arial" w:cs="Arial" w:eastAsia="Arial" w:hAnsi="Arial"/>
          <w:sz w:val="18"/>
          <w:szCs w:val="18"/>
          <w:color w:val="auto"/>
        </w:rPr>
      </w:pPr>
    </w:p>
    <w:p>
      <w:pPr>
        <w:ind w:left="1320" w:right="559" w:hanging="434"/>
        <w:spacing w:after="0" w:line="259" w:lineRule="auto"/>
        <w:tabs>
          <w:tab w:leader="none" w:pos="1311"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Proprietary Components. </w:t>
      </w:r>
      <w:r>
        <w:rPr>
          <w:rFonts w:ascii="Arial" w:cs="Arial" w:eastAsia="Arial" w:hAnsi="Arial"/>
          <w:sz w:val="18"/>
          <w:szCs w:val="18"/>
          <w:color w:val="auto"/>
        </w:rPr>
        <w:t>We design and create our own hardware, software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 operating procedures (SOPs) from the ground up, rather than buying piecemeal from third parties. We take a systems-engineered integrated approach that we believe has inherent advantages over other, ad-hoc systems.</w:t>
      </w:r>
    </w:p>
    <w:p>
      <w:pPr>
        <w:spacing w:after="0" w:line="119" w:lineRule="exact"/>
        <w:rPr>
          <w:rFonts w:ascii="Arial" w:cs="Arial" w:eastAsia="Arial" w:hAnsi="Arial"/>
          <w:sz w:val="18"/>
          <w:szCs w:val="18"/>
          <w:color w:val="auto"/>
        </w:rPr>
      </w:pPr>
    </w:p>
    <w:p>
      <w:pPr>
        <w:ind w:left="1320" w:right="479" w:hanging="434"/>
        <w:spacing w:after="0" w:line="271" w:lineRule="auto"/>
        <w:tabs>
          <w:tab w:leader="none" w:pos="1311"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Emphasis on Precision and Consistency Through Our Proprietary Grow Solutions. </w:t>
      </w:r>
      <w:r>
        <w:rPr>
          <w:rFonts w:ascii="Arial" w:cs="Arial" w:eastAsia="Arial" w:hAnsi="Arial"/>
          <w:sz w:val="17"/>
          <w:szCs w:val="17"/>
          <w:color w:val="auto"/>
        </w:rPr>
        <w:t>While being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replicate and create consistent high-quality products from anywhere similar to any other consumer product company that provides a branded food or drink product.</w:t>
      </w:r>
    </w:p>
    <w:p>
      <w:pPr>
        <w:spacing w:after="0" w:line="110" w:lineRule="exact"/>
        <w:rPr>
          <w:rFonts w:ascii="Arial" w:cs="Arial" w:eastAsia="Arial" w:hAnsi="Arial"/>
          <w:sz w:val="17"/>
          <w:szCs w:val="17"/>
          <w:color w:val="auto"/>
        </w:rPr>
      </w:pPr>
    </w:p>
    <w:p>
      <w:pPr>
        <w:ind w:left="1320" w:right="479" w:hanging="434"/>
        <w:spacing w:after="0" w:line="255" w:lineRule="auto"/>
        <w:tabs>
          <w:tab w:leader="none" w:pos="1311"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Market Knowledge and Understanding. </w:t>
      </w:r>
      <w:r>
        <w:rPr>
          <w:rFonts w:ascii="Arial" w:cs="Arial" w:eastAsia="Arial" w:hAnsi="Arial"/>
          <w:sz w:val="18"/>
          <w:szCs w:val="18"/>
          <w:color w:val="auto"/>
        </w:rPr>
        <w:t>We have extensive experience with controlled agriculture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ind w:left="1320" w:right="579" w:hanging="434"/>
        <w:spacing w:after="0" w:line="273" w:lineRule="auto"/>
        <w:tabs>
          <w:tab w:leader="none" w:pos="1311" w:val="left"/>
        </w:tabs>
        <w:numPr>
          <w:ilvl w:val="0"/>
          <w:numId w:val="3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Differentiated Business Model. </w:t>
      </w:r>
      <w:r>
        <w:rPr>
          <w:rFonts w:ascii="Arial" w:cs="Arial" w:eastAsia="Arial" w:hAnsi="Arial"/>
          <w:sz w:val="17"/>
          <w:szCs w:val="17"/>
          <w:color w:val="auto"/>
        </w:rPr>
        <w:t>Unlike many of our competitors, we offer a diversified mix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hardware, software and services, which leads to multiple revenue streams. Through the sales of AVFUs, we generate high gross margin hardware sales that are supplemented by sales of complementary products and services. Additionally, our recurring enterprise SaaS revenues via our AI offering leads to higher customer retention due to the nature of our mission critical turnkey deployments and as we grow, may enable stable high margin cash flow for us.</w:t>
      </w:r>
    </w:p>
    <w:p>
      <w:pPr>
        <w:spacing w:after="0" w:line="96" w:lineRule="exact"/>
        <w:rPr>
          <w:rFonts w:ascii="Arial" w:cs="Arial" w:eastAsia="Arial" w:hAnsi="Arial"/>
          <w:sz w:val="17"/>
          <w:szCs w:val="17"/>
          <w:b w:val="1"/>
          <w:bCs w:val="1"/>
          <w:i w:val="1"/>
          <w:iCs w:val="1"/>
          <w:color w:val="auto"/>
        </w:rPr>
      </w:pPr>
    </w:p>
    <w:p>
      <w:pPr>
        <w:ind w:left="1320" w:right="659" w:hanging="434"/>
        <w:spacing w:after="0" w:line="296" w:lineRule="auto"/>
        <w:tabs>
          <w:tab w:leader="none" w:pos="1311"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Strategic Investment from and Deep Integration with Supplier Relationships. </w:t>
      </w:r>
      <w:r>
        <w:rPr>
          <w:rFonts w:ascii="Arial" w:cs="Arial" w:eastAsia="Arial" w:hAnsi="Arial"/>
          <w:sz w:val="16"/>
          <w:szCs w:val="16"/>
          <w:color w:val="auto"/>
        </w:rPr>
        <w:t>Our shareholder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 includes large Asian scale-up manufacturers that grant us access to their resources and accordingly should enable us to mass produce our products with the support we need. Our LED lighting technology is developed with one of the world’s largest LED driver manufacturers, Inventronics, creating highly efficient design lighting systems for high-quality plant growth.</w:t>
      </w:r>
    </w:p>
    <w:p>
      <w:pPr>
        <w:spacing w:after="0" w:line="93" w:lineRule="exact"/>
        <w:rPr>
          <w:rFonts w:ascii="Arial" w:cs="Arial" w:eastAsia="Arial" w:hAnsi="Arial"/>
          <w:sz w:val="16"/>
          <w:szCs w:val="16"/>
          <w:color w:val="auto"/>
        </w:rPr>
      </w:pPr>
    </w:p>
    <w:p>
      <w:pPr>
        <w:ind w:left="1320" w:right="559" w:hanging="434"/>
        <w:spacing w:after="0" w:line="287" w:lineRule="auto"/>
        <w:tabs>
          <w:tab w:leader="none" w:pos="1311"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Joint Venture with a Leading Consulting and General Contractor of Industrial Facilities. </w:t>
      </w:r>
      <w:r>
        <w:rPr>
          <w:rFonts w:ascii="Arial" w:cs="Arial" w:eastAsia="Arial" w:hAnsi="Arial"/>
          <w:sz w:val="16"/>
          <w:szCs w:val="16"/>
          <w:color w:val="auto"/>
        </w:rPr>
        <w:t>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formed a joint venture with Valiant-America recognizing that 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imbed us with these customers and enables us to become mission critical to their operations.</w:t>
      </w:r>
    </w:p>
    <w:p>
      <w:pPr>
        <w:spacing w:after="0" w:line="104" w:lineRule="exact"/>
        <w:rPr>
          <w:rFonts w:ascii="Arial" w:cs="Arial" w:eastAsia="Arial" w:hAnsi="Arial"/>
          <w:sz w:val="16"/>
          <w:szCs w:val="16"/>
          <w:color w:val="auto"/>
        </w:rPr>
      </w:pPr>
    </w:p>
    <w:p>
      <w:pPr>
        <w:ind w:left="1320" w:right="519" w:hanging="434"/>
        <w:spacing w:after="0" w:line="275" w:lineRule="auto"/>
        <w:tabs>
          <w:tab w:leader="none" w:pos="1311"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Novel Equipment Financing Solution. </w:t>
      </w:r>
      <w:r>
        <w:rPr>
          <w:rFonts w:ascii="Arial" w:cs="Arial" w:eastAsia="Arial" w:hAnsi="Arial"/>
          <w:sz w:val="17"/>
          <w:szCs w:val="17"/>
          <w:color w:val="auto"/>
        </w:rPr>
        <w:t>Limited access to outside capital is a significant issue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cultivators as it can inhibit growth and cultivation facility expansion. We help solve this problem by offering equipment financing plans for select good credit customers, which we believe further enables us to become a vendor of choice. Qualified customers can choose to pay approximately 50% upfront and finance the balance through a two-year payment plan.</w:t>
      </w:r>
    </w:p>
    <w:p>
      <w:pPr>
        <w:spacing w:after="0" w:line="95" w:lineRule="exact"/>
        <w:rPr>
          <w:rFonts w:ascii="Arial" w:cs="Arial" w:eastAsia="Arial" w:hAnsi="Arial"/>
          <w:sz w:val="17"/>
          <w:szCs w:val="17"/>
          <w:color w:val="auto"/>
        </w:rPr>
      </w:pPr>
    </w:p>
    <w:p>
      <w:pPr>
        <w:ind w:left="1320" w:right="839" w:hanging="434"/>
        <w:spacing w:after="0" w:line="259" w:lineRule="auto"/>
        <w:tabs>
          <w:tab w:leader="none" w:pos="1311"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and Proven Management Team. </w:t>
      </w:r>
      <w:r>
        <w:rPr>
          <w:rFonts w:ascii="Arial" w:cs="Arial" w:eastAsia="Arial" w:hAnsi="Arial"/>
          <w:sz w:val="18"/>
          <w:szCs w:val="18"/>
          <w:color w:val="auto"/>
        </w:rPr>
        <w:t>Our leadership team has entrepreneurial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technical expertise and a track record of scaling up businesses and operating public companies. Additionally, our team is supported by strong advisors and leading strategic and institutional investors.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Indoor Agriculture Industry Overview</w:t>
      </w:r>
    </w:p>
    <w:p>
      <w:pPr>
        <w:spacing w:after="0" w:line="162"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w:t>
      </w:r>
    </w:p>
    <w:p>
      <w:pPr>
        <w:spacing w:after="0" w:line="81"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$30 billion in 2019, and is projected to reach $43 billion by 2024, representing a compounded annual growth rate, or CAGR, of 9.65%.</w:t>
      </w:r>
    </w:p>
    <w:p>
      <w:pPr>
        <w:spacing w:after="0" w:line="111"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ind w:left="460" w:right="699" w:firstLine="432"/>
        <w:spacing w:after="0" w:line="257" w:lineRule="auto"/>
        <w:rPr>
          <w:sz w:val="20"/>
          <w:szCs w:val="20"/>
          <w:color w:val="auto"/>
        </w:rPr>
      </w:pPr>
      <w:r>
        <w:rPr>
          <w:rFonts w:ascii="Arial" w:cs="Arial" w:eastAsia="Arial" w:hAnsi="Arial"/>
          <w:sz w:val="18"/>
          <w:szCs w:val="18"/>
          <w:color w:val="auto"/>
        </w:rPr>
        <w:t>Within the indoor agriculture space, there has been a big push to leverage the power of vertical farming and technology to further improve production in novel ways. Vertical farming is a transformative approach to cultivation that is used to produce various foods and medicinal plants in vertically stacked layers such as in open warehouses or shipping containers. Our products are designed specifically to serve the vertical farming market.</w:t>
      </w:r>
    </w:p>
    <w:p>
      <w:pPr>
        <w:spacing w:after="0" w:line="107"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According to Allied Market Research, the global vertical farming market size was valued at $2.23 billion in 2018, and is projected to reach $12.77 billion by 2026, representing a CAGR of 24.6% from 2019 to 2026. MarketWatch is even more bullish on this market as they are forecasting the vertical farming market share to accumulate $22 billion by 2026 in their Market Insight Reports from June 10, 2020. The demand for vertical farming is expected to increase rapidly due in large part to the rise in popularity of organic food as well as the lessening of legal and regulatory restrictions around cannabis and hemp.</w:t>
      </w:r>
    </w:p>
    <w:p>
      <w:pPr>
        <w:spacing w:after="0" w:line="110"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One of the main drivers behind the increased prominence of vertical farming is that the vertically stacked structure of these farms reduces the need for additional construction activity and land. However, a high level of initial capital is often required for setting up the indoor vertical structure with all of the necessary lighting and irrigation systems. This is something we have been very mindful of when designing (and as we continue to improve) our products as well as when we launched our new architectural, engineering, consulting and construction services and our new product financing program.</w:t>
      </w:r>
    </w:p>
    <w:p>
      <w:pPr>
        <w:spacing w:after="0" w:line="110"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While the ability to use previously untapped vertical space for cultivation offers tremendous upside for an existing facility, the advent of cutting-edge technological solutions like ours should help indoor growers push the boundaries of what is possible to an even greater extent. Indoor growers are now relying on technology to help them increase plant yields, generate higher revenues, manage operations and improve crop quality, and our products and services are geared directly towards satisfying the technology needs of our customers.</w:t>
      </w:r>
    </w:p>
    <w:p>
      <w:pPr>
        <w:spacing w:after="0" w:line="80"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According to the State of Indoor Farming 2017 report by Agrilyst (now known as Artemis), which incorporated feedback and insights from over 150 indoor growers throughout the world as well as research from Cornell University, small farms (which were defined as less than 10,000 square feet) on average have an annual budget of $7.68 per square foot to invest in technology and large farms (which were defined as at or above 10,000 square feet) on average spend about $9.34 per square foot on technology to foster an environment where they can produce more with less. As a result, we believe there is clearly a demonstrated willingness to spend on integrating technological solutions into the way indoor farms are structured both now and in the future to help those operators achieve many of their financial-related goals around increasing revenues and decreasing costs.</w:t>
      </w:r>
    </w:p>
    <w:p>
      <w:pPr>
        <w:spacing w:after="0" w:line="9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polling a wide variety of indoor cultivators, Artemis discovered that “automation tops the list of technologies growers are most excited about. Second to automation is HVAC (heating, venting, and air conditioning) equipment. Third was a tie between data analytics, LED lighting, and sensors.” With the high cost of labor, it is no surprise that automation, which is a big part of our value proposition, ranked number one in this poll as most progressive growers are thinking strategically about what aspects of their business can be delegated to technological solutions instead of expensive personnel. Technology is driving significant change in the agriculture industry and will enable growers to enhance margin and institutionalize the process in which they grow.</w:t>
      </w:r>
    </w:p>
    <w:p>
      <w:pPr>
        <w:spacing w:after="0" w:line="124" w:lineRule="exact"/>
        <w:rPr>
          <w:sz w:val="20"/>
          <w:szCs w:val="20"/>
          <w:color w:val="auto"/>
        </w:rPr>
      </w:pPr>
    </w:p>
    <w:p>
      <w:pPr>
        <w:ind w:left="460" w:right="659" w:firstLine="432"/>
        <w:spacing w:after="0" w:line="293" w:lineRule="auto"/>
        <w:rPr>
          <w:sz w:val="20"/>
          <w:szCs w:val="20"/>
          <w:color w:val="auto"/>
        </w:rPr>
      </w:pPr>
      <w:r>
        <w:rPr>
          <w:rFonts w:ascii="Arial" w:cs="Arial" w:eastAsia="Arial" w:hAnsi="Arial"/>
          <w:sz w:val="16"/>
          <w:szCs w:val="16"/>
          <w:color w:val="auto"/>
        </w:rPr>
        <w:t>One of the ancillary benefits of this increased emphasis on technology is that it is giving indoor cultivators the confidence to expand their footprint. In fact, 84% of the farms that participated in the Artemis study reported that they are planning to expand their facilities in the five years spanning 2018 to 2022. More importantly, their growth plans were quite ambitious as they indicated they will be adding 22.3 million square feet of growing area. A lot of this expansion is being spearheaded by leafy greens growers as they expect to augment their existing operations with 15 million square feet in new growing area.</w:t>
      </w:r>
    </w:p>
    <w:p>
      <w:pPr>
        <w:spacing w:after="0" w:line="83"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We believe our team, strategy and “Precision Elevated™” cultivation solution have all evolved to meet the needs of indoor growers and capitalize on all of the growth that is expected throughout our total addressable market over the next decade.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9" w:name="page60"/>
    <w:bookmarkEnd w:id="59"/>
    <w:p>
      <w:pPr>
        <w:ind w:left="880"/>
        <w:spacing w:after="0"/>
        <w:rPr>
          <w:sz w:val="20"/>
          <w:szCs w:val="20"/>
          <w:color w:val="auto"/>
        </w:rPr>
      </w:pPr>
      <w:r>
        <w:rPr>
          <w:rFonts w:ascii="Arial" w:cs="Arial" w:eastAsia="Arial" w:hAnsi="Arial"/>
          <w:sz w:val="18"/>
          <w:szCs w:val="18"/>
          <w:i w:val="1"/>
          <w:iCs w:val="1"/>
          <w:color w:val="auto"/>
        </w:rPr>
        <w:t>Well-Established Crop Market Opportunities</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With the right equipment, setup and configuration, cultivators can grow almost anything within an indoor vertical farm. With so many options at their fingertips, farmers face a huge opportunity cost when deciding what to grow and how to grow it. Even if a certain crop is biologically viable in an indoor setting, it may not be commercially viable. Consequently, there are a number of important factors including equipment, processes and economics that drive cultivators to narrow their focus to a small subset of crops that are the most conducive to long-term profitability.</w:t>
      </w:r>
    </w:p>
    <w:p>
      <w:pPr>
        <w:spacing w:after="0" w:line="111"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Given that it is expensive to operate an indoor facility, the crops that generally get the most grow space are those that generate high revenues and/or have quick grow cycles. The result, as reported in the State of Indoor Farming 2017 report by Agrilyst (now known as Artemis), is a distribution of output and activity heavily skewed toward leafy greens, tomatoes, herbs, flowers and microgreens, which easily represented the majority of crops grown indoors at that time.</w:t>
      </w:r>
    </w:p>
    <w:p>
      <w:pPr>
        <w:spacing w:after="0" w:line="120"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These findings were largely reinforced in the 2019 Global CEA (Controlled Environment Agriculture) Census. As part of this joint project spearheaded by Agritecture LLC and Autogrow, 316 indoor farms in more than 50 countries responded to a wide variety of questions to uncover insights and trends across several key areas of the indoor agriculture industry including what crops are being grown most frequently.</w:t>
      </w:r>
    </w:p>
    <w:p>
      <w:pPr>
        <w:spacing w:after="0" w:line="104"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majority of indoor farms that took part in the 2019 Global CEA Census stated that they are still focusing the bulk of their efforts on leafy greens (herbs, salad greens and microgreens) due to their quick crop cycles and high percentage of harvestable biomass. In looking at the numbers, 65% of all respondents indicated that they grow salad greens and microgreens including 61% in indoor vertical farms.</w:t>
      </w:r>
    </w:p>
    <w:p>
      <w:pPr>
        <w:spacing w:after="0" w:line="76"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bagged salad market is a perfect example of a booming industry and also one that illustrates society’s increasing preference for healthy and clean foods. According to one of our leafy greens customers, the bagged salad market in America is currently a $5 billion market with $3.7 billion coming from the grocery segment and $1.3 billion generated from the foodservice industry. The CAGR is projected to increase by 25% over the next five years.</w:t>
      </w:r>
    </w:p>
    <w:p>
      <w:pPr>
        <w:spacing w:after="0" w:line="120"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The following chart shows all of the crops grown across the indoor vertical farms that participated in the 2019 Global CEA Census: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74295</wp:posOffset>
            </wp:positionV>
            <wp:extent cx="5143500" cy="15005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Crops Grown By Operation — Indoor Vertical Farming (2019 Global CEA Census)</w:t>
      </w:r>
    </w:p>
    <w:p>
      <w:pPr>
        <w:spacing w:after="0" w:line="162"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With many new ventures entering this market and a large portion of the well-established entities in expansion mode, it is clear that indoor farming is here to stay and will be a big part of the future of food production both in the U.S. and throughout the rest of the world. Despite its rise in popularity, the indoor farming industry is not without its challenges, many of which are financial and operational in nature. While indoor farmers are generally progressive and well-intentioned, there is still a lot of work to be done before their facilities morph into truly optimized production and profit centers. This represents a sizeable opportunity for outside vendors to bring fresh perspectives and further innovation into the mix.</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0" w:name="page61"/>
    <w:bookmarkEnd w:id="60"/>
    <w:p>
      <w:pPr>
        <w:jc w:val="both"/>
        <w:ind w:left="460" w:right="639" w:firstLine="432"/>
        <w:spacing w:after="0" w:line="263" w:lineRule="auto"/>
        <w:rPr>
          <w:sz w:val="20"/>
          <w:szCs w:val="20"/>
          <w:color w:val="auto"/>
        </w:rPr>
      </w:pPr>
      <w:r>
        <w:rPr>
          <w:rFonts w:ascii="Arial" w:cs="Arial" w:eastAsia="Arial" w:hAnsi="Arial"/>
          <w:sz w:val="18"/>
          <w:szCs w:val="18"/>
          <w:color w:val="auto"/>
        </w:rPr>
        <w:t>We believe that our technology is a key missing ingredient that can help indoor growers of salad greens, microgreens, herbs, other leafy greens, vine vegetables and berries maximize yields, improve crop quality and consistency, and decrease production costs over time.</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Cannabis Market Opportunity</w:t>
      </w:r>
    </w:p>
    <w:p>
      <w:pPr>
        <w:spacing w:after="0" w:line="144" w:lineRule="exact"/>
        <w:rPr>
          <w:sz w:val="20"/>
          <w:szCs w:val="20"/>
          <w:color w:val="auto"/>
        </w:rPr>
      </w:pPr>
    </w:p>
    <w:p>
      <w:pPr>
        <w:ind w:left="460" w:right="839" w:firstLine="432"/>
        <w:spacing w:after="0" w:line="263" w:lineRule="auto"/>
        <w:rPr>
          <w:sz w:val="20"/>
          <w:szCs w:val="20"/>
          <w:color w:val="auto"/>
        </w:rPr>
      </w:pPr>
      <w:r>
        <w:rPr>
          <w:rFonts w:ascii="Arial" w:cs="Arial" w:eastAsia="Arial" w:hAnsi="Arial"/>
          <w:sz w:val="18"/>
          <w:szCs w:val="18"/>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pacing w:after="0" w:line="116"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w:t>
      </w:r>
    </w:p>
    <w:p>
      <w:pPr>
        <w:spacing w:after="0" w:line="111"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According to Arcview Market Research and BDS Analytics, state-legal cannabis sales in the U.S. grew to an estimated $12.2 billion in 2019, an increase of 34% over 2018’s total of $9.1 billion and are expected to grow to over $31 billion by 2024. 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 be even more growth on the horizon.</w:t>
      </w:r>
    </w:p>
    <w:p>
      <w:pPr>
        <w:spacing w:after="0" w:line="8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different cultivation environments each have advantages and disadvantages producing product sold at different price points based on quality.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 The variance in price and demand is due to actual and perceived differences in the quality of the product produced.</w:t>
      </w:r>
    </w:p>
    <w:p>
      <w:pPr>
        <w:spacing w:after="0" w:line="114"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Outdoor cannabis has the lowest initial CapEx required to start cultivation. According to Marijuana Business Daily (MBD), the average startup cost per square foot of outdoor cultivation can be as low as $10.00. The expansive size of outdoor grows and their reliance on natural soil, lighting and weather conditions means cultivators have relatively few infrastructure needs. They can get their business off the ground quickly and with minimal upfront expenditures trading quality for lower cost production.</w:t>
      </w:r>
    </w:p>
    <w:p>
      <w:pPr>
        <w:spacing w:after="0" w:line="109"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Greenhouse grown cannabis commands a higher price per pound than field grown cannabis as the more protected environment produces higher quality flower. According to MBD, they list the average startup cost per square foot for greenhouse cultivation as $50-$200 or more per square foot.</w:t>
      </w:r>
    </w:p>
    <w:p>
      <w:pPr>
        <w:spacing w:after="0" w:line="103" w:lineRule="exact"/>
        <w:rPr>
          <w:sz w:val="20"/>
          <w:szCs w:val="20"/>
          <w:color w:val="auto"/>
        </w:rPr>
      </w:pPr>
    </w:p>
    <w:p>
      <w:pPr>
        <w:ind w:left="460" w:right="679" w:firstLine="432"/>
        <w:spacing w:after="0" w:line="279" w:lineRule="auto"/>
        <w:rPr>
          <w:sz w:val="20"/>
          <w:szCs w:val="20"/>
          <w:color w:val="auto"/>
        </w:rPr>
      </w:pPr>
      <w:r>
        <w:rPr>
          <w:rFonts w:ascii="Arial" w:cs="Arial" w:eastAsia="Arial" w:hAnsi="Arial"/>
          <w:sz w:val="17"/>
          <w:szCs w:val="17"/>
          <w:color w:val="auto"/>
        </w:rPr>
        <w:t>Indoor grown cannabis commands the highest price per pound as it produces the highest quality flower. Indoor cultivation facilities vary significantly in sophistication and technology with the build-out costs reflecting that fact and ranging from $75-$300 or more per square foot. Indoor grown cannabis is associated with the highest quality because growers have the most control over the environment.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b w:val="1"/>
          <w:bCs w:val="1"/>
          <w:color w:val="auto"/>
        </w:rPr>
        <w:t>Our Product: the Agrify “Precision Elevated™” Cultivation Solution</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Given the significant shortcomings associated with traditional indoor grow methods across all commercial agriculture segments, it was apparent to our management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70"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In looking at our product mix, our core offering and the focus of our sales efforts involves bundling our AVFUs and Agrify Integrated Grow Racks with our AI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80"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Beyond these key attributes, we have several other products such as environmental threat mitigation and horticulture lighting solutions as well as services such as those offered through our joint venture with Valiant-America and our equipment financing vehicle that either serve as great complements to our core offering to form a novel, fully integrated approach for indoor cultivation or the individual components can also be utilized on their own, offering valuable touchpoints to potentially seed relationships and convert them into more lucrative land-and-expand engagements in the future.</w:t>
      </w:r>
    </w:p>
    <w:p>
      <w:pPr>
        <w:spacing w:after="0" w:line="70" w:lineRule="exact"/>
        <w:rPr>
          <w:sz w:val="20"/>
          <w:szCs w:val="20"/>
          <w:color w:val="auto"/>
        </w:rPr>
      </w:pPr>
    </w:p>
    <w:p>
      <w:pPr>
        <w:ind w:left="460" w:right="899" w:firstLine="432"/>
        <w:spacing w:after="0" w:line="259" w:lineRule="auto"/>
        <w:rPr>
          <w:sz w:val="20"/>
          <w:szCs w:val="20"/>
          <w:color w:val="auto"/>
        </w:rPr>
      </w:pPr>
      <w:r>
        <w:rPr>
          <w:rFonts w:ascii="Arial" w:cs="Arial" w:eastAsia="Arial" w:hAnsi="Arial"/>
          <w:sz w:val="18"/>
          <w:szCs w:val="18"/>
          <w:color w:val="auto"/>
        </w:rPr>
        <w:t>Our individual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Core Bundled Solution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Agrify Vertical Farming Unit (AVFU)</w:t>
      </w:r>
    </w:p>
    <w:p>
      <w:pPr>
        <w:spacing w:after="0" w:line="15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We believe our proprietary Agrify Vertical Farming Unit (AVFU) technology is the only product in the market that offers a modular, compartmentalized micro-climate growing system for indoor vertical farming. Our AVFU system is designed for large-state and multi-state operators who are looking to produce higher-quality crops consistently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101600</wp:posOffset>
            </wp:positionV>
            <wp:extent cx="4732020" cy="31286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3202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AVFU</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2" w:name="page63"/>
    <w:bookmarkEnd w:id="62"/>
    <w:p>
      <w:pPr>
        <w:ind w:left="460" w:right="619" w:firstLine="432"/>
        <w:spacing w:after="0" w:line="263" w:lineRule="auto"/>
        <w:rPr>
          <w:sz w:val="20"/>
          <w:szCs w:val="20"/>
          <w:color w:val="auto"/>
        </w:rPr>
      </w:pPr>
      <w:r>
        <w:rPr>
          <w:rFonts w:ascii="Arial" w:cs="Arial" w:eastAsia="Arial" w:hAnsi="Arial"/>
          <w:sz w:val="18"/>
          <w:szCs w:val="18"/>
          <w:color w:val="auto"/>
        </w:rPr>
        <w:t>The AVFU is an 8 ft. long x 4 ft. wide x 9.25 ft. tall integrated hardware and software growing system. The unit is designed to line up horizontally in rows, and they can be stacked vertically up to 3 units tall, taking advantage of unused indoor vertical space with the below advantages:</w:t>
      </w:r>
    </w:p>
    <w:p>
      <w:pPr>
        <w:spacing w:after="0" w:line="103" w:lineRule="exact"/>
        <w:rPr>
          <w:sz w:val="20"/>
          <w:szCs w:val="20"/>
          <w:color w:val="auto"/>
        </w:rPr>
      </w:pPr>
    </w:p>
    <w:p>
      <w:pPr>
        <w:ind w:left="1320" w:right="499" w:hanging="434"/>
        <w:spacing w:after="0" w:line="286" w:lineRule="auto"/>
        <w:tabs>
          <w:tab w:leader="none" w:pos="1311" w:val="left"/>
        </w:tabs>
        <w:numPr>
          <w:ilvl w:val="0"/>
          <w:numId w:val="3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Superior Floor Space Utilization. </w:t>
      </w:r>
      <w:r>
        <w:rPr>
          <w:rFonts w:ascii="Arial" w:cs="Arial" w:eastAsia="Arial" w:hAnsi="Arial"/>
          <w:sz w:val="17"/>
          <w:szCs w:val="17"/>
          <w:color w:val="auto"/>
        </w:rPr>
        <w:t>Each AVFU provides two grow rows. Our design introduces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open-room facility design approach to maximize available cultivation floor print while offering superior risk mitigation via individual compartmentalized cultivation chambers.</w:t>
      </w:r>
    </w:p>
    <w:p>
      <w:pPr>
        <w:spacing w:after="0" w:line="97" w:lineRule="exact"/>
        <w:rPr>
          <w:rFonts w:ascii="Arial" w:cs="Arial" w:eastAsia="Arial" w:hAnsi="Arial"/>
          <w:sz w:val="17"/>
          <w:szCs w:val="17"/>
          <w:color w:val="auto"/>
        </w:rPr>
      </w:pPr>
    </w:p>
    <w:p>
      <w:pPr>
        <w:ind w:left="1320" w:right="679" w:hanging="434"/>
        <w:spacing w:after="0" w:line="25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Precise Environmental Controls</w:t>
      </w:r>
      <w:r>
        <w:rPr>
          <w:rFonts w:ascii="Arial" w:cs="Arial" w:eastAsia="Arial" w:hAnsi="Arial"/>
          <w:sz w:val="18"/>
          <w:szCs w:val="18"/>
          <w:color w:val="auto"/>
        </w:rPr>
        <w:t>. Each AVFU has an environmental control unit (ECU)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integrated with our proprietary cultivation software, Agrify Insights. This integration allows for precise control and automation over light photoperiod and intensity, temperature, humidity, vapor pressure deficit (VPD), carbon dioxide, fertigation and irrigation throughout the life cycle of the plants.</w:t>
      </w:r>
    </w:p>
    <w:p>
      <w:pPr>
        <w:spacing w:after="0" w:line="120" w:lineRule="exact"/>
        <w:rPr>
          <w:rFonts w:ascii="Arial" w:cs="Arial" w:eastAsia="Arial" w:hAnsi="Arial"/>
          <w:sz w:val="18"/>
          <w:szCs w:val="18"/>
          <w:color w:val="auto"/>
        </w:rPr>
      </w:pPr>
    </w:p>
    <w:p>
      <w:pPr>
        <w:ind w:left="1320" w:right="519" w:hanging="434"/>
        <w:spacing w:after="0" w:line="263"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Modular Scalability</w:t>
      </w:r>
      <w:r>
        <w:rPr>
          <w:rFonts w:ascii="Arial" w:cs="Arial" w:eastAsia="Arial" w:hAnsi="Arial"/>
          <w:sz w:val="18"/>
          <w:szCs w:val="18"/>
          <w:color w:val="auto"/>
        </w:rPr>
        <w:t>. The AVFU is designed with proper loading to stack up to 3 units tall,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sextupling production volume over the same footprint. Each unit is designed to easily integrate with a mezzanine catwalk system.</w:t>
      </w:r>
    </w:p>
    <w:p>
      <w:pPr>
        <w:spacing w:after="0" w:line="102" w:lineRule="exact"/>
        <w:rPr>
          <w:rFonts w:ascii="Arial" w:cs="Arial" w:eastAsia="Arial" w:hAnsi="Arial"/>
          <w:sz w:val="18"/>
          <w:szCs w:val="18"/>
          <w:color w:val="auto"/>
        </w:rPr>
      </w:pPr>
    </w:p>
    <w:p>
      <w:pPr>
        <w:ind w:left="1320" w:right="519" w:hanging="434"/>
        <w:spacing w:after="0" w:line="255"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Biosecurity and Risk Mitigation</w:t>
      </w:r>
      <w:r>
        <w:rPr>
          <w:rFonts w:ascii="Arial" w:cs="Arial" w:eastAsia="Arial" w:hAnsi="Arial"/>
          <w:sz w:val="18"/>
          <w:szCs w:val="18"/>
          <w:color w:val="auto"/>
        </w:rPr>
        <w:t>. The AVFU has a motorized curtain on both sides of the unit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enclose the grow area to prevent light-leak and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AVFU can be easily sanitized.</w:t>
      </w:r>
    </w:p>
    <w:p>
      <w:pPr>
        <w:spacing w:after="0" w:line="124" w:lineRule="exact"/>
        <w:rPr>
          <w:rFonts w:ascii="Arial" w:cs="Arial" w:eastAsia="Arial" w:hAnsi="Arial"/>
          <w:sz w:val="18"/>
          <w:szCs w:val="18"/>
          <w:color w:val="auto"/>
        </w:rPr>
      </w:pPr>
    </w:p>
    <w:p>
      <w:pPr>
        <w:ind w:left="1320" w:right="519" w:hanging="434"/>
        <w:spacing w:after="0" w:line="279" w:lineRule="auto"/>
        <w:tabs>
          <w:tab w:leader="none" w:pos="1311" w:val="left"/>
        </w:tabs>
        <w:numPr>
          <w:ilvl w:val="0"/>
          <w:numId w:val="34"/>
        </w:numPr>
        <w:rPr>
          <w:rFonts w:ascii="Arial" w:cs="Arial" w:eastAsia="Arial" w:hAnsi="Arial"/>
          <w:sz w:val="17"/>
          <w:szCs w:val="17"/>
          <w:color w:val="auto"/>
        </w:rPr>
      </w:pPr>
      <w:r>
        <w:rPr>
          <w:rFonts w:ascii="Arial" w:cs="Arial" w:eastAsia="Arial" w:hAnsi="Arial"/>
          <w:sz w:val="17"/>
          <w:szCs w:val="17"/>
          <w:b w:val="1"/>
          <w:bCs w:val="1"/>
          <w:i w:val="1"/>
          <w:iCs w:val="1"/>
          <w:color w:val="auto"/>
        </w:rPr>
        <w:t>Worker Safety</w:t>
      </w:r>
      <w:r>
        <w:rPr>
          <w:rFonts w:ascii="Arial" w:cs="Arial" w:eastAsia="Arial" w:hAnsi="Arial"/>
          <w:sz w:val="17"/>
          <w:szCs w:val="17"/>
          <w:color w:val="auto"/>
        </w:rPr>
        <w:t>. The AVFU’s working area is 8 feet tall, allowing easy access to both rows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plants within the unit. As the motorized curtains can be lifted on either side, this also allows efficient ergonomics at arm’s length. Similarly, our Interlight LED technology is dimmed or turned-off when the curtains are raised for a more ambient working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74930</wp:posOffset>
            </wp:positionV>
            <wp:extent cx="2794635" cy="3343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94635"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Stacked AVFUs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3" w:name="page64"/>
    <w:bookmarkEnd w:id="63"/>
    <w:p>
      <w:pPr>
        <w:ind w:left="460" w:right="619" w:firstLine="432"/>
        <w:spacing w:after="0" w:line="275" w:lineRule="auto"/>
        <w:rPr>
          <w:sz w:val="20"/>
          <w:szCs w:val="20"/>
          <w:color w:val="auto"/>
        </w:rPr>
      </w:pPr>
      <w:r>
        <w:rPr>
          <w:rFonts w:ascii="Arial" w:cs="Arial" w:eastAsia="Arial" w:hAnsi="Arial"/>
          <w:sz w:val="17"/>
          <w:szCs w:val="17"/>
          <w:color w:val="auto"/>
        </w:rPr>
        <w:t>The AVFU is a premium indoor grow solution with an MSRP starting at $20,000, and our most recent AVFU 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AI software and ancillary products and services are realized.</w:t>
      </w:r>
    </w:p>
    <w:p>
      <w:pPr>
        <w:spacing w:after="0" w:line="95" w:lineRule="exact"/>
        <w:rPr>
          <w:sz w:val="20"/>
          <w:szCs w:val="20"/>
          <w:color w:val="auto"/>
        </w:rPr>
      </w:pPr>
    </w:p>
    <w:p>
      <w:pPr>
        <w:ind w:left="460" w:right="599" w:firstLine="432"/>
        <w:spacing w:after="0" w:line="342" w:lineRule="auto"/>
        <w:rPr>
          <w:sz w:val="20"/>
          <w:szCs w:val="20"/>
          <w:color w:val="auto"/>
        </w:rPr>
      </w:pPr>
      <w:r>
        <w:rPr>
          <w:rFonts w:ascii="Arial" w:cs="Arial" w:eastAsia="Arial" w:hAnsi="Arial"/>
          <w:sz w:val="16"/>
          <w:szCs w:val="16"/>
          <w:color w:val="auto"/>
        </w:rPr>
        <w:t>To further illustrate the benefit of going with the AVFU infrastructure versus a more traditional indoor cultivation setup, we have conducted a comparative analysis internally on an actual 45,082 square foot facility.</w:t>
      </w:r>
    </w:p>
    <w:p>
      <w:pPr>
        <w:spacing w:after="0" w:line="56" w:lineRule="exact"/>
        <w:rPr>
          <w:sz w:val="20"/>
          <w:szCs w:val="20"/>
          <w:color w:val="auto"/>
        </w:rPr>
      </w:pPr>
    </w:p>
    <w:p>
      <w:pPr>
        <w:jc w:val="both"/>
        <w:ind w:left="460" w:right="619" w:firstLine="432"/>
        <w:spacing w:after="0" w:line="279" w:lineRule="auto"/>
        <w:rPr>
          <w:sz w:val="20"/>
          <w:szCs w:val="20"/>
          <w:color w:val="auto"/>
        </w:rPr>
      </w:pPr>
      <w:r>
        <w:rPr>
          <w:rFonts w:ascii="Arial" w:cs="Arial" w:eastAsia="Arial" w:hAnsi="Arial"/>
          <w:sz w:val="17"/>
          <w:szCs w:val="17"/>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over 5x more yield and significantly enhanced revenue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74930</wp:posOffset>
            </wp:positionV>
            <wp:extent cx="5143500" cy="37807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3780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Facility with AVFU Setup</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183515</wp:posOffset>
            </wp:positionV>
            <wp:extent cx="5143500" cy="37630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514350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Facility with Traditional Grow 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126365</wp:posOffset>
            </wp:positionV>
            <wp:extent cx="5143500" cy="4286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42862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5" w:name="page66"/>
    <w:bookmarkEnd w:id="65"/>
    <w:p>
      <w:pPr>
        <w:ind w:left="460" w:right="739" w:firstLine="432"/>
        <w:spacing w:after="0" w:line="277" w:lineRule="auto"/>
        <w:rPr>
          <w:sz w:val="20"/>
          <w:szCs w:val="20"/>
          <w:color w:val="auto"/>
        </w:rPr>
      </w:pPr>
      <w:r>
        <w:rPr>
          <w:rFonts w:ascii="Arial" w:cs="Arial" w:eastAsia="Arial" w:hAnsi="Arial"/>
          <w:sz w:val="18"/>
          <w:szCs w:val="18"/>
          <w:color w:val="auto"/>
        </w:rPr>
        <w:t>Set forth below are the illustrative costs and revenue potential for cultivators of both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66040</wp:posOffset>
            </wp:positionV>
            <wp:extent cx="5126355" cy="2228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2635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See “Certain Non-GAAP Financial Measurements and Reconciliation to GAAP” on page 15.</w:t>
      </w:r>
    </w:p>
    <w:p>
      <w:pPr>
        <w:spacing w:after="0" w:line="149"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While the upfront cost is approximately 2x the amount for the facility that is outfitted in AVFUs, that is quickly offset by the fact that an AVFU outfitted facility has the capacity to generate over 5x the amount of annual revenue and EBITDA. In looking at the numerical values in the model, it becomes even more compelling when comparing the AVFU facility to a facility with a traditional grow room. Assuming an initial investment of approximately $32 million for the AVFU facility build-out, our model indicates that the facility owner would recoup their initial investment and produce significant free cash flow in the first year of operation assuming the facility should be able to achieve over $79 million of annual estimated revenue and $70 million in annual estimated EBITDA. In contrast, the traditional indoor facility would cost $14.5 million to build out and would generate approximately $15 million in annual estimated revenue and $12 million in annual estimated EBITDA. When comparing the two facilities on a side-by-side analysis, we believe the AVFU facility is far more attractive than the traditional facility given the financial upside is significantly higher, and also the precision elevated approach is a far more sophisticated way to grow crops.</w:t>
      </w:r>
    </w:p>
    <w:p>
      <w:pPr>
        <w:spacing w:after="0" w:line="111" w:lineRule="exact"/>
        <w:rPr>
          <w:sz w:val="20"/>
          <w:szCs w:val="20"/>
          <w:color w:val="auto"/>
        </w:rPr>
      </w:pPr>
    </w:p>
    <w:p>
      <w:pPr>
        <w:ind w:left="460" w:right="579" w:firstLine="432"/>
        <w:spacing w:after="0" w:line="253" w:lineRule="auto"/>
        <w:rPr>
          <w:sz w:val="20"/>
          <w:szCs w:val="20"/>
          <w:color w:val="auto"/>
        </w:rPr>
      </w:pPr>
      <w:r>
        <w:rPr>
          <w:rFonts w:ascii="Arial" w:cs="Arial" w:eastAsia="Arial" w:hAnsi="Arial"/>
          <w:sz w:val="18"/>
          <w:szCs w:val="18"/>
          <w:color w:val="auto"/>
        </w:rPr>
        <w:t>We have also modeled out another scenario in which a prospective customer has a license that stipulates that they are permitted to operate with at most 16,200 square feet of canopy space in their facility (which is the exact same amount of canopy square footage displayed in the above model for the traditional setup in the 45,082 square foot facility). However, given the modular and stackable nature of the AVFUs, we are able to help the customer achieve the same canopy square footage with 253 AFVUs in a facility that is only 20,000 square feet, which is less than half the size of the traditional facility. We have included concept drawings for both facilities below. While canopy square footage is basically identical in both facilities, the AVFU setup requires a much smaller and theoretically much less expensive facility, and because the AVFUs are more productive, the estimated annual yield is about 78% higher than in the facility with the traditional grow room setup.</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183515</wp:posOffset>
            </wp:positionV>
            <wp:extent cx="5143500" cy="32486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51435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20,000 Square Foot Facility with AVFUs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126365</wp:posOffset>
            </wp:positionV>
            <wp:extent cx="5143500" cy="37630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37630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u w:val="single" w:color="auto"/>
          <w:color w:val="auto"/>
        </w:rPr>
        <w:t>45,082 Square Foot Facility with Traditional Grow 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102870</wp:posOffset>
            </wp:positionV>
            <wp:extent cx="5143500" cy="4286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Set forth below are the illustrative costs and revenue potential for cultivators of both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74295</wp:posOffset>
            </wp:positionV>
            <wp:extent cx="5126355" cy="22199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2635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See “Certain Non-GAAP Financial Measurements and Reconciliation to GAAP” on page 15.</w:t>
      </w:r>
    </w:p>
    <w:p>
      <w:pPr>
        <w:spacing w:after="0" w:line="163"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In this case, the estimated total build-out cost for the AVFU facility is over $2 million less than the traditional facility (and it could theoretically be even less if a smaller lot size and a smaller structure are purchased). Not only is there a significant upfront cost savings with the AVFU approach in this scenario, but the annual estimated EBITDA is almost 2x that of the traditional approach as well.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183515</wp:posOffset>
            </wp:positionV>
            <wp:extent cx="5143500" cy="31115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514350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with AVFUs</w:t>
      </w:r>
    </w:p>
    <w:p>
      <w:pPr>
        <w:spacing w:after="0" w:line="148" w:lineRule="exact"/>
        <w:rPr>
          <w:sz w:val="20"/>
          <w:szCs w:val="20"/>
          <w:color w:val="auto"/>
        </w:rPr>
      </w:pPr>
    </w:p>
    <w:p>
      <w:pPr>
        <w:ind w:left="460" w:right="559" w:firstLine="432"/>
        <w:spacing w:after="0" w:line="253" w:lineRule="auto"/>
        <w:rPr>
          <w:sz w:val="20"/>
          <w:szCs w:val="20"/>
          <w:color w:val="auto"/>
        </w:rPr>
      </w:pPr>
      <w:r>
        <w:rPr>
          <w:rFonts w:ascii="Arial" w:cs="Arial" w:eastAsia="Arial" w:hAnsi="Arial"/>
          <w:sz w:val="18"/>
          <w:szCs w:val="18"/>
          <w:color w:val="auto"/>
        </w:rPr>
        <w:t>Additionally, our LED lights, have shown promising results on their own within a 50,000 square foot facility for one of our leafy green customers. This customer reported that our LED lights allowed them to increase their sellable output for romaine lettuce from approximately 92 pounds per grow board to over 210 pounds per grow board, and the amount of their sellable butter lettuce went from 105 pounds per grow board to over 128 pounds per grow board. Overall, this customer experienced a roughly 28% increase in revenue after only 7 weeks of using our lights. They have also reported a noticeable improvement in the appearance of their end products with their chopped romaine looking fuller and greener when grown under our lights versus the lights of another vendor. Lastly, this customer indicated that they are benefiting from a 1-2 day extension in average shelf life.</w:t>
      </w:r>
    </w:p>
    <w:p>
      <w:pPr>
        <w:spacing w:after="0" w:line="129"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Our premium indoor grow solutions, whether it’s our AVFUs or our LED lights, are designed, engineered and calibrated to drive significant improvements for our customers, who trust us to deliver the type of productivity and quality that was previously unattainable.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Agrify Integrated Grow Racks (AIGR)</w:t>
      </w:r>
    </w:p>
    <w:p>
      <w:pPr>
        <w:spacing w:after="0" w:line="162"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We currently offer 2 ft. x 8 ft. indoor agricultural integrated grow racks to supplement the growing process that is occurring within the AVFUs. These racks are differentiated based on the number of integrated shelving tiers within the grow rack system: 2-tier, 4-tier, and 5-tier grow racks. Each shelving tier consists of: Two Agrify Model W 2 ft. x 4 ft. LED grow lights, hydroponic plumbing, and a drainable basin. Our grow racks have been designed to optimize working conditions, allowing a farm hand/grower to plant, inspect and harvest crops with increased ease. The manufacturer’s suggested retail price on these units ranges from $5,000 to $7,500.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2762885</wp:posOffset>
            </wp:positionH>
            <wp:positionV relativeFrom="page">
              <wp:posOffset>183515</wp:posOffset>
            </wp:positionV>
            <wp:extent cx="2023110" cy="21259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4-Tier Agrify Integrated Grow Rack</w:t>
      </w:r>
    </w:p>
    <w:p>
      <w:pPr>
        <w:spacing w:after="0" w:line="144" w:lineRule="exact"/>
        <w:rPr>
          <w:sz w:val="20"/>
          <w:szCs w:val="20"/>
          <w:color w:val="auto"/>
        </w:rPr>
      </w:pPr>
    </w:p>
    <w:p>
      <w:pPr>
        <w:ind w:left="460" w:right="679" w:firstLine="432"/>
        <w:spacing w:after="0" w:line="255" w:lineRule="auto"/>
        <w:rPr>
          <w:sz w:val="20"/>
          <w:szCs w:val="20"/>
          <w:color w:val="auto"/>
        </w:rPr>
      </w:pPr>
      <w:r>
        <w:rPr>
          <w:rFonts w:ascii="Arial" w:cs="Arial" w:eastAsia="Arial" w:hAnsi="Arial"/>
          <w:sz w:val="18"/>
          <w:szCs w:val="18"/>
          <w:color w:val="auto"/>
        </w:rPr>
        <w:t>The difference between an AIGR and an AVFU is an AIGR is designed as a propagation unit with the intended purpose to support the ongoing need in a facility for new plant stock (i.e. plants to grow). The AIGR will support clones or seedlings for 2-4 weeks while they build a root system and grow into “teenage” (more mature) plants. Once that occurs, the plants will be repotted into a larger container and then transferred to an AVFU where the plants will grow to maturity through their vegetative and flowering phases until the flowers produced are ripe and can be harvested.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Agrify Insights</w:t>
      </w:r>
    </w:p>
    <w:p>
      <w:pPr>
        <w:spacing w:after="0" w:line="162"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A key component of Agrify’s cultivation solution is our proprietary software, Agrify Insights (AI), which has been developed in-house. A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the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AI platform coupled with our AVFU system is enabling our customers to transform their businesses and quality of the product they are cultivating.</w:t>
      </w:r>
    </w:p>
    <w:p>
      <w:pPr>
        <w:spacing w:after="0" w:line="113"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Our business model includes charging customers a monthly recurring SaaS subscription fee per deployed AVFU for access to AI, which ranges from $75 to $200 per AVFU per month depending on the level of functionality and support purchased. This provides us with a predictable recurring revenue stream that has high expected customer retention due to us being required to operate the facility for full access to our integrated solution.</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AI software is focused around optimizing four key components:</w:t>
      </w:r>
    </w:p>
    <w:p>
      <w:pPr>
        <w:spacing w:after="0" w:line="158" w:lineRule="exact"/>
        <w:rPr>
          <w:sz w:val="20"/>
          <w:szCs w:val="20"/>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Optimization at the plant level;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Optimization at the AVFU unit level;</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Optimization at the facility level;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Optimization at the business level.</w:t>
      </w:r>
    </w:p>
    <w:p>
      <w:pPr>
        <w:spacing w:after="0" w:line="158"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When these key components are combined, they encompass the cultivation operations of an Agrify customer. By reducing human error, providing insights through data collection and analysis, AI minimizes risk and increases operational efficiencies. Ultimately, our customers are seeking to produce the same consistent end product no matter where they are located. Through our technology grow platform, we enable our customers to have the ability to create brands that are identifiable by taste, look and smell no different than any other consumer product company that provides a branded food or drink product.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0" w:name="page71"/>
    <w:bookmarkEnd w:id="70"/>
    <w:p>
      <w:pPr>
        <w:ind w:left="880"/>
        <w:spacing w:after="0"/>
        <w:rPr>
          <w:sz w:val="20"/>
          <w:szCs w:val="20"/>
          <w:color w:val="auto"/>
        </w:rPr>
      </w:pPr>
      <w:r>
        <w:rPr>
          <w:rFonts w:ascii="Arial" w:cs="Arial" w:eastAsia="Arial" w:hAnsi="Arial"/>
          <w:sz w:val="18"/>
          <w:szCs w:val="18"/>
          <w:i w:val="1"/>
          <w:iCs w:val="1"/>
          <w:color w:val="auto"/>
        </w:rPr>
        <w:t>Plant Level Optimization</w:t>
      </w:r>
    </w:p>
    <w:p>
      <w:pPr>
        <w:spacing w:after="0" w:line="158"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Central to our solution is granular control of the cultivation environment. The end-product of a crop is determined by both the plant’s genetics and the environment in which the plants are grown. Control over the growing environment is accomplished through the AI software. By recoding over 1.5 million data points per AVFU per year and being able to reproduce specific environments based on the data, cultivators are effectively able to minimize the variation in their crops and dial-in the maximum quality. Further individual plant varietals can be optimized by tailoring the grow plan (recipe for cultivation) to enhance particular genetic traits; increasing the temperature can speed chemical processes and growth rates, adjusting the ratio of blue to red light can enhance the production of certain aromatic chemical compounds,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For example, you can grow a new variety in 5 different AVFUs that are set to mimic the climate of different geographies to see where the varieties are suited to grow.</w:t>
      </w:r>
    </w:p>
    <w:p>
      <w:pPr>
        <w:spacing w:after="0" w:line="105"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Our “Grow Plans” are the templates or recipes that define the parameters for each lifecycle. Grow Plans define the environmental settings (light - photoperiod and intensity/ temp / humidity / VPD / CO2 / irrigation / fertilization) for each crop variety and cultivator as well as the schedule for completing, as applicable, “plant-touching” tasks such as bottoming, pruning, and harvest. AI ships to the customer with many pre-developed Grow Plans and customers can create their own particular Grow Plans, electing to share them with other customers or not.</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Individual AVFU Level Optimization</w:t>
      </w:r>
    </w:p>
    <w:p>
      <w:pPr>
        <w:spacing w:after="0" w:line="158" w:lineRule="exact"/>
        <w:rPr>
          <w:sz w:val="20"/>
          <w:szCs w:val="20"/>
          <w:color w:val="auto"/>
        </w:rPr>
      </w:pPr>
    </w:p>
    <w:p>
      <w:pPr>
        <w:ind w:left="460" w:right="1119" w:firstLine="432"/>
        <w:spacing w:after="0" w:line="308" w:lineRule="auto"/>
        <w:rPr>
          <w:sz w:val="20"/>
          <w:szCs w:val="20"/>
          <w:color w:val="auto"/>
        </w:rPr>
      </w:pPr>
      <w:r>
        <w:rPr>
          <w:rFonts w:ascii="Arial" w:cs="Arial" w:eastAsia="Arial" w:hAnsi="Arial"/>
          <w:sz w:val="17"/>
          <w:szCs w:val="17"/>
          <w:color w:val="auto"/>
        </w:rPr>
        <w:t>Our AVFU hardware provides cultivation environmental control within the growth chamber. This hardware and its component valves, motors and sensors are directed and controlled by AI.</w:t>
      </w:r>
    </w:p>
    <w:p>
      <w:pPr>
        <w:spacing w:after="0" w:line="79" w:lineRule="exact"/>
        <w:rPr>
          <w:sz w:val="20"/>
          <w:szCs w:val="20"/>
          <w:color w:val="auto"/>
        </w:rPr>
      </w:pPr>
    </w:p>
    <w:p>
      <w:pPr>
        <w:ind w:left="1320" w:right="699" w:hanging="434"/>
        <w:spacing w:after="0" w:line="263"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Monitor and Control Agrify Hardware. </w:t>
      </w:r>
      <w:r>
        <w:rPr>
          <w:rFonts w:ascii="Arial" w:cs="Arial" w:eastAsia="Arial" w:hAnsi="Arial"/>
          <w:sz w:val="18"/>
          <w:szCs w:val="18"/>
          <w:color w:val="auto"/>
        </w:rPr>
        <w:t>AI can either automatically or manually control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hardware. For example, the water-chilled fan coil can keep temperature in a range accurate to 1.5 degrees Fahrenheit.</w:t>
      </w:r>
    </w:p>
    <w:p>
      <w:pPr>
        <w:spacing w:after="0" w:line="102" w:lineRule="exact"/>
        <w:rPr>
          <w:rFonts w:ascii="Arial" w:cs="Arial" w:eastAsia="Arial" w:hAnsi="Arial"/>
          <w:sz w:val="18"/>
          <w:szCs w:val="18"/>
          <w:color w:val="auto"/>
        </w:rPr>
      </w:pPr>
    </w:p>
    <w:p>
      <w:pPr>
        <w:ind w:left="1320" w:right="459" w:hanging="434"/>
        <w:spacing w:after="0" w:line="270" w:lineRule="auto"/>
        <w:tabs>
          <w:tab w:leader="none" w:pos="1311"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Cultivation Environmental Control</w:t>
      </w:r>
      <w:r>
        <w:rPr>
          <w:rFonts w:ascii="Arial" w:cs="Arial" w:eastAsia="Arial" w:hAnsi="Arial"/>
          <w:sz w:val="17"/>
          <w:szCs w:val="17"/>
          <w:color w:val="auto"/>
        </w:rPr>
        <w:t>. Using AI, users can view environmental charts that plot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temperature, humidity, carbon dioxide and vapor pressure deficit (or VPD) over time. It also shows when the plants were irrigated and whether the unit is in cooling, circulating, or dehumidifying mode. We sample these values every minute and report them back to the cloud every 15 minutes, or more often if there have been significant changes. Each growing chamber reports approximately one million data points annually, enabling our clients to perform in-depth analysis of grow performance. The manual control screen visualizes the current state of the grow chamber and enables our technicians to take direct control for troubleshooting, if necessary. The device log shows us what decisions were made by the onboard AI and why.</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Facility Level Optimization</w:t>
      </w:r>
    </w:p>
    <w:p>
      <w:pPr>
        <w:spacing w:after="0" w:line="158" w:lineRule="exact"/>
        <w:rPr>
          <w:sz w:val="20"/>
          <w:szCs w:val="20"/>
          <w:color w:val="auto"/>
        </w:rPr>
      </w:pPr>
    </w:p>
    <w:p>
      <w:pPr>
        <w:jc w:val="both"/>
        <w:ind w:left="460" w:right="699" w:firstLine="432"/>
        <w:spacing w:after="0" w:line="263" w:lineRule="auto"/>
        <w:rPr>
          <w:sz w:val="20"/>
          <w:szCs w:val="20"/>
          <w:color w:val="auto"/>
        </w:rPr>
      </w:pPr>
      <w:r>
        <w:rPr>
          <w:rFonts w:ascii="Arial" w:cs="Arial" w:eastAsia="Arial" w:hAnsi="Arial"/>
          <w:sz w:val="18"/>
          <w:szCs w:val="18"/>
          <w:color w:val="auto"/>
        </w:rPr>
        <w:t>Our modular AVFUs are deployed in scale at a customer’s facility with the smallest deployment to date being 63 AVFUs. AI is designed to operate these individual AVFUs as a combined facility. AI features at the facility level include:</w:t>
      </w:r>
    </w:p>
    <w:p>
      <w:pPr>
        <w:spacing w:after="0" w:line="116" w:lineRule="exact"/>
        <w:rPr>
          <w:sz w:val="20"/>
          <w:szCs w:val="20"/>
          <w:color w:val="auto"/>
        </w:rPr>
      </w:pPr>
    </w:p>
    <w:p>
      <w:pPr>
        <w:ind w:left="1320" w:right="499" w:hanging="434"/>
        <w:spacing w:after="0" w:line="255"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Production Planning</w:t>
      </w:r>
      <w:r>
        <w:rPr>
          <w:rFonts w:ascii="Arial" w:cs="Arial" w:eastAsia="Arial" w:hAnsi="Arial"/>
          <w:sz w:val="18"/>
          <w:szCs w:val="18"/>
          <w:color w:val="auto"/>
        </w:rPr>
        <w:t>. The production planning feature is designed to maximize a facility’s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utilization by executing a “best-fit” scheduling algorithm to selected Grow Plans across the growing units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pacing w:after="0" w:line="111" w:lineRule="exact"/>
        <w:rPr>
          <w:rFonts w:ascii="Arial" w:cs="Arial" w:eastAsia="Arial" w:hAnsi="Arial"/>
          <w:sz w:val="18"/>
          <w:szCs w:val="18"/>
          <w:color w:val="auto"/>
        </w:rPr>
      </w:pPr>
    </w:p>
    <w:p>
      <w:pPr>
        <w:ind w:left="1320" w:right="579" w:hanging="434"/>
        <w:spacing w:after="0" w:line="259" w:lineRule="auto"/>
        <w:tabs>
          <w:tab w:leader="none" w:pos="1311"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Workforce Management. </w:t>
      </w:r>
      <w:r>
        <w:rPr>
          <w:rFonts w:ascii="Arial" w:cs="Arial" w:eastAsia="Arial" w:hAnsi="Arial"/>
          <w:sz w:val="18"/>
          <w:szCs w:val="18"/>
          <w:color w:val="auto"/>
        </w:rPr>
        <w:t>AI includes a workforce planning feature to assign tasks to staff.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tasks can be automatically assigned based on user role or their knowledge, skills, and abilities. The calendar displays the estimated amount of time required to complete plant-touching tasks on any given day.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71" w:name="page72"/>
    <w:bookmarkEnd w:id="71"/>
    <w:p>
      <w:pPr>
        <w:ind w:left="1320" w:right="579" w:hanging="434"/>
        <w:spacing w:after="0" w:line="259" w:lineRule="auto"/>
        <w:tabs>
          <w:tab w:leader="none" w:pos="1311"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Automatic Notification System. </w:t>
      </w:r>
      <w:r>
        <w:rPr>
          <w:rFonts w:ascii="Arial" w:cs="Arial" w:eastAsia="Arial" w:hAnsi="Arial"/>
          <w:sz w:val="18"/>
          <w:szCs w:val="18"/>
          <w:color w:val="auto"/>
        </w:rPr>
        <w:t>Users can select to subscribe to anomalous events, and users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notified in the order in which they are listed. If a user does not acknowledge the notification within the specified time frame, the next user in the list is notified, providing the business with 24/7 monitoring and notifications.</w:t>
      </w:r>
    </w:p>
    <w:p>
      <w:pPr>
        <w:spacing w:after="0" w:line="105" w:lineRule="exact"/>
        <w:rPr>
          <w:rFonts w:ascii="Arial" w:cs="Arial" w:eastAsia="Arial" w:hAnsi="Arial"/>
          <w:sz w:val="18"/>
          <w:szCs w:val="18"/>
          <w:b w:val="1"/>
          <w:bCs w:val="1"/>
          <w:i w:val="1"/>
          <w:iCs w:val="1"/>
          <w:color w:val="auto"/>
        </w:rPr>
      </w:pPr>
    </w:p>
    <w:p>
      <w:pPr>
        <w:ind w:left="1320" w:right="659" w:hanging="434"/>
        <w:spacing w:after="0" w:line="277"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Preventative Maintenance</w:t>
      </w:r>
      <w:r>
        <w:rPr>
          <w:rFonts w:ascii="Arial" w:cs="Arial" w:eastAsia="Arial" w:hAnsi="Arial"/>
          <w:sz w:val="18"/>
          <w:szCs w:val="18"/>
          <w:color w:val="auto"/>
        </w:rPr>
        <w:t>. Our equipment and facility preventative maintenance schedules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tasks are contained, tracked and monitored within AI.</w:t>
      </w:r>
    </w:p>
    <w:p>
      <w:pPr>
        <w:spacing w:after="0" w:line="102" w:lineRule="exact"/>
        <w:rPr>
          <w:rFonts w:ascii="Arial" w:cs="Arial" w:eastAsia="Arial" w:hAnsi="Arial"/>
          <w:sz w:val="18"/>
          <w:szCs w:val="18"/>
          <w:color w:val="auto"/>
        </w:rPr>
      </w:pPr>
    </w:p>
    <w:p>
      <w:pPr>
        <w:ind w:left="1320" w:right="479" w:hanging="434"/>
        <w:spacing w:after="0" w:line="263"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Facility Infrastructure Controls</w:t>
      </w:r>
      <w:r>
        <w:rPr>
          <w:rFonts w:ascii="Arial" w:cs="Arial" w:eastAsia="Arial" w:hAnsi="Arial"/>
          <w:sz w:val="18"/>
          <w:szCs w:val="18"/>
          <w:color w:val="auto"/>
        </w:rPr>
        <w:t>. AI controls the irrigation on a facility level as well as connects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water chilled HVAC system and ambient lighting system, providing our customers a central piece of software for facility management.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Optimization at the Business Level</w:t>
      </w:r>
    </w:p>
    <w:p>
      <w:pPr>
        <w:spacing w:after="0" w:line="158" w:lineRule="exact"/>
        <w:rPr>
          <w:sz w:val="20"/>
          <w:szCs w:val="20"/>
          <w:color w:val="auto"/>
        </w:rPr>
      </w:pPr>
    </w:p>
    <w:p>
      <w:pPr>
        <w:ind w:left="460" w:right="919" w:firstLine="432"/>
        <w:spacing w:after="0" w:line="263" w:lineRule="auto"/>
        <w:rPr>
          <w:sz w:val="20"/>
          <w:szCs w:val="20"/>
          <w:color w:val="auto"/>
        </w:rPr>
      </w:pPr>
      <w:r>
        <w:rPr>
          <w:rFonts w:ascii="Arial" w:cs="Arial" w:eastAsia="Arial" w:hAnsi="Arial"/>
          <w:sz w:val="18"/>
          <w:szCs w:val="18"/>
          <w:color w:val="auto"/>
        </w:rPr>
        <w:t>AI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103" w:lineRule="exact"/>
        <w:rPr>
          <w:sz w:val="20"/>
          <w:szCs w:val="20"/>
          <w:color w:val="auto"/>
        </w:rPr>
      </w:pPr>
    </w:p>
    <w:p>
      <w:pPr>
        <w:ind w:left="1320" w:right="559" w:hanging="434"/>
        <w:spacing w:after="0" w:line="259"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Consumables Procurement Integration</w:t>
      </w:r>
      <w:r>
        <w:rPr>
          <w:rFonts w:ascii="Arial" w:cs="Arial" w:eastAsia="Arial" w:hAnsi="Arial"/>
          <w:sz w:val="18"/>
          <w:szCs w:val="18"/>
          <w:color w:val="auto"/>
        </w:rPr>
        <w:t>. Each task can also be assigned a set of consumables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whose inventory will be reduced when the task is started. This feature can help customers manage supply levels and can automatically create and submit purchase orders so that they never run out of required supplies.</w:t>
      </w:r>
    </w:p>
    <w:p>
      <w:pPr>
        <w:spacing w:after="0" w:line="119" w:lineRule="exact"/>
        <w:rPr>
          <w:rFonts w:ascii="Arial" w:cs="Arial" w:eastAsia="Arial" w:hAnsi="Arial"/>
          <w:sz w:val="18"/>
          <w:szCs w:val="18"/>
          <w:color w:val="auto"/>
        </w:rPr>
      </w:pPr>
    </w:p>
    <w:p>
      <w:pPr>
        <w:ind w:left="1320" w:right="619" w:hanging="434"/>
        <w:spacing w:after="0" w:line="311" w:lineRule="auto"/>
        <w:tabs>
          <w:tab w:leader="none" w:pos="1311"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Online SOPs and Safety Datasheets. </w:t>
      </w:r>
      <w:r>
        <w:rPr>
          <w:rFonts w:ascii="Arial" w:cs="Arial" w:eastAsia="Arial" w:hAnsi="Arial"/>
          <w:sz w:val="16"/>
          <w:szCs w:val="16"/>
          <w:color w:val="auto"/>
        </w:rPr>
        <w:t>AI hosts digital copies of our included Standard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Procedures and datasheets, or users can upload their own via our content management system, ensuring that the most recent version of SOPs and forms are available to users.</w:t>
      </w:r>
    </w:p>
    <w:p>
      <w:pPr>
        <w:spacing w:after="0" w:line="81" w:lineRule="exact"/>
        <w:rPr>
          <w:rFonts w:ascii="Arial" w:cs="Arial" w:eastAsia="Arial" w:hAnsi="Arial"/>
          <w:sz w:val="16"/>
          <w:szCs w:val="16"/>
          <w:color w:val="auto"/>
        </w:rPr>
      </w:pPr>
    </w:p>
    <w:p>
      <w:pPr>
        <w:ind w:left="1320" w:right="579" w:hanging="434"/>
        <w:spacing w:after="0" w:line="255"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Roles-Based Dashboards. </w:t>
      </w:r>
      <w:r>
        <w:rPr>
          <w:rFonts w:ascii="Arial" w:cs="Arial" w:eastAsia="Arial" w:hAnsi="Arial"/>
          <w:sz w:val="18"/>
          <w:szCs w:val="18"/>
          <w:color w:val="auto"/>
        </w:rPr>
        <w:t>Ability to obtain access to information specifically suited to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workforce’s various needs. Facility owners have access to high-level information about crop yields and equipment usage in an easy to 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111" w:lineRule="exact"/>
        <w:rPr>
          <w:rFonts w:ascii="Arial" w:cs="Arial" w:eastAsia="Arial" w:hAnsi="Arial"/>
          <w:sz w:val="18"/>
          <w:szCs w:val="18"/>
          <w:color w:val="auto"/>
        </w:rPr>
      </w:pPr>
    </w:p>
    <w:p>
      <w:pPr>
        <w:ind w:left="1320" w:right="499" w:hanging="434"/>
        <w:spacing w:after="0" w:line="311" w:lineRule="auto"/>
        <w:tabs>
          <w:tab w:leader="none" w:pos="1311"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Data Collection. </w:t>
      </w:r>
      <w:r>
        <w:rPr>
          <w:rFonts w:ascii="Arial" w:cs="Arial" w:eastAsia="Arial" w:hAnsi="Arial"/>
          <w:sz w:val="16"/>
          <w:szCs w:val="16"/>
          <w:color w:val="auto"/>
        </w:rPr>
        <w:t>AI is a centralized repository for all data relating to the cultivation aspects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clients’ business, including research and development testing data, and the ability to capture and compare test results. By doing so, AI becomes a customers’ cultivation statement of record.</w:t>
      </w:r>
    </w:p>
    <w:p>
      <w:pPr>
        <w:spacing w:after="0" w:line="81" w:lineRule="exact"/>
        <w:rPr>
          <w:rFonts w:ascii="Arial" w:cs="Arial" w:eastAsia="Arial" w:hAnsi="Arial"/>
          <w:sz w:val="16"/>
          <w:szCs w:val="16"/>
          <w:color w:val="auto"/>
        </w:rPr>
      </w:pPr>
    </w:p>
    <w:p>
      <w:pPr>
        <w:ind w:left="1320" w:right="479" w:hanging="434"/>
        <w:spacing w:after="0" w:line="263"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Regulatory Reporting Integration. </w:t>
      </w:r>
      <w:r>
        <w:rPr>
          <w:rFonts w:ascii="Arial" w:cs="Arial" w:eastAsia="Arial" w:hAnsi="Arial"/>
          <w:sz w:val="18"/>
          <w:szCs w:val="18"/>
          <w:color w:val="auto"/>
        </w:rPr>
        <w:t>We have commenced working to integrate AI with Metrc,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leading seed-to-sale integration, enabling customers to do regulatory reporting through the software. The integration is expected to be completed before the end of 2020.</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Product Offerings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Bluezone Model 420 — Air Cleaning System</w:t>
      </w:r>
    </w:p>
    <w:p>
      <w:pPr>
        <w:spacing w:after="0" w:line="158"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Destructive impact from pathogens is a major issue for our customers and their industry. The Bluezone Model 420 is a U.S. military tested and fielded air purification system that kills and removes airborne pathogens such as powdery mildew, botrytis, and other highly infectious bacteria from indoor grow rooms and produce storage. Such interferences can drastically interrupt businesses’ supply chains, leading to lost time and revenue.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2651125</wp:posOffset>
            </wp:positionH>
            <wp:positionV relativeFrom="page">
              <wp:posOffset>183515</wp:posOffset>
            </wp:positionV>
            <wp:extent cx="2245995" cy="17399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2245995"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Bluezone Model 420</w:t>
      </w:r>
    </w:p>
    <w:p>
      <w:pPr>
        <w:spacing w:after="0" w:line="135"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Each unit covers 15,000 cubic feet or air volume. The unit draws air into a self-contained reaction chamber and kills contaminants with ultraviolet-enhanced oxidation, and chemicals are broken down so that the air circulating through the Bluezone comes out clean and safe. Bluezone is California Air Resources Board (CARB) Certified for ozone emissions, as ozone is kept inside the Bluezone reaction chamber. Bluezone is also ETL Safety Certified and NSF Sanitation Certified. The MSRP for the Bluezone Model 420 is $4,500.</w:t>
      </w:r>
    </w:p>
    <w:p>
      <w:pPr>
        <w:spacing w:after="0" w:line="67"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We are the exclusive distributor for the Bluezone Model 420 for the indoor agriculture market worldwide. Under our distribution agreement with Bluezone Products, Inc., we are obligated to order $480,000 of Bluezone products in the first contract year and $570,000 of Bluezone products in the second contract year. The distribution agreement is for an initial term through May 31, 2021 and is automatically renewed for successive one year periods unless earlier terminated. Guichao Hua, a member of our board of directors, has an ownership interest in Bluezone of approximately 3%. Raymond Chang, our chief executive officer and a member of our board of directors, has an ownership interest in Bluezone of approximately 8%. Mr. Chang is also a director of Bluezone. To date, we have generated limited revenue from sales of Bluezone products.</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Enozo — Pesticide-Free Surface Protection</w:t>
      </w:r>
    </w:p>
    <w:p>
      <w:pPr>
        <w:spacing w:after="0" w:line="144"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The Enozo spray bottle offers a water-based alternative to traditional cleaners, deodorizers, and sanitizers. This surface cleaning solution uses ozonated water to kill 99.9% of bacteria like E. coli and Salmonella in only 30 seconds. Aqueous ozone (AO) is a very powerful sanitizer produced in controlled concentrations (below OSHA PEL and STEL requirements) and contains no harsh chemicals, fragrances or dyes. This technology is designed to help reduce workplace illnesses and hazards like irritated skin and allergic reactions, while protecting indoor air quality and physical surfaces.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62230</wp:posOffset>
            </wp:positionV>
            <wp:extent cx="1200150" cy="16541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Enozo Spray Bottle</w:t>
      </w:r>
    </w:p>
    <w:p>
      <w:pPr>
        <w:spacing w:after="0" w:line="135"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Enozo dispenses at least 10 full reservoirs (one gallon) of aqueous ozone sanitizing solution per charge, lasting 5,000 refills over the unit’s battery life. This eliminates the need to buy hundreds of plastic, one-time use bottles of cleaners. Enozo is registered by the U.S. Environmental Protection Agency for public health use. The manufactuerer’s suggested retail price for the Enozo spray bottle is $499.</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3" w:name="page74"/>
    <w:bookmarkEnd w:id="73"/>
    <w:p>
      <w:pPr>
        <w:ind w:left="460" w:right="479" w:firstLine="432"/>
        <w:spacing w:after="0" w:line="290" w:lineRule="auto"/>
        <w:rPr>
          <w:sz w:val="20"/>
          <w:szCs w:val="20"/>
          <w:color w:val="auto"/>
        </w:rPr>
      </w:pPr>
      <w:r>
        <w:rPr>
          <w:rFonts w:ascii="Arial" w:cs="Arial" w:eastAsia="Arial" w:hAnsi="Arial"/>
          <w:sz w:val="16"/>
          <w:szCs w:val="16"/>
          <w:color w:val="auto"/>
        </w:rPr>
        <w:t>We have rights to sell Enozo products pursuant to a distribution agreement between us and Enozo Technologies Inc. The distribution agreement is for an initial term of five years with auto renewal for successive one year periods unless earlier terminated. The agreement requires us to make the following minimum purchases to retain distributor status: $375,000 for the period from the contract date until December 31, 2021; $750,000 for the year ended December 31, 2022; $1,125,000 for the year ended December 31, 2023, subject to increases by 3% for subsequent years. Guichao Hua, a member of our board of directors, and Raymond Chang, our chief executive officer and a member of our board of directors, each have ownership interests and are board members of Enozo. To date, we have not generated meaningful revenue from sales of Enozo products.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Horticultural Lights</w:t>
      </w:r>
    </w:p>
    <w:p>
      <w:pPr>
        <w:spacing w:after="0" w:line="144" w:lineRule="exact"/>
        <w:rPr>
          <w:sz w:val="20"/>
          <w:szCs w:val="20"/>
          <w:color w:val="auto"/>
        </w:rPr>
      </w:pPr>
    </w:p>
    <w:p>
      <w:pPr>
        <w:ind w:left="460" w:right="639" w:firstLine="432"/>
        <w:spacing w:after="0" w:line="255" w:lineRule="auto"/>
        <w:rPr>
          <w:sz w:val="20"/>
          <w:szCs w:val="20"/>
          <w:color w:val="auto"/>
        </w:rPr>
      </w:pPr>
      <w:r>
        <w:rPr>
          <w:rFonts w:ascii="Arial" w:cs="Arial" w:eastAsia="Arial" w:hAnsi="Arial"/>
          <w:sz w:val="18"/>
          <w:szCs w:val="18"/>
          <w:color w:val="auto"/>
        </w:rPr>
        <w:t>Our LEDs are the most advanced horticulture grow lights on the market offering advanced cultivators maximum spectrum adjustment with dimming of light intensity that are essential to custom craft a harvest. By partnering with us, growers will experience industry-leading LED grow lighting technology, outperforming traditional cultivators using other lighting alternatives. Our LED technology has helped our customers qualify for substantial energy rebates from their utility providers, with one customer receiving nearly a half a million-dollar rebate using our LED solutions.</w:t>
      </w:r>
    </w:p>
    <w:p>
      <w:pPr>
        <w:spacing w:after="0" w:line="125"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Our horticulture lighting is a high-performance, adjustable spectrum LED grow lighting solution for commercial horticulture cultivation, with the flexibility and lighting intensity to scale from vegetative growth phase to higher light needs in bloom phase. Full independent spectrum dimming offers growers increased level of control and experimentation to perfect their grow recipes. Our LED grow lights have passed the most stringent third-party accredited testing. These lights retail for between $249 and $999 depending on the model and specs.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Agrify-Valiant Joint Venture</w:t>
      </w:r>
    </w:p>
    <w:p>
      <w:pPr>
        <w:spacing w:after="0" w:line="158"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We established a joint venture with Valiant-America in December 2019. Valiant-America is a leader in consulting and general contracting of a wide range of industrial facilities, but it has a particular specialization and expertise in the development of indoor farming facilities. Valiant’s qualified professionals possess a deep working knowledge of our grow systems and how to integrate our offerings when developing cultivation facilities.</w:t>
      </w:r>
    </w:p>
    <w:p>
      <w:pPr>
        <w:spacing w:after="0" w:line="107"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Given that many of our customers are either new entrants to the market or companies in expansion mode, it became obvious to us that the majority of them need many services other than just equipment and software, including architectural, engineering, construction and installation services, which we are able to now offer through our joint venture with Valiant-America. The Agrify-Valiant joint venture complements our offering and provides our clients with an end-to-end turnkey solution. We believe being able to provide a full suite of technology products and services to these customers helps to imbed us with these customers and enables us to become mission critical to their operations.</w:t>
      </w:r>
    </w:p>
    <w:p>
      <w:pPr>
        <w:spacing w:after="0" w:line="110"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Through this strategic and synergistic partnership, we are able to offer our customers relevant value-added services related to architectural, engineering, construction and installation needs, and we are also able to derive significant revenues from the indoor agriculture deals that close under the auspices of this joint venture. Given that we are a majority 60% owner of, and control, the Agrify-Valiant LLC, we consolidate 100% of the revenues that go through the joint venture, and we recognize 60% of all net profits. Revenue from Agrify-Valiant is recognized after the agreed upon work has been completed.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Equipment Financing</w:t>
      </w:r>
    </w:p>
    <w:p>
      <w:pPr>
        <w:spacing w:after="0" w:line="162"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We recognize that many new cultivators face particular capital and time constraints, and we also recognize that the initial cost of our equipment can be a deterrent for some. We solve this problem by offering equipment financing plans for select good credit customers, which we believe further enables us to become a vendor of choice. While we proactively show our prospects that the strong and immediate return on investment derived from Agrify solutions will more than make up for associated start-up costs, we wanted to do even more to support our prospective customers, which is why we unveiled an equipment financing program to help remove this final barrier to entry for otherwise excited cultivators. This requires participating credit-worthy customers to pay a substantial down payment, typically 50% of the purchase price, with the balance financed over two years, with interest, under commercially reasonable terms.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ind w:left="460"/>
        <w:spacing w:after="0"/>
        <w:rPr>
          <w:sz w:val="20"/>
          <w:szCs w:val="20"/>
          <w:color w:val="auto"/>
        </w:rPr>
      </w:pPr>
      <w:r>
        <w:rPr>
          <w:rFonts w:ascii="Arial" w:cs="Arial" w:eastAsia="Arial" w:hAnsi="Arial"/>
          <w:sz w:val="18"/>
          <w:szCs w:val="18"/>
          <w:b w:val="1"/>
          <w:bCs w:val="1"/>
          <w:color w:val="auto"/>
        </w:rPr>
        <w:t>Competitive Landscape</w:t>
      </w:r>
    </w:p>
    <w:p>
      <w:pPr>
        <w:spacing w:after="0" w:line="162"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We believe Agrify’s full suite of product offerings form an unmatched ecosystem for indoor growing. At this time, our Agrify Vertical Farming Unit, our overall bundled solution and our engineering/installation services are highly differentiated from anything else on the market so in one sense we do not have any direct competitors who offer the same type of comprehensive value proposition and single-source benefit.</w:t>
      </w:r>
    </w:p>
    <w:p>
      <w:pPr>
        <w:spacing w:after="0" w:line="90"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At the same time, our customers are actively being approached by a variety of companies who do offer compelling standalone products and services so we recognize that our customers do have choices and alternatives, and they also need to factor in opportunity cost whenever they make purchasing decisions. Consequently, we more broadly define our competition as any other company going after the same finite budget dollars as us in the indoor agriculture space. We have highlighted below the most notable players that operate across some of the same functional highly fragmented areas of agriculture technology that we operate.</w:t>
      </w:r>
    </w:p>
    <w:p>
      <w:pPr>
        <w:spacing w:after="0" w:line="93" w:lineRule="exact"/>
        <w:rPr>
          <w:sz w:val="20"/>
          <w:szCs w:val="20"/>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Semi-Integrated Vertical Cultivation Systems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Sprout AI</w:t>
      </w:r>
    </w:p>
    <w:p>
      <w:pPr>
        <w:spacing w:after="0" w:line="161" w:lineRule="exact"/>
        <w:rPr>
          <w:rFonts w:ascii="Arial" w:cs="Arial" w:eastAsia="Arial" w:hAnsi="Arial"/>
          <w:sz w:val="18"/>
          <w:szCs w:val="18"/>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Aeroponic Systems </w:t>
      </w:r>
      <w:r>
        <w:rPr>
          <w:rFonts w:ascii="Arial" w:cs="Arial" w:eastAsia="Arial" w:hAnsi="Arial"/>
          <w:sz w:val="18"/>
          <w:szCs w:val="18"/>
          <w:color w:val="auto"/>
        </w:rPr>
        <w:t>— AEssenceGrows and Thrive Growing</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Horticultural Lighting </w:t>
      </w:r>
      <w:r>
        <w:rPr>
          <w:rFonts w:ascii="Arial" w:cs="Arial" w:eastAsia="Arial" w:hAnsi="Arial"/>
          <w:sz w:val="18"/>
          <w:szCs w:val="18"/>
          <w:color w:val="auto"/>
        </w:rPr>
        <w:t>— Gavita, Fluence, VividGro, and Heliospectra</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Threat Mitigation Solutions </w:t>
      </w:r>
      <w:r>
        <w:rPr>
          <w:rFonts w:ascii="Arial" w:cs="Arial" w:eastAsia="Arial" w:hAnsi="Arial"/>
          <w:sz w:val="18"/>
          <w:szCs w:val="18"/>
          <w:color w:val="auto"/>
        </w:rPr>
        <w:t>— Element Air and Tersano</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Monitoring Software </w:t>
      </w:r>
      <w:r>
        <w:rPr>
          <w:rFonts w:ascii="Arial" w:cs="Arial" w:eastAsia="Arial" w:hAnsi="Arial"/>
          <w:sz w:val="18"/>
          <w:szCs w:val="18"/>
          <w:color w:val="auto"/>
        </w:rPr>
        <w:t>— Grownetics and Trym</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Cultivation Software </w:t>
      </w:r>
      <w:r>
        <w:rPr>
          <w:rFonts w:ascii="Arial" w:cs="Arial" w:eastAsia="Arial" w:hAnsi="Arial"/>
          <w:sz w:val="18"/>
          <w:szCs w:val="18"/>
          <w:color w:val="auto"/>
        </w:rPr>
        <w:t>— Quantum Leaf and Flourish</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Vertical Cultivation Racking Systems </w:t>
      </w:r>
      <w:r>
        <w:rPr>
          <w:rFonts w:ascii="Arial" w:cs="Arial" w:eastAsia="Arial" w:hAnsi="Arial"/>
          <w:sz w:val="18"/>
          <w:szCs w:val="18"/>
          <w:color w:val="auto"/>
        </w:rPr>
        <w:t>— Pipp Horticulture and Montel</w:t>
      </w:r>
    </w:p>
    <w:p>
      <w:pPr>
        <w:spacing w:after="0" w:line="157" w:lineRule="exact"/>
        <w:rPr>
          <w:rFonts w:ascii="Arial" w:cs="Arial" w:eastAsia="Arial" w:hAnsi="Arial"/>
          <w:sz w:val="18"/>
          <w:szCs w:val="18"/>
          <w:color w:val="auto"/>
        </w:rPr>
      </w:pPr>
    </w:p>
    <w:p>
      <w:pPr>
        <w:ind w:left="1360" w:hanging="474"/>
        <w:spacing w:after="0"/>
        <w:tabs>
          <w:tab w:leader="none" w:pos="136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Container Farms </w:t>
      </w:r>
      <w:r>
        <w:rPr>
          <w:rFonts w:ascii="Arial" w:cs="Arial" w:eastAsia="Arial" w:hAnsi="Arial"/>
          <w:sz w:val="18"/>
          <w:szCs w:val="18"/>
          <w:color w:val="auto"/>
        </w:rPr>
        <w:t>— FlexMOD Solutions, Delta 9, and TerraCube</w:t>
      </w:r>
    </w:p>
    <w:p>
      <w:pPr>
        <w:spacing w:after="0" w:line="144"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Despite the presence of some well-funded and well-established competitors who offer pieces of what we do, we are able to compete on the basis of several defensible factors including our industry experience, our technical expertise, the differentiated value proposition of our individual offerings, and our positioning as a single-source provider. However, we believe above all else, it’s our ability to offer an unrivaled level of precision through a total end-to-end turnkey solution that sets us apart from existing competitors and potential new market entrants.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Customers</w:t>
      </w:r>
    </w:p>
    <w:p>
      <w:pPr>
        <w:spacing w:after="0" w:line="16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primarily market and sell our products to newly licensed, well-funded producers in a single market as well as multi-state operators. Our customers choose us for a number of reasons, including the breadth and availability of the products we offer, our extensive expertise, and the quality of our customer service. For large multi-state operators, our solutions allow operators to produce consistent high-quality products regardless of the geographic locations where they are licensed to operate. Our system removes the variations of local grow environment, and also provides consistent standard operating procedures across different facilities, helping every facility to achieve the highest GMP standards. Our ability to provide a “one-stop shop” experience allows us to be the preferred vendor to many of these customers by streamlining their entry into or expansion of their cultivation capabilities. In addition, we believe our customers find great value in the advice and recommendations provided by our knowledgeable sales and service associates, which further increases demand for our products.</w:t>
      </w:r>
    </w:p>
    <w:p>
      <w:pPr>
        <w:spacing w:after="0" w:line="11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believe the nature of our solutions and our high-touch customer service model strengthens relationships, builds loyalty and drives repeat business as our customers’ businesses expand. In addition, we feel as if our premium product lines and comprehensive product portfolio position us well to meet our customers’ needs. Furthermore, we fully anticipate that we will be able to leverage all of the data that we are collecting from our existing customer base to make continuous improvements to our offerings and better serve our current and new customers in the future.</w:t>
      </w:r>
    </w:p>
    <w:p>
      <w:pPr>
        <w:spacing w:after="0" w:line="111"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To date, we have customers in the following states: Nevada, Colorado, Washington, Michigan, Minnesota, Rhode Island, Massachusetts and Illinois. We also have a customer in Oman.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5" w:name="page76"/>
    <w:bookmarkEnd w:id="75"/>
    <w:p>
      <w:pPr>
        <w:ind w:left="460" w:right="519" w:firstLine="432"/>
        <w:spacing w:after="0" w:line="279" w:lineRule="auto"/>
        <w:rPr>
          <w:sz w:val="20"/>
          <w:szCs w:val="20"/>
          <w:color w:val="auto"/>
        </w:rPr>
      </w:pPr>
      <w:r>
        <w:rPr>
          <w:rFonts w:ascii="Arial" w:cs="Arial" w:eastAsia="Arial" w:hAnsi="Arial"/>
          <w:sz w:val="17"/>
          <w:szCs w:val="17"/>
          <w:color w:val="auto"/>
        </w:rPr>
        <w:t>As for our enterprise-level business, we currently have 1,909 AVFUs deployed and/or booked, and all of them will be powered by Agrify Insights. Our existing active deployments cover approximately 75,000 square feet of facility space, and that number is expected to grow significantly once we go live with some of our newer customers and once we are able to close more deals from our $96 million qualified pipeline.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Growth Strategy</w:t>
      </w:r>
    </w:p>
    <w:p>
      <w:pPr>
        <w:spacing w:after="0" w:line="148" w:lineRule="exact"/>
        <w:rPr>
          <w:sz w:val="20"/>
          <w:szCs w:val="20"/>
          <w:color w:val="auto"/>
        </w:rPr>
      </w:pPr>
    </w:p>
    <w:p>
      <w:pPr>
        <w:ind w:left="460" w:right="799" w:firstLine="432"/>
        <w:spacing w:after="0" w:line="279" w:lineRule="auto"/>
        <w:rPr>
          <w:sz w:val="20"/>
          <w:szCs w:val="20"/>
          <w:color w:val="auto"/>
        </w:rPr>
      </w:pPr>
      <w:r>
        <w:rPr>
          <w:rFonts w:ascii="Arial" w:cs="Arial" w:eastAsia="Arial" w:hAnsi="Arial"/>
          <w:sz w:val="17"/>
          <w:szCs w:val="17"/>
          <w:color w:val="auto"/>
        </w:rPr>
        <w:t>We have developed a multi-pronged growth strategy as described below to help us capitalize on the sizable opportunity at hand. Through methodical sales and marketing efforts, our joint venture with Valiant-America, scale-up manufacturing, equipment financing and new product offerings, we believe we have accounted for several key ways we can grow more effectively.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Rigorous Sales Process and Strong Infrastructure in Place to Enable Revenue Growth</w:t>
      </w:r>
    </w:p>
    <w:p>
      <w:pPr>
        <w:spacing w:after="0" w:line="158"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We utilize a rigorous Sandler Training sales process to qualify and advance prospects through the different phases of our qualified pipeline. There are specific requirements, milestones, and events that we have identified along the sales process that must be met to move prospects through the different parts of the buyer journey in order to convert them from vetted opportunities into committed sales orders within a 12-month period. At each phase of the pipeline, a prospect opportunity is assigned a probability value for closing, providing management production forecast ability. We are diligent in making sure that we are engaging in conversations with well-funded entities that are in good standing with any licensing requirements that they face (or entities that are at least on the cusp of being viable candidates for our grow solutions). We also take into account infrastructure, facility readiness and the presence of key personnel.</w:t>
      </w:r>
    </w:p>
    <w:p>
      <w:pPr>
        <w:spacing w:after="0" w:line="11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To date, the results of our sales process have been encouraging as there has been a high level of alignment, accountability and achievement amongst our sales team. We started 2020 with deferred revenue of $4 million and received additional bookings of $29 million in the form of purchase orders or purchase commitments (which we refer to as the 2020 Backlog). Of the total 2020 Backlog of $33 million, we recognized revenue of $1 million during the first quarter of 2020 and expect to recognize the balance as revenue by June 2021. As of June 30, 2020, we have $96 million of qualified pipeline, a significant percentage of which we expect to convert into confirmed bookings during the second half of 2020 and first half of 2021. Additionally, four of our last five purchase orders or purchase commitments (all of which were secured during 2020) have been for between $3.5 million and $9.6 million, and we expect that our average contract size will continue to increase over time. Given our emphasis on large scale high-value enterprise sales versus high-volume sales, we believe that we will be able to significantly scale our business in the coming years without needing to drastically increase our headcount. For us, it is all about having the right well-trained, knowledgeable sales team instead of the largest sales team.</w:t>
      </w:r>
    </w:p>
    <w:p>
      <w:pPr>
        <w:spacing w:after="0" w:line="105"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Looking ahead, our sales team is responsible for overseeing nationwide sales and support, and they will drive our expansion into future international markets. Our territory managers work in tandem with our in-house technology solutions and horticultural experts to provide customers a turnkey indoor facility integrated system proposal. Agreements include the equipment being purchased and multi-year SaaS commitments that bring in substantial trailing revenues.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Marketing Team Aligned with Sales Force to Maximize Agrify’s Industry Visibility to Drive Revenue</w:t>
      </w:r>
    </w:p>
    <w:p>
      <w:pPr>
        <w:spacing w:after="0" w:line="169"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Our marketing department works in tandem with our sales and business development representatives to best represent and sell our Agrify “Precision Elevated™” cultivation solution to the indoor agriculture industry. The sales and business development representatives push prospects through a sales funnel, also known as a “buyer’s journey”. A strategic sales model has been developed to create a seamless transition from the initial communication with a prospect through targeted messaging and eventually moving all the way through the funnel. The movement through this funnel is referred to as TOFU/MOFU/BOFU (Top of the Funnel/Middle of the Funnel/Bottom of the Funnel), which is focused on attention, consideration and decision-making, keeping the messaging consistent, the potential buyer engaged, and ultimately leads the prospect to close on a deal.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ind w:left="460" w:right="539" w:firstLine="432"/>
        <w:spacing w:after="0" w:line="301" w:lineRule="auto"/>
        <w:rPr>
          <w:sz w:val="20"/>
          <w:szCs w:val="20"/>
          <w:color w:val="auto"/>
        </w:rPr>
      </w:pPr>
      <w:r>
        <w:rPr>
          <w:rFonts w:ascii="Arial" w:cs="Arial" w:eastAsia="Arial" w:hAnsi="Arial"/>
          <w:sz w:val="16"/>
          <w:szCs w:val="16"/>
          <w:color w:val="auto"/>
        </w:rPr>
        <w:t>Our sales funnel duties are completed using a customer relationship management (CRM) system, which allows us to track, qualify, and report on the ROI of our marketing initiatives. Leads are added into our pipeline funnel predominantly through our digital marketing efforts, including direct marketing, organic social media growth, thought leadership, and demand generation via paid advertisements and press releases.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Direct Marketing</w:t>
      </w:r>
    </w:p>
    <w:p>
      <w:pPr>
        <w:spacing w:after="0" w:line="144"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We capitalize on our direct marketing efforts by utilizing our internal CRM database, as well as the external help of trusted industry databases to target the right audience. Additionally, by taking advantage of our partners’ networks, such as those of Valiant-America, Bluezone, and Enozo, we are able to reach an extensive and reliable list of cultivators and industry professionals. Emails go out on a weekly basis and are subdivided by product focus and state, depending on the campaign. We use A/B testing in our email campaign strategy in order to harness meaningful messages that result in 40% engagement and above average open and click through rates. We are turning impressions into contacts at a rapid rate and have managed to grow our contact list by over 100% in one quarter. We are seeing 20% of these leads become sales qualified and 10% result in an opportunity.</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Social Media and Thought Leadership</w:t>
      </w:r>
    </w:p>
    <w:p>
      <w:pPr>
        <w:spacing w:after="0" w:line="158"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Through the creation and promotion of engaging content that positions us as a thought leader, we continue to organically grow our social media audience. We share original video, photography, industry-related articles, and blog content on a consistent basis. By developing strategic partnerships with well-known and respected brands, we are working to better position ourselves with marketing and branding efforts on social. Furthermore, we promote our social media in our communication via email and on our website. We also keep our finger on the pulse of trends and competitors in the market, remaining in-the-know. We have successfully more than doubled our social media presence across all platforms in the first half of 2020 and continue to show improvement in transitioning our social media audience into prospects.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Trade Shows</w:t>
      </w:r>
    </w:p>
    <w:p>
      <w:pPr>
        <w:spacing w:after="0" w:line="15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While digital marketing has been a consistent driver of leads and visibility for Agrify, trade shows related to various indoor agriculture topics have also proven to be highly effective. When attending trade shows, we typically position ourselves front and center, with high-level sponsorships and outstanding booth placement and presentation. Our product and subject matter experts take advantage of speaking opportunities, positioning Agrify as industry thought leaders. Three trade shows have been completed so far this year, with several others now in limbo due to the COVID-19 pandemic. We expect to continue to grow our industry presence by generating leads using conferences as a platform. The trade show plan has been carefully vetted to ensure that these shows are reputable, have a strong business to business focus, high foot-traffic rates, as well as hosted in a desirable market.</w:t>
      </w:r>
    </w:p>
    <w:p>
      <w:pPr>
        <w:spacing w:after="0" w:line="100"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In 2019, we were able to capture over 800 leads at our biggest event and over 200 leads per show at smaller regional conferences. More than 75% have become marketing qualified leads, of which 50% later became sales qualified. Many of these leads are now customers or in the process of becoming customers. We are seeing the largest amount of marketing qualified leads come through our trade show attendance. Given the proven success of these conferences, their reputation, their audiences and their industry magnitude, we expect to continue to seek headline and sponsorship roles.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182880</wp:posOffset>
            </wp:positionV>
            <wp:extent cx="5143500" cy="384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5143500" cy="384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Paid Advertising</w:t>
      </w:r>
    </w:p>
    <w:p>
      <w:pPr>
        <w:spacing w:after="0" w:line="158" w:lineRule="exact"/>
        <w:rPr>
          <w:sz w:val="20"/>
          <w:szCs w:val="20"/>
          <w:color w:val="auto"/>
        </w:rPr>
      </w:pPr>
    </w:p>
    <w:p>
      <w:pPr>
        <w:ind w:left="460" w:right="639" w:firstLine="432"/>
        <w:spacing w:after="0" w:line="296" w:lineRule="auto"/>
        <w:rPr>
          <w:sz w:val="20"/>
          <w:szCs w:val="20"/>
          <w:color w:val="auto"/>
        </w:rPr>
      </w:pPr>
      <w:r>
        <w:rPr>
          <w:rFonts w:ascii="Arial" w:cs="Arial" w:eastAsia="Arial" w:hAnsi="Arial"/>
          <w:sz w:val="16"/>
          <w:szCs w:val="16"/>
          <w:color w:val="auto"/>
        </w:rPr>
        <w:t>We utilize paid advertising such as banner ads on high-trafficked media sites that largely focus on agricultural technology and other relevant topics. We provide content offers and other downloadable materials in order to capture these leads. As we gain experience through these different marketing initiatives, we will make appropriate spending adjustments with our most effective outlets. We seek to expand our business both nationally and internationally, and will do so when we have proven, viable marketing options available to us.</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Public Relations Campaigns</w:t>
      </w:r>
    </w:p>
    <w:p>
      <w:pPr>
        <w:spacing w:after="0" w:line="144"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We have successfully gained the interest of press from networks such as CNN, CFN, industry trade journals, and more. With our industry positioning using thought-leadership and on-going participation in industry conferences, we have been highlighted every month through the Newswire and featured in a variety of media outlets. We will continue to sponsor and keynote in industry-related events including; tech and agriculture conferences, podcasts, radio shows and more to continue to gain press and ultimately more exposure.</w:t>
      </w:r>
    </w:p>
    <w:p>
      <w:pPr>
        <w:spacing w:after="0" w:line="125"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Through our digital marketing efforts, we promote our solutions to customers who stand to benefit most from our products and services, which spans a wide range of indoor agriculture verticals. We aim to bring in at least twenty new qualified leads a week by driving traffic to our website, keeping impression numbers high, while also keeping our cost-per-lead low. As we receive more data, we plan on continuing to monitor the digital efforts that garner the most leads and make adjustments accordingly.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8" w:name="page79"/>
    <w:bookmarkEnd w:id="78"/>
    <w:p>
      <w:pPr>
        <w:ind w:left="460"/>
        <w:spacing w:after="0"/>
        <w:rPr>
          <w:sz w:val="20"/>
          <w:szCs w:val="20"/>
          <w:color w:val="auto"/>
        </w:rPr>
      </w:pPr>
      <w:r>
        <w:rPr>
          <w:rFonts w:ascii="Arial" w:cs="Arial" w:eastAsia="Arial" w:hAnsi="Arial"/>
          <w:sz w:val="18"/>
          <w:szCs w:val="18"/>
          <w:b w:val="1"/>
          <w:bCs w:val="1"/>
          <w:color w:val="auto"/>
        </w:rPr>
        <w:t>Our Joint Venture with Valiant-America</w:t>
      </w:r>
    </w:p>
    <w:p>
      <w:pPr>
        <w:spacing w:after="0" w:line="162"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From a growth perspective, we believe our joint venture with Valiant-America gives us a credible and complementary channel partner with extensive industry relationships to help us gain additional market share by making our solution a prominent part of their discussions involving future projects in this space.</w:t>
      </w:r>
    </w:p>
    <w:p>
      <w:pPr>
        <w:spacing w:after="0" w:line="84" w:lineRule="exact"/>
        <w:rPr>
          <w:sz w:val="20"/>
          <w:szCs w:val="20"/>
          <w:color w:val="auto"/>
        </w:rPr>
      </w:pPr>
    </w:p>
    <w:p>
      <w:pPr>
        <w:ind w:left="460" w:right="619" w:firstLine="432"/>
        <w:spacing w:after="0" w:line="286" w:lineRule="auto"/>
        <w:rPr>
          <w:sz w:val="20"/>
          <w:szCs w:val="20"/>
          <w:color w:val="auto"/>
        </w:rPr>
      </w:pPr>
      <w:r>
        <w:rPr>
          <w:rFonts w:ascii="Arial" w:cs="Arial" w:eastAsia="Arial" w:hAnsi="Arial"/>
          <w:sz w:val="17"/>
          <w:szCs w:val="17"/>
          <w:color w:val="auto"/>
        </w:rPr>
        <w:t>We believe this joint venture positions us as the only fully integrated grow solution in the industry as we are now able to provide services around facility design, mechanical and engineering planning, general contracting, hardware and equipment installation, and commissioning for all indoor agriculture customers.</w:t>
      </w:r>
    </w:p>
    <w:p>
      <w:pPr>
        <w:spacing w:after="0" w:line="98" w:lineRule="exact"/>
        <w:rPr>
          <w:sz w:val="20"/>
          <w:szCs w:val="20"/>
          <w:color w:val="auto"/>
        </w:rPr>
      </w:pPr>
    </w:p>
    <w:p>
      <w:pPr>
        <w:ind w:left="460" w:right="699" w:firstLine="432"/>
        <w:spacing w:after="0" w:line="293" w:lineRule="auto"/>
        <w:rPr>
          <w:sz w:val="20"/>
          <w:szCs w:val="20"/>
          <w:color w:val="auto"/>
        </w:rPr>
      </w:pPr>
      <w:r>
        <w:rPr>
          <w:rFonts w:ascii="Arial" w:cs="Arial" w:eastAsia="Arial" w:hAnsi="Arial"/>
          <w:sz w:val="16"/>
          <w:szCs w:val="16"/>
          <w:color w:val="auto"/>
        </w:rPr>
        <w:t>We believe our turnkey offerings are highly differentiated from anything else on the market in that they combine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segment.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Scale-Up Manufacturing Capabilities in Order to Meet the Increasing Demand for Our Grow Solutions</w:t>
      </w:r>
    </w:p>
    <w:p>
      <w:pPr>
        <w:spacing w:after="0" w:line="185"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We currently use contract manufacturers (CMs) in the U.S. and in Asia for prototyping and volume manufacturing, and we plan to expand our capabilities in order to meet the increasing demand for our grow solutions. We design the systems internally, and then works with its CMs and suppliers to refine, prototype, and test the designs. The designs are documented at a level that allows us to have our products manufactured at multiple CMs, both in the U.S. and abroad.</w:t>
      </w:r>
    </w:p>
    <w:p>
      <w:pPr>
        <w:spacing w:after="0" w:line="107"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Additionally, we work with domestic suppliers on a wide range of metal fabrication to allow for rapid prototyping and product development. One such CM and metal fabrication shop that we have worked with extensively in the past is Harbor Mountain, which is based in the Atlanta, GA area. Harbor Mountain has been producing and assembling many of our products for over three years, and they have served our needs well as a versatile and valued partner. As previously mentioned, we entered into a framework agreement in July 2020 to acquire Harbor Mountain along with key personnel and equipment, and we believe this fits in nicely with our overall scale-up manufacturing strategy. For the remainder of 2020, Harbor Mountain will be asked to support our AVFU sales and production goals as a primary manufacturing location. In 2021 and beyond, we expect Harbor Mountain to evolve into more of a service, engineering development and prototyping, and test facility as we eventually execute on our plan to bring high-volume manufacturing to Asia and other locations abroad.</w:t>
      </w:r>
    </w:p>
    <w:p>
      <w:pPr>
        <w:spacing w:after="0" w:line="101"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Overall, our approach to manufacturing is to use CMs to prototype, iterate, and begin initial production domestically, then transition to volume production in lower cost geographies, which results in both rapid time-to-market and low production costs. As we grow, we intend to continually analyze and evolve our manufacturing capabilities to best meet our customer needs while always focusing on ways to maximize operating margins.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Equipment Financing Program</w:t>
      </w:r>
    </w:p>
    <w:p>
      <w:pPr>
        <w:spacing w:after="0" w:line="162"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Our equipment financing program, which we believe is novel in the indoor agriculture space, is instrumental in removing certain points of friction from the sales cycle and it can be a major factor that tips the scales in our favor with certain prospects. When any of our credit-worthy customers take advantage of this opportunity, they are able expedite their speed to market as a result of not having to finance their purchase with 100% equity. As a result, we are able to collect as much as 50% of the purchase order immediately, with the balance typically being repaid over a two-year period, with interest, under commercially reasonable terms. By offering this equipment financing option, we have effectively broadened our prospect pool, and we believe that this will lead to more deals closing over time.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9" w:name="page80"/>
    <w:bookmarkEnd w:id="79"/>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We rely on a combination of patent, trademark, copyright, trade secret, including federal, state and common law rights in the United States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is affected by our ability to protect against misappropriation and infringement of our intellectual property, including our trademarks, service marks, patents, domain names, copyrights and other proprietary rights.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Patents</w:t>
      </w:r>
    </w:p>
    <w:p>
      <w:pPr>
        <w:spacing w:after="0" w:line="144"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filed United States provisional patent application 62/830,770 on April 8, 2019 titled “Device for Light Limiting Current” that serves as the priority document for our April 6, 2020 filing of PCT application [—]. This application is directed to, among other things, a current limiting device coupled with a light emitting diode driver.</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Trademarks and Copyrights</w:t>
      </w:r>
    </w:p>
    <w:p>
      <w:pPr>
        <w:spacing w:after="0" w:line="158" w:lineRule="exact"/>
        <w:rPr>
          <w:sz w:val="20"/>
          <w:szCs w:val="20"/>
          <w:color w:val="auto"/>
        </w:rPr>
      </w:pPr>
    </w:p>
    <w:p>
      <w:pPr>
        <w:ind w:left="460" w:right="819" w:firstLine="432"/>
        <w:spacing w:after="0" w:line="263" w:lineRule="auto"/>
        <w:rPr>
          <w:sz w:val="20"/>
          <w:szCs w:val="20"/>
          <w:color w:val="auto"/>
        </w:rPr>
      </w:pPr>
      <w:r>
        <w:rPr>
          <w:rFonts w:ascii="Arial" w:cs="Arial" w:eastAsia="Arial" w:hAnsi="Arial"/>
          <w:sz w:val="18"/>
          <w:szCs w:val="18"/>
          <w:color w:val="auto"/>
        </w:rPr>
        <w:t>We, or our subsidiaries, have a pending United States trademark applications for AGRIFY and TRIGROW. In addition, we recognize common-law trademark rights TECHOPS, AGRIFY INSIGHTS and AGRINAMICS for different software as a service products.</w:t>
      </w:r>
    </w:p>
    <w:p>
      <w:pPr>
        <w:spacing w:after="0" w:line="116" w:lineRule="exact"/>
        <w:rPr>
          <w:sz w:val="20"/>
          <w:szCs w:val="20"/>
          <w:color w:val="auto"/>
        </w:rPr>
      </w:pPr>
    </w:p>
    <w:p>
      <w:pPr>
        <w:ind w:left="460" w:right="819" w:firstLine="432"/>
        <w:spacing w:after="0" w:line="301" w:lineRule="auto"/>
        <w:rPr>
          <w:sz w:val="20"/>
          <w:szCs w:val="20"/>
          <w:color w:val="auto"/>
        </w:rPr>
      </w:pPr>
      <w:r>
        <w:rPr>
          <w:rFonts w:ascii="Arial" w:cs="Arial" w:eastAsia="Arial" w:hAnsi="Arial"/>
          <w:sz w:val="16"/>
          <w:szCs w:val="16"/>
          <w:color w:val="auto"/>
        </w:rPr>
        <w:t>Our subsidiary, Agrify Brands LLC is the owner of certain common-law trademarks that it licenses to third parties. Marks covered by the license include, DAWG STAR (including multiple logo designs), WESTERN CULTURED (including multiple logo designs), TWISTED LEGION (logo), WAXTRONAUT (including multiple logo designs) and WAXTRONAUT COSMICALLY CURATED EXTRACTS.</w:t>
      </w:r>
    </w:p>
    <w:p>
      <w:pPr>
        <w:spacing w:after="0" w:line="76" w:lineRule="exact"/>
        <w:rPr>
          <w:sz w:val="20"/>
          <w:szCs w:val="20"/>
          <w:color w:val="auto"/>
        </w:rPr>
      </w:pPr>
    </w:p>
    <w:p>
      <w:pPr>
        <w:ind w:left="460" w:right="959" w:firstLine="432"/>
        <w:spacing w:after="0" w:line="257" w:lineRule="auto"/>
        <w:rPr>
          <w:sz w:val="20"/>
          <w:szCs w:val="20"/>
          <w:color w:val="auto"/>
        </w:rPr>
      </w:pPr>
      <w:r>
        <w:rPr>
          <w:rFonts w:ascii="Arial" w:cs="Arial" w:eastAsia="Arial" w:hAnsi="Arial"/>
          <w:sz w:val="18"/>
          <w:szCs w:val="18"/>
          <w:color w:val="auto"/>
        </w:rPr>
        <w:t>Although we have not sought copyright registration for our technology or works to date, we rely on common law copyright and trade secret protections in relation to our TechOps/Agrify Insights computer program for indoor agriculture management. We have registered our Internet domain names related to our business. We license software from third parties and utilize open source software for integration into our applications.</w:t>
      </w:r>
    </w:p>
    <w:p>
      <w:pPr>
        <w:spacing w:after="0" w:line="120" w:lineRule="exact"/>
        <w:rPr>
          <w:sz w:val="20"/>
          <w:szCs w:val="20"/>
          <w:color w:val="auto"/>
        </w:rPr>
      </w:pPr>
    </w:p>
    <w:p>
      <w:pPr>
        <w:ind w:left="460" w:right="819" w:firstLine="432"/>
        <w:spacing w:after="0" w:line="275" w:lineRule="auto"/>
        <w:rPr>
          <w:sz w:val="20"/>
          <w:szCs w:val="20"/>
          <w:color w:val="auto"/>
        </w:rPr>
      </w:pPr>
      <w:r>
        <w:rPr>
          <w:rFonts w:ascii="Arial" w:cs="Arial" w:eastAsia="Arial" w:hAnsi="Arial"/>
          <w:sz w:val="17"/>
          <w:szCs w:val="17"/>
          <w:color w:val="auto"/>
        </w:rPr>
        <w:t>In addition, while we know that our current product and service capabilities are highly novel and compelling, we do not intend to be complacent. We will continue to learn from our customers and from the market, and if there is an opportunity to deploy a new and improved version of one of our offerings or if we decide there is room in the market for a new type of solution, we fully intend to diligently explore those possibilities to augment our existing business and grow our reach.</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Employees</w:t>
      </w:r>
    </w:p>
    <w:p>
      <w:pPr>
        <w:spacing w:after="0" w:line="162"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As of the date of this prospectus, we have over 40 employees with our headquarters in Burlington, Massachusetts. We have plans to move to a larger facility in the Burlington area to include additional space for growth. We are also pursuing additional warehousing capabilities. None of our employees are subject to collective bargaining agreements.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History</w:t>
      </w:r>
    </w:p>
    <w:p>
      <w:pPr>
        <w:spacing w:after="0" w:line="148"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116"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On January 22, 2020, we and Agrify Merger Sub, Inc., our newly formed wholly-owned subsidiary (or Merger Sub), entered into an Agreement of Merger with TriGrow Systems, Inc., a Nevada corporation (or TriGrow), pursuant to which TriGrow was merged with and into Merger Sub, with Merger Sub as the surviving corporation, resulting in our indirect acquisition of TriGrow.</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0" w:name="page81"/>
    <w:bookmarkEnd w:id="80"/>
    <w:p>
      <w:pPr>
        <w:ind w:left="460" w:right="599" w:firstLine="432"/>
        <w:spacing w:after="0" w:line="259" w:lineRule="auto"/>
        <w:rPr>
          <w:sz w:val="20"/>
          <w:szCs w:val="20"/>
          <w:color w:val="auto"/>
        </w:rPr>
      </w:pPr>
      <w:r>
        <w:rPr>
          <w:rFonts w:ascii="Arial" w:cs="Arial" w:eastAsia="Arial" w:hAnsi="Arial"/>
          <w:sz w:val="18"/>
          <w:szCs w:val="18"/>
          <w:color w:val="auto"/>
        </w:rPr>
        <w:t>On December 8, 2019, we formed a 60/40 joint-venture limited liability company in which we are the 60% majority owner with Valiant-America, LLC, one of the largest premium integrated consulting and general contracting firms in North America with more than 10 years of facility general contracting experience across many states.</w:t>
      </w:r>
    </w:p>
    <w:p>
      <w:pPr>
        <w:spacing w:after="0" w:line="106"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On July 21, 2020, we acquired Harbor Mountain Holdings, LLC, who we have had a close working relationship with for over three years, including the acquisition of Harbor Mountain’s research and development, testing, and flexible manufacturing plant located just outside Atlanta, GA, along with key personnel and equipment. This acquisition will give us increased, and in some respects, new in-house resources and capabilities around engineering, prototyping, manufacturing, testing, warehousing and installation services.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MANAGEMENT</w:t>
      </w:r>
    </w:p>
    <w:p>
      <w:pPr>
        <w:spacing w:after="0" w:line="162" w:lineRule="exact"/>
        <w:rPr>
          <w:sz w:val="20"/>
          <w:szCs w:val="20"/>
          <w:color w:val="auto"/>
        </w:rPr>
      </w:pPr>
    </w:p>
    <w:p>
      <w:pPr>
        <w:ind w:left="460" w:right="799" w:firstLine="432"/>
        <w:spacing w:after="0" w:line="263" w:lineRule="auto"/>
        <w:rPr>
          <w:sz w:val="20"/>
          <w:szCs w:val="20"/>
          <w:color w:val="auto"/>
        </w:rPr>
      </w:pPr>
      <w:r>
        <w:rPr>
          <w:rFonts w:ascii="Arial" w:cs="Arial" w:eastAsia="Arial" w:hAnsi="Arial"/>
          <w:sz w:val="18"/>
          <w:szCs w:val="18"/>
          <w:color w:val="auto"/>
        </w:rPr>
        <w:t>The following table sets forth certain information about our executive officers, key employees and directors as of the date of this prospectus. We intend to appoint at least two additional independent directors prior to the consummation of this offering.</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31"/>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20"/>
                <w:szCs w:val="20"/>
                <w:color w:val="auto"/>
              </w:rPr>
            </w:pPr>
          </w:p>
        </w:tc>
        <w:tc>
          <w:tcPr>
            <w:tcW w:w="4800" w:type="dxa"/>
            <w:vAlign w:val="bottom"/>
          </w:tcPr>
          <w:p>
            <w:pPr>
              <w:ind w:left="214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Raymond Chang</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 Director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Niv Krikov</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Robert Harrison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Matthew Liotta</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Guichao Hua</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Thomas Massie</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Independent Director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Krishnan Varier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4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Independent Director</w:t>
            </w:r>
          </w:p>
        </w:tc>
      </w:tr>
      <w:tr>
        <w:trPr>
          <w:trHeight w:val="41"/>
        </w:trPr>
        <w:tc>
          <w:tcPr>
            <w:tcW w:w="2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499" w:firstLine="432"/>
        <w:spacing w:after="0" w:line="283" w:lineRule="auto"/>
        <w:rPr>
          <w:sz w:val="20"/>
          <w:szCs w:val="20"/>
          <w:color w:val="auto"/>
        </w:rPr>
      </w:pPr>
      <w:r>
        <w:rPr>
          <w:rFonts w:ascii="Arial" w:cs="Arial" w:eastAsia="Arial" w:hAnsi="Arial"/>
          <w:sz w:val="16"/>
          <w:szCs w:val="16"/>
          <w:b w:val="1"/>
          <w:bCs w:val="1"/>
          <w:i w:val="1"/>
          <w:iCs w:val="1"/>
          <w:color w:val="auto"/>
        </w:rPr>
        <w:t xml:space="preserve">Raymond Chang. </w:t>
      </w:r>
      <w:r>
        <w:rPr>
          <w:rFonts w:ascii="Arial" w:cs="Arial" w:eastAsia="Arial" w:hAnsi="Arial"/>
          <w:sz w:val="16"/>
          <w:szCs w:val="16"/>
          <w:color w:val="auto"/>
        </w:rPr>
        <w:t>Mr. Chang has served as our president and chief executive officer and a member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board of directors since June 15, 2019. From September 2015 through May 2019, Mr. Chang was a lecturer in the Practice of Management at the Yale School of Management and an Adjunct Professor at Babson College as well as a managing director at NXT Ventures. In 1997, Mr. Chang founded GigaMedia, the first broadband company in Asia. In 2000, this company went public on NASDAQ (NASDAQ: GIGM) and raised $280 million, one of the largest IPOs for an internet company prior to 2000. In 2007, Mr. Chang founded Luckypai, a leading TV shopping company in China and raised venture financing from Lightspeed Venture Partners, DT Capital, Intel, Lehman Brothers, and Goldman Sachs. Luckypai was sold to Lotte Group, which is one of the largest Asian conglomerates based in Korea, for $160 million in 2010. From 2012 to 2013, Mr. Chang served as the chief executive officer of New Focus Auto, the largest automobile aftersales service company listed on the Hong Kong Stock Exchange (HKSE: 0360.HK). In 2014, Mr. Chang completed the sale of New Focus Auto to CDH Investments, which is one of the largest private equity firms based in Asia, and raised over $150 million for the company. In 2000, Mr. Chang was selected by Fortune as one of the twenty-five “Next Generation Global Leaders Under 40” and by Business Week Asia as one of Asia’s 20 most influential new economy leaders in the 21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century. He was also featured in 2005 as a panel speaker at the World Economic Forum in Zurich, Switzerland. Mr. Chang was the former treasurer/elected board member of Shanghai American School and a member of the Young President’s Organization — Shanghai Chapter. Mr. Chang received his BA from New York University, MBA from Yale School of Management, and MPA from Harvard JFK School of Government. We believe that Mr. Chang’s successful serial entrepreneurial and management track records make him a qualified member of our board.</w:t>
      </w:r>
    </w:p>
    <w:p>
      <w:pPr>
        <w:spacing w:after="0" w:line="10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b w:val="1"/>
          <w:bCs w:val="1"/>
          <w:i w:val="1"/>
          <w:iCs w:val="1"/>
          <w:color w:val="auto"/>
        </w:rPr>
        <w:t xml:space="preserve">Niv Krikov. </w:t>
      </w:r>
      <w:r>
        <w:rPr>
          <w:rFonts w:ascii="Arial" w:cs="Arial" w:eastAsia="Arial" w:hAnsi="Arial"/>
          <w:sz w:val="17"/>
          <w:szCs w:val="17"/>
          <w:color w:val="auto"/>
        </w:rPr>
        <w:t>Mr. Krikov has served as our chief financial officer since January 20, 2020.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2018 to January 2020, Mr. Krikov served as the chief financial officer of Desalitech, Inc., a water purification company based in Newton, MA. From January 2016 to November 2017, Mr. Krikov served as the chief financial officer of PeerApp, a technology company for development and license of high-performance cache solutions for telecommunication networks based in Austin, TX. From November 2014 to December 2015, Mr. Krikov served as the chief financial officer of Proftect, Inc., a technology company for development and license of high-performance cache solutions for telecommunication networks based in the Boston area. From March 2007 to November 2014, Mr. Krikov served as the chief financial officer of NTS, Inc., a publicly traded international telecommunication company listed on the NYSE (NYSE: NTS) and TASE Prior to that, Mr. Krikov served as corporate controller with Nur Macroprinters Ltd. (NASDAQ: NURM) prior to it being acquired in 2007 by Hewlett Packard Company and as controller and credit and revenue manager with Alvarion Ltd. Mr. Krikov received his BA from Tel Aviv University and his LLM from Bar-Ilan University.</w:t>
      </w:r>
    </w:p>
    <w:p>
      <w:pPr>
        <w:spacing w:after="0" w:line="111"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b w:val="1"/>
          <w:bCs w:val="1"/>
          <w:i w:val="1"/>
          <w:iCs w:val="1"/>
          <w:color w:val="auto"/>
        </w:rPr>
        <w:t>Robert Harrison</w:t>
      </w:r>
      <w:r>
        <w:rPr>
          <w:rFonts w:ascii="Arial" w:cs="Arial" w:eastAsia="Arial" w:hAnsi="Arial"/>
          <w:sz w:val="18"/>
          <w:szCs w:val="18"/>
          <w:color w:val="auto"/>
        </w:rPr>
        <w:t>. Mr. Harrison has served as our chief operating officer since July 21, 2020.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Harrison joined us on April 15, 2020 as our director, project management. From January 2014 to October 2019, Mr. Harrison served as the region head LED lamps of LEDVANCE / Osram Sylvania, a worldwide leader in innovative lighting products as well as intelligent and connected lighting solutions under the Sylvania and Osram brands. At LEDVANCE / Osram Sylvania, Mr. Harrison ran the business unit for LED lighting in North America and South America. From November 2009 to January 2014, Mr. Harrison served as the director of engineering responsible for Osram Sylvania’s solid-state lighting and power electronics activities as well as the head of the project management office. Prior to LEDVANCE / Osram Sylvania, Mr. Harrison held roles in the automotive</w:t>
      </w:r>
    </w:p>
    <w:p>
      <w:pPr>
        <w:sectPr>
          <w:pgSz w:w="11900" w:h="16838" w:orient="portrait"/>
          <w:cols w:equalWidth="0" w:num="1">
            <w:col w:w="9019"/>
          </w:cols>
          <w:pgMar w:left="1440" w:top="337"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82" w:name="page83"/>
    <w:bookmarkEnd w:id="82"/>
    <w:p>
      <w:pPr>
        <w:ind w:left="460" w:right="999"/>
        <w:spacing w:after="0" w:line="286" w:lineRule="auto"/>
        <w:rPr>
          <w:sz w:val="20"/>
          <w:szCs w:val="20"/>
          <w:color w:val="auto"/>
        </w:rPr>
      </w:pPr>
      <w:r>
        <w:rPr>
          <w:rFonts w:ascii="Arial" w:cs="Arial" w:eastAsia="Arial" w:hAnsi="Arial"/>
          <w:sz w:val="17"/>
          <w:szCs w:val="17"/>
          <w:color w:val="auto"/>
        </w:rPr>
        <w:t>metrology, industrial automation and biomedical areas. Mr. Harrison is PMP certified with the Project Management Institute and holds 16 patents. Mr. Harrison received his BS and MS degrees in Mechanical Engineering from Worcester Polytechnic Institute and his MBA from Babson College.</w:t>
      </w:r>
    </w:p>
    <w:p>
      <w:pPr>
        <w:spacing w:after="0" w:line="84"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Guichao Hua. </w:t>
      </w:r>
      <w:r>
        <w:rPr>
          <w:rFonts w:ascii="Arial" w:cs="Arial" w:eastAsia="Arial" w:hAnsi="Arial"/>
          <w:sz w:val="16"/>
          <w:szCs w:val="16"/>
          <w:color w:val="auto"/>
        </w:rPr>
        <w:t>Mr. Hua has served as a member of our board of directors since June 15, 2019. Mr. Hua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renowned expert in the global power electronics arena. He brings over 25 years of experience in the lighting industry and has extensive knowledge in running successful businesses. In 2007, Mr. Hua founded Inventronics Inc., which is currently one of the largest companies in the world engaged in the design and manufacture of high efficiency, high reliability and long-life LED drivers, and served as the founder and chief executive officer from 2007 to 2019, and has served as the executive chairman since 2019. In 2016, Inventronics became a public company in China (300582.SZ). In December 2017, Mr. Hua founded 4D Bios Inc., which is focused on the design, manufacture, and marketing and sales of LED vertical farm systems. 4D Bios aims to become a global leader in this high-tech new agriculture industry. Mr. Hua is a co-founder and former vice president of engineering of VPT Inc., which is now one of the largest military/aerospace power companies in the world. Mr. Hua received his Ph.D from the Center for Power Electronic System (CPES) at Virginia Tech in 1994, and served as research associate and scientist in CPES for 5 years. Mr. Hua has obtained more than 20 U.S. patents and published more than 70 theses, enjoying a strong reputation in the switch power industry. We believe that Mr. Hua’s exemplary career building thriving global hardware companies along with his design, engineering and manufacturing expertise makes him a qualified member of our board.</w:t>
      </w:r>
    </w:p>
    <w:p>
      <w:pPr>
        <w:spacing w:after="0" w:line="100" w:lineRule="exact"/>
        <w:rPr>
          <w:sz w:val="20"/>
          <w:szCs w:val="20"/>
          <w:color w:val="auto"/>
        </w:rPr>
      </w:pPr>
    </w:p>
    <w:p>
      <w:pPr>
        <w:ind w:left="460" w:right="659" w:firstLine="432"/>
        <w:spacing w:after="0" w:line="291" w:lineRule="auto"/>
        <w:rPr>
          <w:sz w:val="20"/>
          <w:szCs w:val="20"/>
          <w:color w:val="auto"/>
        </w:rPr>
      </w:pPr>
      <w:r>
        <w:rPr>
          <w:rFonts w:ascii="Arial" w:cs="Arial" w:eastAsia="Arial" w:hAnsi="Arial"/>
          <w:sz w:val="16"/>
          <w:szCs w:val="16"/>
          <w:b w:val="1"/>
          <w:bCs w:val="1"/>
          <w:i w:val="1"/>
          <w:iCs w:val="1"/>
          <w:color w:val="auto"/>
        </w:rPr>
        <w:t xml:space="preserve">Matthew Liotta. </w:t>
      </w:r>
      <w:r>
        <w:rPr>
          <w:rFonts w:ascii="Arial" w:cs="Arial" w:eastAsia="Arial" w:hAnsi="Arial"/>
          <w:sz w:val="16"/>
          <w:szCs w:val="16"/>
          <w:color w:val="auto"/>
        </w:rPr>
        <w:t>Mr. Liotta is our founder and has been a member of our board of directors since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15, 2019. Mr. Liotta also served as our chief technology officer between June 2019 and July 2020. Mr. Liotta has been in the indoor farming space since 2010 when he founded PodPonics, an early vertical Atlanta-based farming startup. Mr. Liotta was with PodPonics from 2010 to 2016 and has been with us from 2016 to the present. Mr. Liotta is the inventor of technology that is used today in some of the largest indoor farms in the world. We believe that Mr. Liotta’s extensive knowledge of indoor agriculture, vertical farming, agriculture technology and all aspects of Agrify makes him a qualified member of our board.</w:t>
      </w:r>
    </w:p>
    <w:p>
      <w:pPr>
        <w:spacing w:after="0" w:line="99"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Thomas Massie</w:t>
      </w:r>
      <w:r>
        <w:rPr>
          <w:rFonts w:ascii="Arial" w:cs="Arial" w:eastAsia="Arial" w:hAnsi="Arial"/>
          <w:sz w:val="16"/>
          <w:szCs w:val="16"/>
          <w:color w:val="auto"/>
        </w:rPr>
        <w:t>. Mr. Massie has served as a member of our board of directors since June 24,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2016, Mr. Massie has been a partner with WAVE Equity Partners, a Boston based private equity firm that accelerates market validated companies solving some of the world’s greatest challenges in essential markets for energy, food, water, and waste. In addition, since 2016, Mr. Massie has served as the chief executive officer of Topline Performance Solutions, Inc., a management consulting firm based in Woburn, MA. From 1987 to 2016, Mr. Massie was the founder and chief executive officer of three technology related companies, Mass Micro Systems, Focus Enhancements and Bridgeline Digital, each of which subsequently went public on NASDAQ. From 2002 to 2007, Mr. Massie was a board member and chairman of the corporate governance committee for MapInfo Corp., which was acquired by Pitney Bowes in 2007. Mr. Massie is a guest lecturer at the University of Massachusetts, Robert J. Manning School of Business and attended Wayne State University. Mr. Massie was a non-commissioned officer in the United States Army and is currently the chairman of the board for Warriors A Team, a nonprofit dedicated to assisting struggling veterans to successfully re-acclimate in civilian life. We believe that Mr. Massie’s demonstrated sales leadership, private equity experience and track record of taking companies public makes him a qualified member of our board.</w:t>
      </w:r>
    </w:p>
    <w:p>
      <w:pPr>
        <w:spacing w:after="0" w:line="90"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b w:val="1"/>
          <w:bCs w:val="1"/>
          <w:i w:val="1"/>
          <w:iCs w:val="1"/>
          <w:color w:val="auto"/>
        </w:rPr>
        <w:t xml:space="preserve">Krishnan Varier. </w:t>
      </w:r>
      <w:r>
        <w:rPr>
          <w:rFonts w:ascii="Arial" w:cs="Arial" w:eastAsia="Arial" w:hAnsi="Arial"/>
          <w:sz w:val="16"/>
          <w:szCs w:val="16"/>
          <w:color w:val="auto"/>
        </w:rPr>
        <w:t>Mr. Varier has served as a member of our board of directors since June 24, 2020.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Varier joined Arcadian Capital Management in 2018 to help lead its principal investing activities, including deal sourcing, due diligence and negotiations, bringing more than 15 years of financial services and Wall Street deal-making experience and knowledge. For much of his career, Mr. Varier served as a healthcare investment banker in relationship coverage roles with Cowen (2014-2016), BofA-Merrill Lynch (2011-2013) and Morgan Keegan and has completed more than $6 billion in closed capital raising and M&amp;A transactions. Mr. Varier began independently working with companies in the cannabis industry in 2016 in varying capacities as a private investor, mentor, advisor and consultant as part of Varier Venture Consulting LLC. Mr. Varier completed his undergraduate studies in 2001 at the University of Texas at Austin, where he earned a B.A. in Economics with a focus in Business Administration. He initially gained experience as a wealth manager for AXA Advisors, and later with the Austin-based brokerage firm Eltekon Financial. He then joined Bank of America’s Global Corporate Bank in Charlotte, NC, as part of its Treasury Solutions Group inside sales team covering large-cap industrial corporate clients. Mr. Varier also holds an MBA from the University of North Carolina at Chapel Hill, Kenan-Flagler Business School, with a double-focus in Finance and Investment Management. We believe that Mr. Varier’s role as an investor with a deep focus on our industry combined with his lengthy history in investment banking makes him a qualified member of our board.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62" w:lineRule="exact"/>
        <w:rPr>
          <w:sz w:val="20"/>
          <w:szCs w:val="20"/>
          <w:color w:val="auto"/>
        </w:rPr>
      </w:pPr>
    </w:p>
    <w:p>
      <w:pPr>
        <w:jc w:val="center"/>
        <w:ind w:left="460" w:right="539"/>
        <w:spacing w:after="0" w:line="287" w:lineRule="auto"/>
        <w:rPr>
          <w:sz w:val="20"/>
          <w:szCs w:val="20"/>
          <w:color w:val="auto"/>
        </w:rPr>
      </w:pPr>
      <w:r>
        <w:rPr>
          <w:rFonts w:ascii="Arial" w:cs="Arial" w:eastAsia="Arial" w:hAnsi="Arial"/>
          <w:sz w:val="16"/>
          <w:szCs w:val="16"/>
          <w:color w:val="auto"/>
        </w:rPr>
        <w:t>As of the closing of this offering, the board of directors will have reviewed the independence of our directors based on the listing standards of the NASDAQ. Based on this review, the board of directors shall have determined that each of [____________________] are independent within the meaning of the NASDAQ rules.</w:t>
      </w:r>
    </w:p>
    <w:p>
      <w:pPr>
        <w:spacing w:after="0" w:line="2" w:lineRule="exact"/>
        <w:rPr>
          <w:sz w:val="20"/>
          <w:szCs w:val="20"/>
          <w:color w:val="auto"/>
        </w:rPr>
      </w:pPr>
    </w:p>
    <w:p>
      <w:pPr>
        <w:ind w:left="460" w:right="619"/>
        <w:spacing w:after="0" w:line="253" w:lineRule="auto"/>
        <w:rPr>
          <w:sz w:val="20"/>
          <w:szCs w:val="20"/>
          <w:color w:val="auto"/>
        </w:rPr>
      </w:pPr>
      <w:r>
        <w:rPr>
          <w:rFonts w:ascii="Arial" w:cs="Arial" w:eastAsia="Arial" w:hAnsi="Arial"/>
          <w:sz w:val="18"/>
          <w:szCs w:val="18"/>
          <w:color w:val="auto"/>
        </w:rPr>
        <w:t>In making this determination, our board of directors shall consider the relationships that each of these non-employee directors has with us and all other facts and circumstances our board of directors deemed relevant in determining their independence. As required under applicable NASDAQ rules, we anticipate that our independent directors will meet in regularly scheduled executive sessions at which only independent directors are present.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Committees</w:t>
      </w:r>
    </w:p>
    <w:p>
      <w:pPr>
        <w:spacing w:after="0" w:line="148" w:lineRule="exact"/>
        <w:rPr>
          <w:sz w:val="20"/>
          <w:szCs w:val="20"/>
          <w:color w:val="auto"/>
        </w:rPr>
      </w:pPr>
    </w:p>
    <w:p>
      <w:pPr>
        <w:ind w:left="460" w:right="459" w:firstLine="432"/>
        <w:spacing w:after="0" w:line="275" w:lineRule="auto"/>
        <w:rPr>
          <w:sz w:val="20"/>
          <w:szCs w:val="20"/>
          <w:color w:val="auto"/>
        </w:rPr>
      </w:pPr>
      <w:r>
        <w:rPr>
          <w:rFonts w:ascii="Arial" w:cs="Arial" w:eastAsia="Arial" w:hAnsi="Arial"/>
          <w:sz w:val="17"/>
          <w:szCs w:val="17"/>
          <w:color w:val="auto"/>
        </w:rPr>
        <w:t>As of the closing of the offering, our Board will have established the following three standing committees: audit committee; compensation committee; and nominating and governance committee, or nominating committee. Our board of directors will adopt written charters for each of these committees. Upon completion of this offering, copies of the charters will be available on our website. Our board of directors may establish other committees as it deems necessary or appropriate from time to time.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audit committee will be responsible for, among other matters:</w:t>
      </w:r>
    </w:p>
    <w:p>
      <w:pPr>
        <w:spacing w:after="0" w:line="158" w:lineRule="exact"/>
        <w:rPr>
          <w:sz w:val="20"/>
          <w:szCs w:val="20"/>
          <w:color w:val="auto"/>
        </w:rPr>
      </w:pPr>
    </w:p>
    <w:p>
      <w:pPr>
        <w:ind w:left="1320" w:right="979" w:hanging="434"/>
        <w:spacing w:after="0" w:line="277"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89"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102" w:lineRule="exact"/>
        <w:rPr>
          <w:rFonts w:ascii="Arial" w:cs="Arial" w:eastAsia="Arial" w:hAnsi="Arial"/>
          <w:sz w:val="18"/>
          <w:szCs w:val="18"/>
          <w:color w:val="auto"/>
        </w:rPr>
      </w:pPr>
    </w:p>
    <w:p>
      <w:pPr>
        <w:ind w:left="1320" w:right="879" w:hanging="434"/>
        <w:spacing w:after="0" w:line="277"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102"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89" w:lineRule="exact"/>
        <w:rPr>
          <w:rFonts w:ascii="Arial" w:cs="Arial" w:eastAsia="Arial" w:hAnsi="Arial"/>
          <w:sz w:val="18"/>
          <w:szCs w:val="18"/>
          <w:color w:val="auto"/>
        </w:rPr>
      </w:pPr>
    </w:p>
    <w:p>
      <w:pPr>
        <w:ind w:left="1320" w:right="679" w:hanging="434"/>
        <w:spacing w:after="0" w:line="263"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16" w:lineRule="exact"/>
        <w:rPr>
          <w:rFonts w:ascii="Arial" w:cs="Arial" w:eastAsia="Arial" w:hAnsi="Arial"/>
          <w:sz w:val="18"/>
          <w:szCs w:val="18"/>
          <w:color w:val="auto"/>
        </w:rPr>
      </w:pPr>
    </w:p>
    <w:p>
      <w:pPr>
        <w:ind w:left="1320" w:right="619" w:hanging="434"/>
        <w:spacing w:after="0" w:line="277"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102"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89" w:lineRule="exact"/>
        <w:rPr>
          <w:rFonts w:ascii="Arial" w:cs="Arial" w:eastAsia="Arial" w:hAnsi="Arial"/>
          <w:sz w:val="18"/>
          <w:szCs w:val="18"/>
          <w:color w:val="auto"/>
        </w:rPr>
      </w:pPr>
    </w:p>
    <w:p>
      <w:pPr>
        <w:ind w:left="1320" w:right="739" w:hanging="434"/>
        <w:spacing w:after="0" w:line="277"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establishing procedures for the confidential and/or anonymous submission of concerns regarding accounting, internal controls or auditing matters;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audit committee will consist of [______________________], with [___________] serving as the</w:t>
      </w:r>
    </w:p>
    <w:p>
      <w:pPr>
        <w:spacing w:after="0" w:line="35" w:lineRule="exact"/>
        <w:rPr>
          <w:sz w:val="20"/>
          <w:szCs w:val="20"/>
          <w:color w:val="auto"/>
        </w:rPr>
      </w:pPr>
    </w:p>
    <w:p>
      <w:pPr>
        <w:ind w:left="460" w:right="519"/>
        <w:spacing w:after="0" w:line="281" w:lineRule="auto"/>
        <w:rPr>
          <w:sz w:val="20"/>
          <w:szCs w:val="20"/>
          <w:color w:val="auto"/>
        </w:rPr>
      </w:pPr>
      <w:r>
        <w:rPr>
          <w:rFonts w:ascii="Arial" w:cs="Arial" w:eastAsia="Arial" w:hAnsi="Arial"/>
          <w:sz w:val="16"/>
          <w:szCs w:val="16"/>
          <w:color w:val="auto"/>
        </w:rPr>
        <w:t>chairman. The NASDAQ rules require us to have one independent audit committee member upon the listing of our common stock, a majority of independent directors within 90 days of the date of this prospectus and all independent audit committee members within one year of the date of this prospectus. Our board of directors has affirmatively determined that [______________________] meet the definition of “independent director” for</w:t>
      </w:r>
    </w:p>
    <w:p>
      <w:pPr>
        <w:spacing w:after="0" w:line="2" w:lineRule="exact"/>
        <w:rPr>
          <w:sz w:val="20"/>
          <w:szCs w:val="20"/>
          <w:color w:val="auto"/>
        </w:rPr>
      </w:pPr>
    </w:p>
    <w:p>
      <w:pPr>
        <w:jc w:val="both"/>
        <w:ind w:left="460" w:right="699"/>
        <w:spacing w:after="0" w:line="255" w:lineRule="auto"/>
        <w:rPr>
          <w:sz w:val="20"/>
          <w:szCs w:val="20"/>
          <w:color w:val="auto"/>
        </w:rPr>
      </w:pPr>
      <w:r>
        <w:rPr>
          <w:rFonts w:ascii="Arial" w:cs="Arial" w:eastAsia="Arial" w:hAnsi="Arial"/>
          <w:sz w:val="18"/>
          <w:szCs w:val="18"/>
          <w:color w:val="auto"/>
        </w:rPr>
        <w:t>purposes of serving on an audit committee under Rule 10A-3 and NASDAQ rules. Our board of directors has determined that [___________] qualifies as an “audit committee financial expert,” as such term is defined in Item 407(d)(5) of Regulation S-K.</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compensation committee will be responsible for, among other matters:</w:t>
      </w:r>
    </w:p>
    <w:p>
      <w:pPr>
        <w:spacing w:after="0" w:line="144" w:lineRule="exact"/>
        <w:rPr>
          <w:sz w:val="20"/>
          <w:szCs w:val="20"/>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approving the compensation of our directors and executive officers;</w:t>
      </w:r>
    </w:p>
    <w:p>
      <w:pPr>
        <w:spacing w:after="0" w:line="157"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Our compensation committee will consist of [______________________], with [________] serving as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chairman.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158"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purpose of the nominating committee is to assist the board in identifying qualified individuals to become board members, in determining the composition of the board and in monitoring the process to assess board effectiveness. Our nominating committee will consist of [______________________], with [_________] serving as the chairman.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Leadership Structure</w:t>
      </w:r>
    </w:p>
    <w:p>
      <w:pPr>
        <w:spacing w:after="0" w:line="148" w:lineRule="exact"/>
        <w:rPr>
          <w:sz w:val="20"/>
          <w:szCs w:val="20"/>
          <w:color w:val="auto"/>
        </w:rPr>
      </w:pPr>
    </w:p>
    <w:p>
      <w:pPr>
        <w:ind w:left="460" w:right="1379" w:firstLine="432"/>
        <w:spacing w:after="0" w:line="277" w:lineRule="auto"/>
        <w:rPr>
          <w:sz w:val="20"/>
          <w:szCs w:val="20"/>
          <w:color w:val="auto"/>
        </w:rPr>
      </w:pPr>
      <w:r>
        <w:rPr>
          <w:rFonts w:ascii="Arial" w:cs="Arial" w:eastAsia="Arial" w:hAnsi="Arial"/>
          <w:sz w:val="18"/>
          <w:szCs w:val="18"/>
          <w:color w:val="auto"/>
        </w:rPr>
        <w:t>Currently, our principal executive officer is Raymond Chang and our chairman of the board is [______________].</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 Oversight</w:t>
      </w:r>
    </w:p>
    <w:p>
      <w:pPr>
        <w:spacing w:after="0" w:line="162"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Our board of directors will oversee a company-wide approach to risk management. Our board of directors will determine the appropriate risk level for us generally, assess the specific risks faced by us and review the steps taken by management to manage those risks. While our board of directors will have ultimate oversight responsibility for the risk management process, its committees will oversee risk in certain specified areas.</w:t>
      </w:r>
    </w:p>
    <w:p>
      <w:pPr>
        <w:spacing w:after="0" w:line="90"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Specifically, our compensation committee will be responsible for overseeing the management of risks relating to our executive compensation plans and arrangements, and the incentives created by the compensation awards it administers. Our audit committee will oversee management of enterprise risks and financial risks, as well as potential conflicts of interests. Our board of directors will be responsible for overseeing the management of risks associated with the independence of our board of directors.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48"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Our board of directors adopted a code of business conduct and ethics that applies to our directors, officers and employees. Upon completion of this offering, a copy of this code will be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58"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The following table provides information regarding the compensation paid during the years ended December 31, 2019 and 2018 to each of the executive officers named below, who are collectively referred to as “named executive officers” elsewhere in this prospectus.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Non-Equity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Non-qualified</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98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80" w:type="dxa"/>
            <w:vAlign w:val="bottom"/>
          </w:tcPr>
          <w:p>
            <w:pPr>
              <w:spacing w:after="0"/>
              <w:rPr>
                <w:sz w:val="12"/>
                <w:szCs w:val="12"/>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Salary</w:t>
            </w: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7"/>
              </w:rPr>
              <w:t>Bonus</w:t>
            </w:r>
          </w:p>
        </w:tc>
        <w:tc>
          <w:tcPr>
            <w:tcW w:w="56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980" w:type="dxa"/>
            <w:vAlign w:val="bottom"/>
            <w:gridSpan w:val="2"/>
          </w:tcPr>
          <w:p>
            <w:pPr>
              <w:jc w:val="right"/>
              <w:ind w:right="8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8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w w:val="88"/>
              </w:rPr>
              <w:t>Compensation</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 and Principal Position</w:t>
            </w:r>
          </w:p>
        </w:tc>
        <w:tc>
          <w:tcPr>
            <w:tcW w:w="80" w:type="dxa"/>
            <w:vAlign w:val="bottom"/>
          </w:tcPr>
          <w:p>
            <w:pPr>
              <w:spacing w:after="0"/>
              <w:rPr>
                <w:sz w:val="13"/>
                <w:szCs w:val="13"/>
                <w:color w:val="auto"/>
              </w:rPr>
            </w:pPr>
          </w:p>
        </w:tc>
        <w:tc>
          <w:tcPr>
            <w:tcW w:w="3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5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Awards</w:t>
            </w:r>
          </w:p>
        </w:tc>
        <w:tc>
          <w:tcPr>
            <w:tcW w:w="5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Awards</w:t>
            </w:r>
          </w:p>
        </w:tc>
        <w:tc>
          <w:tcPr>
            <w:tcW w:w="980" w:type="dxa"/>
            <w:vAlign w:val="bottom"/>
            <w:gridSpan w:val="2"/>
          </w:tcPr>
          <w:p>
            <w:pPr>
              <w:jc w:val="right"/>
              <w:ind w:right="80"/>
              <w:spacing w:after="0" w:line="153" w:lineRule="exact"/>
              <w:rPr>
                <w:sz w:val="20"/>
                <w:szCs w:val="20"/>
                <w:color w:val="auto"/>
              </w:rPr>
            </w:pPr>
            <w:r>
              <w:rPr>
                <w:rFonts w:ascii="Arial" w:cs="Arial" w:eastAsia="Arial" w:hAnsi="Arial"/>
                <w:sz w:val="14"/>
                <w:szCs w:val="14"/>
                <w:b w:val="1"/>
                <w:bCs w:val="1"/>
                <w:color w:val="auto"/>
                <w:w w:val="90"/>
              </w:rPr>
              <w:t>Compensation</w:t>
            </w: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Earnings</w:t>
            </w:r>
          </w:p>
        </w:tc>
        <w:tc>
          <w:tcPr>
            <w:tcW w:w="104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2"/>
              </w:rPr>
              <w:t>Compensation</w:t>
            </w: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400" w:type="dxa"/>
            <w:vAlign w:val="bottom"/>
          </w:tcPr>
          <w:p>
            <w:pPr>
              <w:jc w:val="right"/>
              <w:ind w:right="4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b w:val="1"/>
                <w:bCs w:val="1"/>
                <w:color w:val="auto"/>
                <w:w w:val="91"/>
                <w:vertAlign w:val="superscript"/>
              </w:rPr>
              <w:t>(1)</w:t>
            </w:r>
          </w:p>
        </w:tc>
        <w:tc>
          <w:tcPr>
            <w:tcW w:w="80" w:type="dxa"/>
            <w:vAlign w:val="bottom"/>
          </w:tcPr>
          <w:p>
            <w:pPr>
              <w:spacing w:after="0"/>
              <w:rPr>
                <w:sz w:val="17"/>
                <w:szCs w:val="17"/>
                <w:color w:val="auto"/>
              </w:rPr>
            </w:pPr>
          </w:p>
        </w:tc>
        <w:tc>
          <w:tcPr>
            <w:tcW w:w="900" w:type="dxa"/>
            <w:vAlign w:val="bottom"/>
          </w:tcPr>
          <w:p>
            <w:pPr>
              <w:jc w:val="right"/>
              <w:ind w:right="28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60" w:type="dxa"/>
            <w:vAlign w:val="bottom"/>
            <w:gridSpan w:val="2"/>
          </w:tcPr>
          <w:p>
            <w:pPr>
              <w:jc w:val="center"/>
              <w:ind w:left="2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580" w:type="dxa"/>
            <w:vAlign w:val="bottom"/>
          </w:tcPr>
          <w:p>
            <w:pPr>
              <w:jc w:val="right"/>
              <w:ind w:right="12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Raymond Chang</w:t>
            </w: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4"/>
              </w:rPr>
              <w:t>2019</w:t>
            </w:r>
          </w:p>
        </w:tc>
        <w:tc>
          <w:tcPr>
            <w:tcW w:w="8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5"/>
              </w:rPr>
              <w:t>86,345</w:t>
            </w:r>
          </w:p>
        </w:tc>
        <w:tc>
          <w:tcPr>
            <w:tcW w:w="8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40,043</w:t>
            </w:r>
          </w:p>
        </w:tc>
        <w:tc>
          <w:tcPr>
            <w:tcW w:w="8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13,848</w:t>
            </w:r>
            <w:r>
              <w:rPr>
                <w:rFonts w:ascii="Arial" w:cs="Arial" w:eastAsia="Arial" w:hAnsi="Arial"/>
                <w:sz w:val="21"/>
                <w:szCs w:val="21"/>
                <w:color w:val="auto"/>
                <w:vertAlign w:val="superscript"/>
              </w:rPr>
              <w:t>(2)</w:t>
            </w:r>
          </w:p>
        </w:tc>
        <w:tc>
          <w:tcPr>
            <w:tcW w:w="8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140,236</w:t>
            </w:r>
          </w:p>
        </w:tc>
        <w:tc>
          <w:tcPr>
            <w:tcW w:w="0" w:type="dxa"/>
            <w:vAlign w:val="bottom"/>
          </w:tcPr>
          <w:p>
            <w:pPr>
              <w:spacing w:after="0"/>
              <w:rPr>
                <w:sz w:val="1"/>
                <w:szCs w:val="1"/>
                <w:color w:val="auto"/>
              </w:rPr>
            </w:pPr>
          </w:p>
        </w:tc>
      </w:tr>
      <w:tr>
        <w:trPr>
          <w:trHeight w:val="193"/>
        </w:trPr>
        <w:tc>
          <w:tcPr>
            <w:tcW w:w="1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Chief Executive Officer</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w w:val="84"/>
              </w:rPr>
              <w:t>2018</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1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and Director</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900" w:type="dxa"/>
            <w:vAlign w:val="bottom"/>
          </w:tcPr>
          <w:p>
            <w:pPr>
              <w:spacing w:after="0"/>
              <w:rPr>
                <w:sz w:val="20"/>
                <w:szCs w:val="20"/>
                <w:color w:val="auto"/>
              </w:rPr>
            </w:pPr>
            <w:r>
              <w:rPr>
                <w:rFonts w:ascii="Arial" w:cs="Arial" w:eastAsia="Arial" w:hAnsi="Arial"/>
                <w:sz w:val="16"/>
                <w:szCs w:val="16"/>
                <w:b w:val="1"/>
                <w:bCs w:val="1"/>
                <w:color w:val="auto"/>
              </w:rPr>
              <w:t>Matthew Liotta</w:t>
            </w:r>
            <w:r>
              <w:rPr>
                <w:rFonts w:ascii="Arial" w:cs="Arial" w:eastAsia="Arial" w:hAnsi="Arial"/>
                <w:sz w:val="16"/>
                <w:szCs w:val="16"/>
                <w:color w:val="auto"/>
              </w:rPr>
              <w:t>,</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2019</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w w:val="96"/>
              </w:rPr>
              <w:t>87,019</w:t>
            </w:r>
            <w:r>
              <w:rPr>
                <w:rFonts w:ascii="Arial" w:cs="Arial" w:eastAsia="Arial" w:hAnsi="Arial"/>
                <w:sz w:val="21"/>
                <w:szCs w:val="21"/>
                <w:color w:val="auto"/>
                <w:w w:val="96"/>
                <w:vertAlign w:val="superscript"/>
              </w:rPr>
              <w:t>(3)</w:t>
            </w:r>
          </w:p>
        </w:tc>
        <w:tc>
          <w:tcPr>
            <w:tcW w:w="8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16,534</w:t>
            </w: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140,514</w:t>
            </w:r>
            <w:r>
              <w:rPr>
                <w:rFonts w:ascii="Arial" w:cs="Arial" w:eastAsia="Arial" w:hAnsi="Arial"/>
                <w:sz w:val="21"/>
                <w:szCs w:val="21"/>
                <w:color w:val="auto"/>
                <w:vertAlign w:val="superscript"/>
              </w:rPr>
              <w:t>(4)</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244,067</w:t>
            </w:r>
          </w:p>
        </w:tc>
        <w:tc>
          <w:tcPr>
            <w:tcW w:w="0" w:type="dxa"/>
            <w:vAlign w:val="bottom"/>
          </w:tcPr>
          <w:p>
            <w:pPr>
              <w:spacing w:after="0"/>
              <w:rPr>
                <w:sz w:val="1"/>
                <w:szCs w:val="1"/>
                <w:color w:val="auto"/>
              </w:rPr>
            </w:pPr>
          </w:p>
        </w:tc>
      </w:tr>
      <w:tr>
        <w:trPr>
          <w:trHeight w:val="207"/>
        </w:trPr>
        <w:tc>
          <w:tcPr>
            <w:tcW w:w="1900" w:type="dxa"/>
            <w:vAlign w:val="bottom"/>
          </w:tcPr>
          <w:p>
            <w:pPr>
              <w:ind w:left="180"/>
              <w:spacing w:after="0"/>
              <w:rPr>
                <w:sz w:val="20"/>
                <w:szCs w:val="20"/>
                <w:color w:val="auto"/>
              </w:rPr>
            </w:pPr>
            <w:r>
              <w:rPr>
                <w:rFonts w:ascii="Arial" w:cs="Arial" w:eastAsia="Arial" w:hAnsi="Arial"/>
                <w:sz w:val="16"/>
                <w:szCs w:val="16"/>
                <w:color w:val="auto"/>
                <w:w w:val="96"/>
              </w:rPr>
              <w:t>Chief Technology Officer</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2018</w:t>
            </w:r>
          </w:p>
        </w:tc>
        <w:tc>
          <w:tcPr>
            <w:tcW w:w="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line="207" w:lineRule="exact"/>
              <w:rPr>
                <w:sz w:val="20"/>
                <w:szCs w:val="20"/>
                <w:color w:val="auto"/>
              </w:rPr>
            </w:pPr>
            <w:r>
              <w:rPr>
                <w:rFonts w:ascii="Arial" w:cs="Arial" w:eastAsia="Arial" w:hAnsi="Arial"/>
                <w:sz w:val="16"/>
                <w:szCs w:val="16"/>
                <w:color w:val="auto"/>
              </w:rPr>
              <w:t>39,333</w:t>
            </w:r>
            <w:r>
              <w:rPr>
                <w:rFonts w:ascii="Arial" w:cs="Arial" w:eastAsia="Arial" w:hAnsi="Arial"/>
                <w:sz w:val="21"/>
                <w:szCs w:val="21"/>
                <w:color w:val="auto"/>
                <w:vertAlign w:val="superscript"/>
              </w:rPr>
              <w:t>(5)</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39,333</w:t>
            </w:r>
          </w:p>
        </w:tc>
        <w:tc>
          <w:tcPr>
            <w:tcW w:w="0" w:type="dxa"/>
            <w:vAlign w:val="bottom"/>
          </w:tcPr>
          <w:p>
            <w:pPr>
              <w:spacing w:after="0"/>
              <w:rPr>
                <w:sz w:val="1"/>
                <w:szCs w:val="1"/>
                <w:color w:val="auto"/>
              </w:rPr>
            </w:pPr>
          </w:p>
        </w:tc>
      </w:tr>
      <w:tr>
        <w:trPr>
          <w:trHeight w:val="266"/>
        </w:trPr>
        <w:tc>
          <w:tcPr>
            <w:tcW w:w="1900" w:type="dxa"/>
            <w:vAlign w:val="bottom"/>
          </w:tcPr>
          <w:p>
            <w:pPr>
              <w:ind w:left="360"/>
              <w:spacing w:after="0"/>
              <w:rPr>
                <w:sz w:val="20"/>
                <w:szCs w:val="20"/>
                <w:color w:val="auto"/>
              </w:rPr>
            </w:pPr>
            <w:r>
              <w:rPr>
                <w:rFonts w:ascii="Arial" w:cs="Arial" w:eastAsia="Arial" w:hAnsi="Arial"/>
                <w:sz w:val="16"/>
                <w:szCs w:val="16"/>
                <w:color w:val="auto"/>
              </w:rPr>
              <w:t>and Director</w:t>
            </w:r>
            <w:r>
              <w:rPr>
                <w:rFonts w:ascii="Arial" w:cs="Arial" w:eastAsia="Arial" w:hAnsi="Arial"/>
                <w:sz w:val="21"/>
                <w:szCs w:val="21"/>
                <w:color w:val="auto"/>
                <w:vertAlign w:val="superscript"/>
              </w:rPr>
              <w:t>(3)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1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Niv Krikov</w:t>
            </w:r>
            <w:r>
              <w:rPr>
                <w:rFonts w:ascii="Arial" w:cs="Arial" w:eastAsia="Arial" w:hAnsi="Arial"/>
                <w:sz w:val="16"/>
                <w:szCs w:val="16"/>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w w:val="84"/>
              </w:rPr>
              <w:t>2019</w:t>
            </w:r>
          </w:p>
        </w:tc>
        <w:tc>
          <w:tcPr>
            <w:tcW w:w="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0"/>
        </w:trPr>
        <w:tc>
          <w:tcPr>
            <w:tcW w:w="19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Chief Financial Officer</w:t>
            </w:r>
            <w:r>
              <w:rPr>
                <w:rFonts w:ascii="Arial" w:cs="Arial" w:eastAsia="Arial" w:hAnsi="Arial"/>
                <w:sz w:val="21"/>
                <w:szCs w:val="21"/>
                <w:color w:val="auto"/>
                <w:w w:val="97"/>
                <w:vertAlign w:val="superscript"/>
              </w:rPr>
              <w:t>(6)</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w w:val="84"/>
              </w:rPr>
              <w:t>2018</w:t>
            </w:r>
          </w:p>
        </w:tc>
        <w:tc>
          <w:tcPr>
            <w:tcW w:w="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5"/>
        </w:trPr>
        <w:tc>
          <w:tcPr>
            <w:tcW w:w="1900" w:type="dxa"/>
            <w:vAlign w:val="bottom"/>
          </w:tcPr>
          <w:p>
            <w:pPr>
              <w:spacing w:after="0"/>
              <w:rPr>
                <w:sz w:val="20"/>
                <w:szCs w:val="20"/>
                <w:color w:val="auto"/>
              </w:rPr>
            </w:pPr>
            <w:r>
              <w:rPr>
                <w:rFonts w:ascii="Arial" w:cs="Arial" w:eastAsia="Arial" w:hAnsi="Arial"/>
                <w:sz w:val="16"/>
                <w:szCs w:val="16"/>
                <w:b w:val="1"/>
                <w:bCs w:val="1"/>
                <w:color w:val="auto"/>
              </w:rPr>
              <w:t>Robert Harrison,</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2019</w:t>
            </w:r>
          </w:p>
        </w:tc>
        <w:tc>
          <w:tcPr>
            <w:tcW w:w="8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7"/>
        </w:trPr>
        <w:tc>
          <w:tcPr>
            <w:tcW w:w="1900" w:type="dxa"/>
            <w:vAlign w:val="bottom"/>
          </w:tcPr>
          <w:p>
            <w:pPr>
              <w:ind w:left="180"/>
              <w:spacing w:after="0"/>
              <w:rPr>
                <w:sz w:val="20"/>
                <w:szCs w:val="20"/>
                <w:color w:val="auto"/>
              </w:rPr>
            </w:pPr>
            <w:r>
              <w:rPr>
                <w:rFonts w:ascii="Arial" w:cs="Arial" w:eastAsia="Arial" w:hAnsi="Arial"/>
                <w:sz w:val="16"/>
                <w:szCs w:val="16"/>
                <w:color w:val="auto"/>
                <w:w w:val="97"/>
              </w:rPr>
              <w:t>Chief Financial Officer</w:t>
            </w:r>
            <w:r>
              <w:rPr>
                <w:rFonts w:ascii="Arial" w:cs="Arial" w:eastAsia="Arial" w:hAnsi="Arial"/>
                <w:sz w:val="21"/>
                <w:szCs w:val="21"/>
                <w:color w:val="auto"/>
                <w:w w:val="97"/>
                <w:vertAlign w:val="superscript"/>
              </w:rPr>
              <w:t>(7)</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2018</w:t>
            </w:r>
          </w:p>
        </w:tc>
        <w:tc>
          <w:tcPr>
            <w:tcW w:w="8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919" w:hanging="426"/>
        <w:spacing w:after="0" w:line="265" w:lineRule="auto"/>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Reflects the aggregate grant date fair value of stock options granted during the relevant fiscal year calculated in accordance with FASB ASC Topic 718. For a discussion of valuation assumptions, see Note 9 to our audited consolidated financial statements included in this proxy statement/prospectus.</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payment of health plan premiums as per our policy.</w:t>
      </w:r>
    </w:p>
    <w:p>
      <w:pPr>
        <w:spacing w:after="0" w:line="18" w:lineRule="exact"/>
        <w:rPr>
          <w:rFonts w:ascii="Arial" w:cs="Arial" w:eastAsia="Arial" w:hAnsi="Arial"/>
          <w:sz w:val="16"/>
          <w:szCs w:val="16"/>
          <w:color w:val="auto"/>
        </w:rPr>
      </w:pPr>
    </w:p>
    <w:p>
      <w:pPr>
        <w:ind w:left="880" w:right="539" w:hanging="426"/>
        <w:spacing w:after="0" w:line="264" w:lineRule="auto"/>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On June 4, 2019, we and Mr. Liotta entered into an employment agreement pursuant to which Mr. Liotta agreed to be employed by us as chief technology officer, effective as of June 4, 2019.</w:t>
      </w:r>
    </w:p>
    <w:p>
      <w:pPr>
        <w:jc w:val="both"/>
        <w:ind w:left="880" w:right="519" w:hanging="426"/>
        <w:spacing w:after="0" w:line="264" w:lineRule="auto"/>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our payment of health plan premiums as per our policy in the total amount of $13,848 and consulting fees of $126,666 as per consulting agreement between TriGrow and Argand Group, LLC, a company controlled by Matthew Liotta.</w:t>
      </w:r>
    </w:p>
    <w:p>
      <w:pPr>
        <w:ind w:left="880" w:right="659" w:hanging="426"/>
        <w:spacing w:after="0" w:line="264" w:lineRule="auto"/>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consulting fees of $13,333 per month between TriGrow and Argand Group, LLC a company controlled by Matthew Liotta. The agreement covered the fees payment through March 2018.</w:t>
      </w:r>
    </w:p>
    <w:p>
      <w:pPr>
        <w:ind w:left="880" w:right="939" w:hanging="426"/>
        <w:spacing w:after="0" w:line="264" w:lineRule="auto"/>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On January 20, 2020, we and Mr. Krikov entered into an agreement pursuant to which Mr. Krikov agreed to be employed by us as our chief financial officer, effective as of February 1, 2020.</w:t>
      </w:r>
    </w:p>
    <w:p>
      <w:pPr>
        <w:jc w:val="both"/>
        <w:ind w:left="880" w:right="839" w:hanging="426"/>
        <w:spacing w:after="0" w:line="276" w:lineRule="auto"/>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On April 15, 2020, we and Mr. Harrison entered into an agreement pursuant to which Mr. Harrison agreed to be employed by us as our Director of Project Management. On July 20, 2020, Mr. Harrison was promoted to be our Chief Operating Officer.</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Raymond Chang</w:t>
      </w:r>
    </w:p>
    <w:p>
      <w:pPr>
        <w:spacing w:after="0" w:line="158"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On June 3, 2019, we and Mr. Chang entered into an agreement wherein Mr. Chang agreed to be our chief executive officer. Mr. Chang signed a formal offer letter at a later date. Pursuant to this offer letter, Mr. Chang is paid an annual salary of $180,000. Mr. Chang’s employment is on an “at will” basis and may be terminated by either party at any time for any reason. Mr. Chang accepted a temporary salary reduction of 35% as of April 1, 2020.</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Niv Krikov</w:t>
      </w:r>
    </w:p>
    <w:p>
      <w:pPr>
        <w:spacing w:after="0" w:line="144"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On January 20, 2020, we and Mr. Krikov entered into an employment agreement pursuant to which Mr. Krikov agreed to be our chief financial officer, effective as of February 1, 2020. Pursuant to this agreement, Mr. Krikov is paid an annual gross salary of $175,000. Mr. Krikov’s employment is on an “at will” basis and the agreement may be terminated by either party at any time and for any reason. Mr. Krikov accepted a temporary salary reduction of 35% as of April 1, 2020.</w:t>
      </w:r>
    </w:p>
    <w:p>
      <w:pPr>
        <w:spacing w:after="0" w:line="120"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On May 6, 2020, Mr. Krikov was granted stock options to purchase 233,173 shares of common stock under our 2019 Stock Plan at an exercise price per share of $1.44 and expiring 10 years from the date of grant. 25% of the options vest 12 months following issuance and the balance vests in 36 equal monthly installments thereafter. On July 20, 2020, Mr. Krikov was granted stock options to purchase 36,827 shares of common stock under our 2019 Stock Plan at an exercise price per share of $1.44 and expiring 10 years from the date of grant. 25% of the options vest 12 months following issuance and the balance vests in 36 equal monthly installments thereafter.</w:t>
      </w:r>
    </w:p>
    <w:p>
      <w:pPr>
        <w:sectPr>
          <w:pgSz w:w="11900" w:h="16838" w:orient="portrait"/>
          <w:cols w:equalWidth="0" w:num="1">
            <w:col w:w="9019"/>
          </w:cols>
          <w:pgMar w:left="1440" w:top="337"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86" w:name="page87"/>
    <w:bookmarkEnd w:id="86"/>
    <w:p>
      <w:pPr>
        <w:ind w:left="460"/>
        <w:spacing w:after="0"/>
        <w:rPr>
          <w:sz w:val="20"/>
          <w:szCs w:val="20"/>
          <w:color w:val="auto"/>
        </w:rPr>
      </w:pPr>
      <w:r>
        <w:rPr>
          <w:rFonts w:ascii="Arial" w:cs="Arial" w:eastAsia="Arial" w:hAnsi="Arial"/>
          <w:sz w:val="18"/>
          <w:szCs w:val="18"/>
          <w:i w:val="1"/>
          <w:iCs w:val="1"/>
          <w:color w:val="auto"/>
        </w:rPr>
        <w:t>Matthew Liotta</w:t>
      </w:r>
    </w:p>
    <w:p>
      <w:pPr>
        <w:spacing w:after="0" w:line="158"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On June 4, 2019, we and Mr. Liotta entered into an employment agreement pursuant to which Mr. Liotta agreed to be our chief technology officer, effective as of June 4, 2019. Pursuant to this agreement, Mr. Liotta was paid an annual gross salary of $170,000. Mr. Liotta accepted a temporary salary reduction of 35% as of April 1, 2020. On August 5, 2020, Mr. Liotta resigned as chief technology officer to pursue other opportunities. In consideration for his service to our company, Mr. Liotta will receive six (6) months’ severance payable over such period and agreed to a one (1) year non-competition restriction as well as a one (1) year non-solicitation restriction. Mr. Liotta will remain a member of our board of directors although he has agreed to resign from such position following the closing of this offering if requested to do so by a majority of our board of directors.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Robert Harrison</w:t>
      </w:r>
    </w:p>
    <w:p>
      <w:pPr>
        <w:spacing w:after="0" w:line="144"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On April 15, 2020, we and Mr. Harrison entered into an employment agreement pursuant to which Mr. Harrison agreed to be our Director of Project Management. Pursuant to this agreement, Mr. Harrison is paid an annual gross salary of $125,000. On July 21, 2020, Mr. Harrison was appointed to be our Chief Operating Officer. Mr. Harrison’s employment is on an “at will” basis and the agreement may be terminated by either party at any time and for any reason.</w:t>
      </w:r>
    </w:p>
    <w:p>
      <w:pPr>
        <w:spacing w:after="0" w:line="120"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On May 6, 2020, Mr. Harrison was granted stock options to purchase 21,198 shares of common stock under our 2019 Stock Plan at an exercise price per share of $1.44. 25% of the options vest 12 months following issuance and the balance vests in 36 equal monthly installments thereafter. On July 20, 2020, Mr. Harrison was granted stock options to purchase 113,802 shares of common stock under our 2019 Stock Plan at an exercise price per share of $1.44. 25% of the options vest 12 months following issuance and the balance vests in 36 equal monthly installments thereafter.</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62" w:lineRule="exact"/>
        <w:rPr>
          <w:sz w:val="20"/>
          <w:szCs w:val="20"/>
          <w:color w:val="auto"/>
        </w:rPr>
      </w:pPr>
    </w:p>
    <w:p>
      <w:pPr>
        <w:ind w:left="460" w:right="979" w:firstLine="432"/>
        <w:spacing w:after="0" w:line="263" w:lineRule="auto"/>
        <w:rPr>
          <w:sz w:val="20"/>
          <w:szCs w:val="20"/>
          <w:color w:val="auto"/>
        </w:rPr>
      </w:pPr>
      <w:r>
        <w:rPr>
          <w:rFonts w:ascii="Arial" w:cs="Arial" w:eastAsia="Arial" w:hAnsi="Arial"/>
          <w:sz w:val="18"/>
          <w:szCs w:val="18"/>
          <w:color w:val="auto"/>
        </w:rPr>
        <w:t>There are no potential payments payable to our named executive officers upon a termination of employment without cause or resignation for good reason or termination of employment without cause or resignation for good reason following a change in control.</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Outstanding Equity Incentive Awards At Fiscal Year-End</w:t>
      </w:r>
    </w:p>
    <w:p>
      <w:pPr>
        <w:spacing w:after="0" w:line="14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The following table sets forth certain information concerning option awards and stock awards held by our named executive officers as of December 31, 2019. These grants were subsequently revoked and in May 2020, we issued replacement options for the same number of shares but with a lower exercise price. Our named executive officers did not hold any stock awards as of December 31, 2018.</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4"/>
          </w:tcPr>
          <w:p>
            <w:pPr>
              <w:ind w:left="280"/>
              <w:spacing w:after="0"/>
              <w:rPr>
                <w:sz w:val="20"/>
                <w:szCs w:val="20"/>
                <w:color w:val="auto"/>
              </w:rPr>
            </w:pPr>
            <w:r>
              <w:rPr>
                <w:rFonts w:ascii="Arial" w:cs="Arial" w:eastAsia="Arial" w:hAnsi="Arial"/>
                <w:sz w:val="14"/>
                <w:szCs w:val="14"/>
                <w:b w:val="1"/>
                <w:bCs w:val="1"/>
                <w:color w:val="auto"/>
              </w:rPr>
              <w:t>Stock Awards</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Incentive</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Plan</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Number</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Incentive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Market</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Unearned</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Shares,</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Shares</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Value of</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Units or</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or Units</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 or</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Stock</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Units of</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Rights</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62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that Have</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Stock that</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that Have</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Options</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Unearned</w:t>
            </w: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vMerge w:val="continue"/>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Not</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 Not</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Not</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48"/>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Vested</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6"/>
        </w:trPr>
        <w:tc>
          <w:tcPr>
            <w:tcW w:w="1160" w:type="dxa"/>
            <w:vAlign w:val="bottom"/>
            <w:gridSpan w:val="2"/>
            <w:vMerge w:val="continue"/>
          </w:tcPr>
          <w:p>
            <w:pPr>
              <w:spacing w:after="0"/>
              <w:rPr>
                <w:sz w:val="16"/>
                <w:szCs w:val="16"/>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Exercisable</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Unexercisable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Date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Raymond</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29,679</w:t>
            </w:r>
            <w:r>
              <w:rPr>
                <w:rFonts w:ascii="Arial" w:cs="Arial" w:eastAsia="Arial" w:hAnsi="Arial"/>
                <w:sz w:val="21"/>
                <w:szCs w:val="21"/>
                <w:color w:val="auto"/>
                <w:vertAlign w:val="superscript"/>
              </w:rPr>
              <w:t>(1)</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207,754</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1.96</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6"/>
                <w:szCs w:val="16"/>
                <w:color w:val="auto"/>
                <w:w w:val="89"/>
              </w:rPr>
              <w:t>December</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ind w:left="460"/>
              <w:spacing w:after="0" w:line="182" w:lineRule="exact"/>
              <w:rPr>
                <w:sz w:val="20"/>
                <w:szCs w:val="20"/>
                <w:color w:val="auto"/>
              </w:rPr>
            </w:pPr>
            <w:r>
              <w:rPr>
                <w:rFonts w:ascii="Arial" w:cs="Arial" w:eastAsia="Arial" w:hAnsi="Arial"/>
                <w:sz w:val="16"/>
                <w:szCs w:val="16"/>
                <w:color w:val="auto"/>
                <w:w w:val="87"/>
              </w:rPr>
              <w:t>—</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480"/>
              <w:spacing w:after="0" w:line="182" w:lineRule="exact"/>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ind w:left="440"/>
              <w:spacing w:after="0" w:line="182" w:lineRule="exact"/>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520"/>
              <w:spacing w:after="0" w:line="182" w:lineRule="exact"/>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Chang</w:t>
            </w: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27, 2029</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Matthew Liotta</w:t>
            </w:r>
          </w:p>
        </w:tc>
        <w:tc>
          <w:tcPr>
            <w:tcW w:w="760" w:type="dxa"/>
            <w:vAlign w:val="bottom"/>
            <w:shd w:val="clear" w:color="auto" w:fill="CCEEFF"/>
          </w:tcPr>
          <w:p>
            <w:pPr>
              <w:jc w:val="right"/>
              <w:spacing w:after="0" w:line="193" w:lineRule="exact"/>
              <w:rPr>
                <w:sz w:val="20"/>
                <w:szCs w:val="20"/>
                <w:color w:val="auto"/>
              </w:rPr>
            </w:pPr>
            <w:r>
              <w:rPr>
                <w:rFonts w:ascii="Arial" w:cs="Arial" w:eastAsia="Arial" w:hAnsi="Arial"/>
                <w:sz w:val="16"/>
                <w:szCs w:val="16"/>
                <w:color w:val="auto"/>
              </w:rPr>
              <w:t>14,840</w:t>
            </w:r>
            <w:r>
              <w:rPr>
                <w:rFonts w:ascii="Arial" w:cs="Arial" w:eastAsia="Arial" w:hAnsi="Arial"/>
                <w:sz w:val="21"/>
                <w:szCs w:val="21"/>
                <w:color w:val="auto"/>
                <w:vertAlign w:val="superscript"/>
              </w:rPr>
              <w:t>(2)</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103,881</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December</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27, 2024</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0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162560"/>
                    </a:xfrm>
                    <a:prstGeom prst="rect">
                      <a:avLst/>
                    </a:prstGeom>
                    <a:noFill/>
                  </pic:spPr>
                </pic:pic>
              </a:graphicData>
            </a:graphic>
          </wp:anchor>
        </w:drawing>
      </w:r>
    </w:p>
    <w:p>
      <w:pPr>
        <w:spacing w:after="0" w:line="34" w:lineRule="exact"/>
        <w:rPr>
          <w:sz w:val="20"/>
          <w:szCs w:val="20"/>
          <w:color w:val="auto"/>
        </w:rPr>
      </w:pPr>
    </w:p>
    <w:p>
      <w:pPr>
        <w:ind w:left="880" w:right="619" w:hanging="426"/>
        <w:spacing w:after="0" w:line="273" w:lineRule="auto"/>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December 9, 2019, Mr. Chang was granted options to purchase 237,433 shares of our common stock under our 2019 Stock Plan, which options vest in equal monthly installments over a period of 48 months, exercisable at $1.96 per share and expiring 10 years from the date of grant. These options were subsequently cancelled in May 2020. On May 6, 2020</w:t>
      </w:r>
    </w:p>
    <w:p>
      <w:pPr>
        <w:sectPr>
          <w:pgSz w:w="11900" w:h="16838" w:orient="portrait"/>
          <w:cols w:equalWidth="0" w:num="1">
            <w:col w:w="9019"/>
          </w:cols>
          <w:pgMar w:left="1440" w:top="341"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87" w:name="page88"/>
    <w:bookmarkEnd w:id="87"/>
    <w:p>
      <w:pPr>
        <w:ind w:left="880" w:right="559"/>
        <w:spacing w:after="0" w:line="264" w:lineRule="auto"/>
        <w:rPr>
          <w:sz w:val="20"/>
          <w:szCs w:val="20"/>
          <w:color w:val="auto"/>
        </w:rPr>
      </w:pPr>
      <w:r>
        <w:rPr>
          <w:rFonts w:ascii="Arial" w:cs="Arial" w:eastAsia="Arial" w:hAnsi="Arial"/>
          <w:sz w:val="16"/>
          <w:szCs w:val="16"/>
          <w:color w:val="auto"/>
        </w:rPr>
        <w:t>Mr. Chang was granted options to purchase 534,199 shares of common stock at an exercise price per share of $1.44 and expiring 10 years from the date of grant. 143,499 of the stock options were fully vested on the grant date and the remaining stock options vest monthly over 24 to 48 months. On July 20, 2020, Mr. Chang was granted options to purchase 22,567 shares of common stock at an exercise price per share of $1.44 and expiring 10 years from the date of grant. 25% of the options vest 12 months following issuance and the balance vests in 36 equal monthly installments thereafter.</w:t>
      </w:r>
    </w:p>
    <w:p>
      <w:pPr>
        <w:spacing w:after="0" w:line="5" w:lineRule="exact"/>
        <w:rPr>
          <w:sz w:val="20"/>
          <w:szCs w:val="20"/>
          <w:color w:val="auto"/>
        </w:rPr>
      </w:pPr>
    </w:p>
    <w:p>
      <w:pPr>
        <w:ind w:left="880" w:right="499" w:hanging="426"/>
        <w:spacing w:after="0" w:line="314" w:lineRule="auto"/>
        <w:tabs>
          <w:tab w:leader="none" w:pos="8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On December 26, 2019, Mr. Liotta was granted options to purchase 118,721 shares of our common stock under our 2019 Stock Plan, which options vested in equal monthly installments over a period of 48 months, exercisable at $2.16 per share and expiring 5 years from the date of grant. These options were subsequently cancelled in May 2020. On May 6, 2020, Mr. Liotta was granted stock options to purchase 309,499 shares of common stock under our 2019 Stock Plan at an exercise price per share of $1.584 and expiring 5 years from the date of grant. 71,727 of the stock options were fully vested on the grant date and the remaining stock options vest monthly over 24 to 48 months.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Non-Executive Director Compensation</w:t>
      </w:r>
    </w:p>
    <w:p>
      <w:pPr>
        <w:spacing w:after="0" w:line="14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Except as set forth below, the non-executive members of our board of directors have not received any compensation prior to this offering and no arrangements have been entered into in relating to compensation after this offering. Following this offering, the board of directors will establish a compensation package for the non-executive members of the board of directors.</w:t>
      </w:r>
    </w:p>
    <w:p>
      <w:pPr>
        <w:spacing w:after="0" w:line="119"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On May 6, 2020, Mr. Massie was granted options to purchase 29,039 shares of common stock at an exercise price per share of $1.44 and expiring 10 years from the date of grant. 14,098 of the stock options were fully vested on grant date and the remaining stock options are vested monthly over 24 to 48 months. On August 10, 2020, Mr. Massie was granted options to purchase 21,000 shares of common stock at an exercise price per share of $1.44 and expiring 10 years from the date of grant. 25% of the options vest 12 months following issuance and the balance vests in 36 equal monthly installments thereafter.</w:t>
      </w:r>
    </w:p>
    <w:p>
      <w:pPr>
        <w:spacing w:after="0" w:line="110"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On May 6, 2020, Mr. Varier was granted options to purchase 5,000 shares of common stock at an exercise price per share of $1.44 and expiring 10 years from the date of grant. 25% of the options vest 12 months following issuance and the balance vests in 36 equal monthly installments thereafter. On August 10, 2020, Mr. Varier was granted options to purchase 3,300 shares of common stock at an exercise price per share of $1.44 and expiring 10 years from the date of grant. 25% of the options vest 12 months following issuance and the balance vests in 36 equal monthly installments thereafter.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48" w:lineRule="exact"/>
        <w:rPr>
          <w:sz w:val="20"/>
          <w:szCs w:val="20"/>
          <w:color w:val="auto"/>
        </w:rPr>
      </w:pPr>
    </w:p>
    <w:p>
      <w:pPr>
        <w:ind w:left="460" w:right="879" w:firstLine="432"/>
        <w:spacing w:after="0" w:line="263" w:lineRule="auto"/>
        <w:rPr>
          <w:sz w:val="20"/>
          <w:szCs w:val="20"/>
          <w:color w:val="auto"/>
        </w:rPr>
      </w:pPr>
      <w:r>
        <w:rPr>
          <w:rFonts w:ascii="Arial" w:cs="Arial" w:eastAsia="Arial" w:hAnsi="Arial"/>
          <w:sz w:val="18"/>
          <w:szCs w:val="18"/>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2019 Stock Option Plan</w:t>
      </w:r>
    </w:p>
    <w:p>
      <w:pPr>
        <w:spacing w:after="0" w:line="162"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On June 4, 2019, we adopted and approved the 2019 Stock Option Plan (the “2019 Plan”) providing for the issuance of 2,758,260 shares of our common stock. As of the date of this prospectus, we have granted an aggregate of 2,725,270 options to various officers, directors, employees and consultants under the 2019 Plan. As of the date of this prospectus, there were 32,990 shares available to be granted under the 2019 Plan. On or prior to the consummation of this offering, we intend to cancel the 2019 Plan and convert these stock options to the 2020 Plan, as more fully described below.</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2020 Omnibus Equity Incentive Plan</w:t>
      </w:r>
    </w:p>
    <w:p>
      <w:pPr>
        <w:spacing w:after="0" w:line="162"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color w:val="auto"/>
        </w:rPr>
        <w:t>On or prior to the consummation of this offering, our board of directors and stockholders will adopt and approve the 2020 Omnibus Equity Incentive Plan (the “2020 Plan”), which will replace the 2019 Plan. The 2020 Plan is a comprehensive incentive compensation plan under which we can grant equity-based and other incentive awards to our officers, employees, directors, consultants and advisers. The purpose of the 2020 Plan is to help us attract, motivate and retain such persons with awards under the 2020 Plan and thereby enhance shareholder value.</w:t>
      </w:r>
    </w:p>
    <w:p>
      <w:pPr>
        <w:spacing w:after="0" w:line="111"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2020 Plan is administered by the board, and upon consummation of this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administered by the compensation committee of the board, which shall consist of three members of the board, each of whom is a “non-employee director” within the meaning of Rule 16b-3 promulgated under the Exchange Act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8" w:right="1440" w:bottom="1440" w:gutter="0" w:footer="0" w:header="0"/>
        </w:sectPr>
      </w:pPr>
    </w:p>
    <w:bookmarkStart w:id="88" w:name="page89"/>
    <w:bookmarkEnd w:id="88"/>
    <w:p>
      <w:pPr>
        <w:ind w:left="460" w:right="579"/>
        <w:spacing w:after="0" w:line="286" w:lineRule="auto"/>
        <w:rPr>
          <w:sz w:val="20"/>
          <w:szCs w:val="20"/>
          <w:color w:val="auto"/>
        </w:rPr>
      </w:pPr>
      <w:r>
        <w:rPr>
          <w:rFonts w:ascii="Arial" w:cs="Arial" w:eastAsia="Arial" w:hAnsi="Arial"/>
          <w:sz w:val="16"/>
          <w:szCs w:val="16"/>
          <w:color w:val="auto"/>
        </w:rPr>
        <w:t>an “outside director” within the meaning of Code Section 162(m). Among other things, the compensation committee has complete discretion, subject to the express limits of the 2020 Plan, to determine the directors, employees and nonemployee consultants to be granted an award, the type of award to be granted the terms and conditions of the award, the form of payment to be made and/or the number of shares of common stock subject to each award, the exercise price of each option and base price of each stock appreciation right (“SAR”), the term of each award, the vesting schedule for an award, whether to accelerate vesting, the value of the common stock underlying the award, and the required withholding, if any. The compensation committee may amend, modify or terminate any outstanding award, provided that the participant’s consent to such action is required if the action would impair the participant’s rights or entitlements with respect to that award. The compensation committee is also authorized to construe the award agreements, and may prescribe rules relating to the 2020 Plan. Notwithstanding the foregoing, the compensation committee does not have any authority to grant or modify an award under the 2020 Plan with terms or conditions that would cause the grant, vesting or exercise thereof to be considered nonqualified “deferred compensation” subject to Code Section 409A.</w:t>
      </w:r>
    </w:p>
    <w:p>
      <w:pPr>
        <w:spacing w:after="0" w:line="93"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i w:val="1"/>
          <w:iCs w:val="1"/>
          <w:color w:val="auto"/>
        </w:rPr>
        <w:t>Grant of Awards; Shares Available for Awards</w:t>
      </w:r>
      <w:r>
        <w:rPr>
          <w:rFonts w:ascii="Arial" w:cs="Arial" w:eastAsia="Arial" w:hAnsi="Arial"/>
          <w:sz w:val="17"/>
          <w:szCs w:val="17"/>
          <w:color w:val="auto"/>
        </w:rPr>
        <w:t>. The 2020 Plan provides for the grant of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SARs, performance share awards, performance unit awards, distribution equivalent right awards, restricted stock awards, restricted stock unit awards and unrestricted stock awards to non-employee directors, officers, employees and nonemployee consultants of Agrify or its affiliates. The aggregate number of shares of common stock that may be issued under the 2020 Plan shall not exceed ten percent (10%) of the issued and outstanding shares of common stock on an as converted basis (the “As Converted Shares”) on a rolling basis. For calculation purposes, the As Converted Shares shall include all shares of common stock and all shares of common stock issuable upon the conversion of outstanding preferred stock and other convertible securities, but shall not include any shares of common stock issuable upon the exercise of options, warrants and other convertible securities issued pursuant to the 2020 Plan. The number of authorized shares of common stock reserved for issuance under the Plan shall automatically be increased concurrently with our issuance of fully paid and non-assessable shares of As Converted Shares.] Shares shall be deemed to have been issued under the 2020 Plan solely to the extent actually issued and delivered pursuant to an award. If any award expires, is cancelled, or terminates unexercised or is forfeited, the number of shares subject thereto is again available for grant under the 2020 Plan.</w:t>
      </w:r>
    </w:p>
    <w:p>
      <w:pPr>
        <w:spacing w:after="0" w:line="114" w:lineRule="exact"/>
        <w:rPr>
          <w:sz w:val="20"/>
          <w:szCs w:val="20"/>
          <w:color w:val="auto"/>
        </w:rPr>
      </w:pPr>
    </w:p>
    <w:p>
      <w:pPr>
        <w:ind w:left="460" w:right="1019" w:firstLine="432"/>
        <w:spacing w:after="0" w:line="291" w:lineRule="auto"/>
        <w:rPr>
          <w:sz w:val="20"/>
          <w:szCs w:val="20"/>
          <w:color w:val="auto"/>
        </w:rPr>
      </w:pPr>
      <w:r>
        <w:rPr>
          <w:rFonts w:ascii="Arial" w:cs="Arial" w:eastAsia="Arial" w:hAnsi="Arial"/>
          <w:sz w:val="16"/>
          <w:szCs w:val="16"/>
          <w:color w:val="auto"/>
        </w:rPr>
        <w:t>The number of shares of common stock for which awards may be granted under the 2020 Plan to a participant who is an employee in any calendar year is limited to [______] shares. Future new hires and</w:t>
      </w:r>
    </w:p>
    <w:p>
      <w:pPr>
        <w:ind w:left="460" w:right="479"/>
        <w:spacing w:after="0" w:line="253" w:lineRule="auto"/>
        <w:rPr>
          <w:sz w:val="20"/>
          <w:szCs w:val="20"/>
          <w:color w:val="auto"/>
        </w:rPr>
      </w:pPr>
      <w:r>
        <w:rPr>
          <w:rFonts w:ascii="Arial" w:cs="Arial" w:eastAsia="Arial" w:hAnsi="Arial"/>
          <w:sz w:val="18"/>
          <w:szCs w:val="18"/>
          <w:color w:val="auto"/>
        </w:rPr>
        <w:t>additional non-employee directors and/or consultants would be eligible to participate in the 2020 Plan as well. The number of stock options and/or shares of restricted stock to be granted to executives and directors cannot be determined at this time as the grant of stock options and/or shares of restricted stock is dependent upon various factors such as hiring requirements and job performance.</w:t>
      </w:r>
    </w:p>
    <w:p>
      <w:pPr>
        <w:spacing w:after="0" w:line="12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The 2020 Plan provides for either “incentive stock options” (“ISOs”), which are intended</w:t>
      </w:r>
      <w:r>
        <w:rPr>
          <w:rFonts w:ascii="Arial" w:cs="Arial" w:eastAsia="Arial" w:hAnsi="Arial"/>
          <w:sz w:val="17"/>
          <w:szCs w:val="17"/>
          <w:i w:val="1"/>
          <w:iCs w:val="1"/>
          <w:color w:val="auto"/>
        </w:rPr>
        <w:t xml:space="preserve"> </w:t>
      </w:r>
      <w:r>
        <w:rPr>
          <w:rFonts w:ascii="Arial" w:cs="Arial" w:eastAsia="Arial" w:hAnsi="Arial"/>
          <w:sz w:val="17"/>
          <w:szCs w:val="17"/>
          <w:color w:val="auto"/>
        </w:rPr>
        <w:t>to meet the requirements for special federal income tax treatment under the Code, or “nonqualified stock options” (“NQSOs”). Stock options may be granted on such terms and conditions as the compensation committee may determine; provided, however, that the per share exercise price under a stock option may not be less than the fair market value of a share of common stock on the date of grant and the term of the stock option may not exceed 10 years (110% of such value and five years in the case of an ISO granted to an employee who owns (or is deemed to own) more than 10% of the total combined voting power of all classes of capital stock of our Company or a parent or subsidiary of our Company). ISOs may only be granted to employees. In addition, the aggregate fair market value of common stock covered by one or more ISOs (determined at the time of grant), which are exercisable for the first time by an employee during any calendar year may not exceed $[_______]. Any excess is treated as a NQSO.</w:t>
      </w:r>
    </w:p>
    <w:p>
      <w:pPr>
        <w:spacing w:after="0" w:line="101"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A SAR entitles the participant, upon exercise, to receive an amount,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or stock or a combination thereof, equal to the increase in the fair market value of the underlying common stock between the date of grant and the date of exercise. SARs may be granted in tandem with, or independently of, stock options granted under the 2020 Plan. A SAR granted in tandem with a stock option (i) is exercisable only at such times, and to the extent, that the related stock option is exercisable in accordance with the procedure for exercise of the related stock option; (ii) terminates upon termination or exercise of the related stock option (likewise, the common stock option granted in tandem with a SAR terminates upon exercise of the SAR); (iii) is transferable only with the related stock option; and (iv) if the related stock option is an ISO, may be exercised only when the value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9" w:name="page90"/>
    <w:bookmarkEnd w:id="89"/>
    <w:p>
      <w:pPr>
        <w:ind w:left="460" w:right="539"/>
        <w:spacing w:after="0" w:line="342" w:lineRule="auto"/>
        <w:rPr>
          <w:sz w:val="20"/>
          <w:szCs w:val="20"/>
          <w:color w:val="auto"/>
        </w:rPr>
      </w:pPr>
      <w:r>
        <w:rPr>
          <w:rFonts w:ascii="Arial" w:cs="Arial" w:eastAsia="Arial" w:hAnsi="Arial"/>
          <w:sz w:val="16"/>
          <w:szCs w:val="16"/>
          <w:color w:val="auto"/>
        </w:rPr>
        <w:t>of the stock subject to the stock option exceeds the exercise price of the stock option. A SAR that is not granted in tandem with a stock option is exercisable at such times as the compensation committee may specify.</w:t>
      </w:r>
    </w:p>
    <w:p>
      <w:pPr>
        <w:spacing w:after="0" w:line="43" w:lineRule="exact"/>
        <w:rPr>
          <w:sz w:val="20"/>
          <w:szCs w:val="20"/>
          <w:color w:val="auto"/>
        </w:rPr>
      </w:pPr>
    </w:p>
    <w:p>
      <w:pPr>
        <w:ind w:left="460" w:right="619" w:firstLine="432"/>
        <w:spacing w:after="0" w:line="311" w:lineRule="auto"/>
        <w:rPr>
          <w:sz w:val="20"/>
          <w:szCs w:val="20"/>
          <w:color w:val="auto"/>
        </w:rPr>
      </w:pPr>
      <w:r>
        <w:rPr>
          <w:rFonts w:ascii="Arial" w:cs="Arial" w:eastAsia="Arial" w:hAnsi="Arial"/>
          <w:sz w:val="16"/>
          <w:szCs w:val="16"/>
          <w:i w:val="1"/>
          <w:iCs w:val="1"/>
          <w:color w:val="auto"/>
        </w:rPr>
        <w:t>Performance Shares and Performance Unit Awards</w:t>
      </w:r>
      <w:r>
        <w:rPr>
          <w:rFonts w:ascii="Arial" w:cs="Arial" w:eastAsia="Arial" w:hAnsi="Arial"/>
          <w:sz w:val="16"/>
          <w:szCs w:val="16"/>
          <w:color w:val="auto"/>
        </w:rPr>
        <w:t>. Performance share and performance unit awards</w:t>
      </w:r>
      <w:r>
        <w:rPr>
          <w:rFonts w:ascii="Arial" w:cs="Arial" w:eastAsia="Arial" w:hAnsi="Arial"/>
          <w:sz w:val="16"/>
          <w:szCs w:val="16"/>
          <w:i w:val="1"/>
          <w:iCs w:val="1"/>
          <w:color w:val="auto"/>
        </w:rPr>
        <w:t xml:space="preserve"> </w:t>
      </w:r>
      <w:r>
        <w:rPr>
          <w:rFonts w:ascii="Arial" w:cs="Arial" w:eastAsia="Arial" w:hAnsi="Arial"/>
          <w:sz w:val="16"/>
          <w:szCs w:val="16"/>
          <w:color w:val="auto"/>
        </w:rPr>
        <w:t>entitle the participant to receive cash or shares of common stock upon the attainment of specified performance goals. In the case of performance units, the right to acquire the units is denominated in cash values.</w:t>
      </w:r>
    </w:p>
    <w:p>
      <w:pPr>
        <w:spacing w:after="0" w:line="81"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i w:val="1"/>
          <w:iCs w:val="1"/>
          <w:color w:val="auto"/>
        </w:rPr>
        <w:t>Distribution Equivalent Right Awards</w:t>
      </w:r>
      <w:r>
        <w:rPr>
          <w:rFonts w:ascii="Arial" w:cs="Arial" w:eastAsia="Arial" w:hAnsi="Arial"/>
          <w:sz w:val="18"/>
          <w:szCs w:val="18"/>
          <w:color w:val="auto"/>
        </w:rPr>
        <w:t>. A distribution equivalent right award entitles the participant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bookkeeping credits, cash payments and/or common stock distributions equal in amount to the distributions that would have been made to the participant had the participant held a specified number of shares of common stock during the period the participant held the distribution equivalent right. A distribution equivalent right may be awarded as a component of another award under the 2020 Plan, where, if so awarded, such distribution equivalent right will expire or be forfeited by the participant under the same conditions as under such other award.</w:t>
      </w:r>
    </w:p>
    <w:p>
      <w:pPr>
        <w:spacing w:after="0" w:line="127"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i w:val="1"/>
          <w:iCs w:val="1"/>
          <w:color w:val="auto"/>
        </w:rPr>
        <w:t>Restricted Stock Awards and Restricted Stock Unit Awards</w:t>
      </w:r>
      <w:r>
        <w:rPr>
          <w:rFonts w:ascii="Arial" w:cs="Arial" w:eastAsia="Arial" w:hAnsi="Arial"/>
          <w:sz w:val="18"/>
          <w:szCs w:val="18"/>
          <w:color w:val="auto"/>
        </w:rPr>
        <w:t>. A restricted stock award is a grant or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to the participant, subject to our right to repurchase all or part of the shares at their purchase price (or to require forfeiture of such shares if issued to the participant at no cost) in the event that conditions specified by the compensation committee in the award are not satisfied prior to the end of the time period during which the shares subject to the award may be repurchased by or forfeited to us. Our restricted stock unit entitles the participant to receive a cash payment equal to the fair market value of a share of common stock for each restricted stock unit subject to such restricted stock unit award, if the participant satisfies the applicable vesting requirement.</w:t>
      </w:r>
    </w:p>
    <w:p>
      <w:pPr>
        <w:spacing w:after="0" w:line="111"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i w:val="1"/>
          <w:iCs w:val="1"/>
          <w:color w:val="auto"/>
        </w:rPr>
        <w:t>Unrestricted Stock Awards</w:t>
      </w:r>
      <w:r>
        <w:rPr>
          <w:rFonts w:ascii="Arial" w:cs="Arial" w:eastAsia="Arial" w:hAnsi="Arial"/>
          <w:sz w:val="18"/>
          <w:szCs w:val="18"/>
          <w:color w:val="auto"/>
        </w:rPr>
        <w:t>. An unrestricted stock award is a grant or sale of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participant that is not subject to transfer, forfeiture or other restrictions, in consideration for past services rendered to Mullen or an affiliate or for other valid consideration.</w:t>
      </w:r>
    </w:p>
    <w:p>
      <w:pPr>
        <w:spacing w:after="0" w:line="116"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i w:val="1"/>
          <w:iCs w:val="1"/>
          <w:color w:val="auto"/>
        </w:rPr>
        <w:t>Change-in-Control Provisions</w:t>
      </w:r>
      <w:r>
        <w:rPr>
          <w:rFonts w:ascii="Arial" w:cs="Arial" w:eastAsia="Arial" w:hAnsi="Arial"/>
          <w:sz w:val="18"/>
          <w:szCs w:val="18"/>
          <w:color w:val="auto"/>
        </w:rPr>
        <w:t>. In connection with the grant of an award,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may provide that, in the event of a change in control, such award will become fully vested and immediately exercisable.</w:t>
      </w:r>
    </w:p>
    <w:p>
      <w:pPr>
        <w:spacing w:after="0" w:line="116"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The compensation committee may adopt, amend and rescind rules relating</w:t>
      </w:r>
      <w:r>
        <w:rPr>
          <w:rFonts w:ascii="Arial" w:cs="Arial" w:eastAsia="Arial" w:hAnsi="Arial"/>
          <w:sz w:val="17"/>
          <w:szCs w:val="17"/>
          <w:i w:val="1"/>
          <w:iCs w:val="1"/>
          <w:color w:val="auto"/>
        </w:rPr>
        <w:t xml:space="preserve"> </w:t>
      </w:r>
      <w:r>
        <w:rPr>
          <w:rFonts w:ascii="Arial" w:cs="Arial" w:eastAsia="Arial" w:hAnsi="Arial"/>
          <w:sz w:val="17"/>
          <w:szCs w:val="17"/>
          <w:color w:val="auto"/>
        </w:rPr>
        <w:t>to the administration of the 2020 Plan, and amend, suspend or terminate the 2020 Plan, but no such amendment or termination will be made that materially and adversely impairs the rights of any participant with respect to any award received thereby under the 2020 Plan without the participant’s consent, other than amendments that are necessary to permit the granting of awards in compliance with applicable laws. We have attempted to structure the 2020 Plan so that remuneration attributable to stock options and other awards will not be subject to the deduction limitation contained in Code Section 162(m).</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162"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 — Registration Rights,” the following is a description of each transaction for the prior two year period and each currently proposed transaction in which:</w:t>
      </w:r>
    </w:p>
    <w:p>
      <w:pPr>
        <w:spacing w:after="0" w:line="95" w:lineRule="exact"/>
        <w:rPr>
          <w:sz w:val="20"/>
          <w:szCs w:val="20"/>
          <w:color w:val="auto"/>
        </w:rPr>
      </w:pPr>
    </w:p>
    <w:p>
      <w:pPr>
        <w:ind w:left="1300" w:hanging="41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57"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Transactions with 4D Bios Inc.</w:t>
      </w:r>
    </w:p>
    <w:p>
      <w:pPr>
        <w:spacing w:after="0" w:line="148"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We purchased various equipment from 4D Bios Inc. (“4D”), which totalled $1,393,000 and $0 in 2019 and 2018, respectively. Guichao Hua, a member of our board of directors, and Raymond Chang, our chief executive officer and a member of our board of directors, each had ownership interests and were board members of 4D as of December 31, 2019. On June 30, 2020, Mr. Chang sold his interest in 4D and resigned as a member of 4D’s board. On July 28, 2020, we entered into a purchase agreement with 4D to secure purchases of horticultural equipment. The agreement requires minimum purchases of between $570,000 and $607,000 of 4D products until December 31, 2020.</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Distribution Agreement with Bluezone Products, Inc.</w:t>
      </w:r>
    </w:p>
    <w:p>
      <w:pPr>
        <w:spacing w:after="0" w:line="162"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On June 7, 2019, we entered into a Distribution Agreement with Bluezone Products, Inc. (“Bluezone”) relating to our distribution rights for the Bluezone products, such rights exclusive as to certain customers. We are obligated to order $480,000 of Bluezone products in the first contract year and $570,000 of Bluezone products in the second contract year. The distribution agreement is for an initial term through May 31, 2021 and is automatically renewed for successive one year periods unless earlier terminated. We purchased approximately $318,000 of Bluezone products for the year ended December 31, 2019. Guichao Hua, a member of our board of directors, and Raymond Chang, our chief executive officer and a member of our board of directors, each had ownership interests and were board members of Bluezone as of December 31, 2019. On July 10, 2020, Guichao Hua sold his interest in Bluezone and resigned as a member of Bluezone’s board.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Distribution Agreement with Enozo</w:t>
      </w:r>
    </w:p>
    <w:p>
      <w:pPr>
        <w:spacing w:after="0" w:line="162"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On March 9, 2020, we entered into a distribution agreement with Enozo Technologies Inc. (“Enozo”), for an initial term of five years with auto renewal for successive one year periods unless earlier terminated. The agreement requires us to make the following minimum purchases to retain distributor status: $375,000 for the period from the contract date until December 31, 2021; $750,000 for the year ended December 31, 2022; $1,125,000 for the year ended December 31, 2023, subject to increases by 3% for subsequent years. Guichao Hua, a member of our board of directors, and Raymond Chang, our chief executive officer and a member of our board of directors, each have ownership interests and are board members of Enozo.</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148"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Prior to this offering, we have not had a formal policy regarding approval of transactions with related parties. In connection with this offering, we have adopted a written policy that our executive officers, directors, beneficial owners of more than 5% of any class of our capital stock, and any members of the immediate family of any of the foregoing persons are not permitted to enter into a related party transaction with us without the prior consent of our audit committee. Any request for us to enter into a transaction with an executive officer, director, beneficial owner of more than 5% of any class of our capital stock, or any member of the immediate family of any of the foregoing persons, in which such person would have a direct or indirect interest, must first be presented to our audit committee for review,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1" w:name="page92"/>
    <w:bookmarkEnd w:id="91"/>
    <w:p>
      <w:pPr>
        <w:ind w:left="460" w:right="479"/>
        <w:spacing w:after="0" w:line="271" w:lineRule="auto"/>
        <w:rPr>
          <w:sz w:val="20"/>
          <w:szCs w:val="20"/>
          <w:color w:val="auto"/>
        </w:rPr>
      </w:pPr>
      <w:r>
        <w:rPr>
          <w:rFonts w:ascii="Arial" w:cs="Arial" w:eastAsia="Arial" w:hAnsi="Arial"/>
          <w:sz w:val="17"/>
          <w:szCs w:val="17"/>
          <w:color w:val="auto"/>
        </w:rPr>
        <w:t>consideration, and approval or ratification. In approving or rejecting any such proposal, our audit committee is to consider the relevant facts and circumstances of the transaction available to it, including, but not limited to, whether the transaction is on terms no less favorable than terms generally available to an unrelated third party or to employees under the same or similar circumstances, and the extent of the related person’s interest in the transaction. The written policy will require that, in determining whether to approve or reject a related person transaction, our audit committee must consider, in light of known circumstances, whether the transaction is in, or is not inconsistent with, our best interests and those of our stockholders, as our audit committee determines in good faith.</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2"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date of this prospectus, and as adjusted to reflect the sale of common stock being offered in this offering by:</w:t>
      </w:r>
    </w:p>
    <w:p>
      <w:pPr>
        <w:spacing w:after="0" w:line="103" w:lineRule="exact"/>
        <w:rPr>
          <w:sz w:val="20"/>
          <w:szCs w:val="20"/>
          <w:color w:val="auto"/>
        </w:rPr>
      </w:pPr>
    </w:p>
    <w:p>
      <w:pPr>
        <w:ind w:left="1320" w:right="739" w:hanging="434"/>
        <w:spacing w:after="0" w:line="277" w:lineRule="auto"/>
        <w:tabs>
          <w:tab w:leader="none" w:pos="13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own beneficially more than 5% of our common stock;</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our current directors;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5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information in the following table has been presented in accordance with the rules of the SEC. Under such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Except as otherwise indicated, each stockholder named in the table is assumed to have sole voting and investment power with respect to the number of shares listed opposite the stockholder’s name.</w:t>
      </w:r>
    </w:p>
    <w:p>
      <w:pPr>
        <w:spacing w:after="0" w:line="114"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The calculations of beneficial ownership in this table are based on 6,662,028 shares of common stock outstanding as of the date of this prospectus.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Percentage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Percentage Total</w:t>
            </w: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Total Voting</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Voting Power</w:t>
            </w: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Beneficially</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Power Prior to</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6"/>
              </w:rPr>
              <w:t>After This</w:t>
            </w:r>
          </w:p>
        </w:tc>
      </w:tr>
      <w:tr>
        <w:trPr>
          <w:trHeight w:val="253"/>
        </w:trPr>
        <w:tc>
          <w:tcPr>
            <w:tcW w:w="434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18"/>
                <w:szCs w:val="18"/>
                <w:b w:val="1"/>
                <w:bCs w:val="1"/>
                <w:color w:val="auto"/>
                <w:vertAlign w:val="superscript"/>
              </w:rPr>
              <w:t>(1)</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Owned</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Offering</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6"/>
              </w:rPr>
              <w:t>Offering</w:t>
            </w:r>
          </w:p>
        </w:tc>
      </w:tr>
      <w:tr>
        <w:trPr>
          <w:trHeight w:val="268"/>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Raymond Chang</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1,044,199</w:t>
            </w:r>
            <w:r>
              <w:rPr>
                <w:rFonts w:ascii="Arial" w:cs="Arial" w:eastAsia="Arial" w:hAnsi="Arial"/>
                <w:sz w:val="20"/>
                <w:szCs w:val="20"/>
                <w:color w:val="auto"/>
                <w:vertAlign w:val="superscript"/>
              </w:rPr>
              <w:t>(2)</w:t>
            </w:r>
          </w:p>
        </w:tc>
        <w:tc>
          <w:tcPr>
            <w:tcW w:w="8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[__]%</w:t>
            </w:r>
          </w:p>
        </w:tc>
      </w:tr>
      <w:tr>
        <w:trPr>
          <w:trHeight w:val="283"/>
        </w:trPr>
        <w:tc>
          <w:tcPr>
            <w:tcW w:w="4340" w:type="dxa"/>
            <w:vAlign w:val="bottom"/>
            <w:gridSpan w:val="2"/>
          </w:tcPr>
          <w:p>
            <w:pPr>
              <w:spacing w:after="0"/>
              <w:rPr>
                <w:sz w:val="20"/>
                <w:szCs w:val="20"/>
                <w:color w:val="auto"/>
              </w:rPr>
            </w:pPr>
            <w:r>
              <w:rPr>
                <w:rFonts w:ascii="Arial" w:cs="Arial" w:eastAsia="Arial" w:hAnsi="Arial"/>
                <w:sz w:val="18"/>
                <w:szCs w:val="18"/>
                <w:color w:val="auto"/>
              </w:rPr>
              <w:t>Niv Krikov</w:t>
            </w:r>
          </w:p>
        </w:tc>
        <w:tc>
          <w:tcPr>
            <w:tcW w:w="1140" w:type="dxa"/>
            <w:vAlign w:val="bottom"/>
          </w:tcPr>
          <w:p>
            <w:pPr>
              <w:jc w:val="right"/>
              <w:spacing w:after="0"/>
              <w:rPr>
                <w:sz w:val="20"/>
                <w:szCs w:val="20"/>
                <w:color w:val="auto"/>
              </w:rPr>
            </w:pPr>
            <w:r>
              <w:rPr>
                <w:rFonts w:ascii="Arial" w:cs="Arial" w:eastAsia="Arial" w:hAnsi="Arial"/>
                <w:sz w:val="18"/>
                <w:szCs w:val="18"/>
                <w:color w:val="auto"/>
              </w:rPr>
              <w:t>233,173</w:t>
            </w:r>
            <w:r>
              <w:rPr>
                <w:rFonts w:ascii="Arial" w:cs="Arial" w:eastAsia="Arial" w:hAnsi="Arial"/>
                <w:sz w:val="20"/>
                <w:szCs w:val="20"/>
                <w:color w:val="auto"/>
                <w:vertAlign w:val="superscript"/>
              </w:rPr>
              <w:t>(3)</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[__]%</w:t>
            </w:r>
          </w:p>
        </w:tc>
      </w:tr>
      <w:tr>
        <w:trPr>
          <w:trHeight w:val="283"/>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Liotta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1,541,522</w:t>
            </w:r>
            <w:r>
              <w:rPr>
                <w:rFonts w:ascii="Arial" w:cs="Arial" w:eastAsia="Arial" w:hAnsi="Arial"/>
                <w:sz w:val="20"/>
                <w:szCs w:val="20"/>
                <w:color w:val="auto"/>
                <w:vertAlign w:val="superscript"/>
              </w:rPr>
              <w:t>(4)</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[__]%</w:t>
            </w:r>
          </w:p>
        </w:tc>
      </w:tr>
      <w:tr>
        <w:trPr>
          <w:trHeight w:val="284"/>
        </w:trPr>
        <w:tc>
          <w:tcPr>
            <w:tcW w:w="4340" w:type="dxa"/>
            <w:vAlign w:val="bottom"/>
            <w:gridSpan w:val="2"/>
          </w:tcPr>
          <w:p>
            <w:pPr>
              <w:spacing w:after="0"/>
              <w:rPr>
                <w:sz w:val="20"/>
                <w:szCs w:val="20"/>
                <w:color w:val="auto"/>
              </w:rPr>
            </w:pPr>
            <w:r>
              <w:rPr>
                <w:rFonts w:ascii="Arial" w:cs="Arial" w:eastAsia="Arial" w:hAnsi="Arial"/>
                <w:sz w:val="18"/>
                <w:szCs w:val="18"/>
                <w:color w:val="auto"/>
              </w:rPr>
              <w:t>Thomas Massie</w:t>
            </w:r>
          </w:p>
        </w:tc>
        <w:tc>
          <w:tcPr>
            <w:tcW w:w="1140" w:type="dxa"/>
            <w:vAlign w:val="bottom"/>
          </w:tcPr>
          <w:p>
            <w:pPr>
              <w:jc w:val="right"/>
              <w:spacing w:after="0"/>
              <w:rPr>
                <w:sz w:val="20"/>
                <w:szCs w:val="20"/>
                <w:color w:val="auto"/>
              </w:rPr>
            </w:pPr>
            <w:r>
              <w:rPr>
                <w:rFonts w:ascii="Arial" w:cs="Arial" w:eastAsia="Arial" w:hAnsi="Arial"/>
                <w:sz w:val="18"/>
                <w:szCs w:val="18"/>
                <w:color w:val="auto"/>
              </w:rPr>
              <w:t>29,039</w:t>
            </w:r>
            <w:r>
              <w:rPr>
                <w:rFonts w:ascii="Arial" w:cs="Arial" w:eastAsia="Arial" w:hAnsi="Arial"/>
                <w:sz w:val="20"/>
                <w:szCs w:val="20"/>
                <w:color w:val="auto"/>
                <w:vertAlign w:val="superscript"/>
              </w:rPr>
              <w:t>(3)</w:t>
            </w:r>
          </w:p>
        </w:tc>
        <w:tc>
          <w:tcPr>
            <w:tcW w:w="80" w:type="dxa"/>
            <w:vAlign w:val="bottom"/>
          </w:tcPr>
          <w:p>
            <w:pPr>
              <w:spacing w:after="0"/>
              <w:rPr>
                <w:sz w:val="24"/>
                <w:szCs w:val="24"/>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63"/>
        </w:trPr>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Guichao Hua</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184,932</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[__]%</w:t>
            </w:r>
          </w:p>
        </w:tc>
      </w:tr>
      <w:tr>
        <w:trPr>
          <w:trHeight w:val="283"/>
        </w:trPr>
        <w:tc>
          <w:tcPr>
            <w:tcW w:w="4340" w:type="dxa"/>
            <w:vAlign w:val="bottom"/>
            <w:gridSpan w:val="2"/>
          </w:tcPr>
          <w:p>
            <w:pPr>
              <w:spacing w:after="0"/>
              <w:rPr>
                <w:sz w:val="20"/>
                <w:szCs w:val="20"/>
                <w:color w:val="auto"/>
              </w:rPr>
            </w:pPr>
            <w:r>
              <w:rPr>
                <w:rFonts w:ascii="Arial" w:cs="Arial" w:eastAsia="Arial" w:hAnsi="Arial"/>
                <w:sz w:val="18"/>
                <w:szCs w:val="18"/>
                <w:color w:val="auto"/>
              </w:rPr>
              <w:t>Krishnan Varier</w:t>
            </w: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r>
              <w:rPr>
                <w:rFonts w:ascii="Arial" w:cs="Arial" w:eastAsia="Arial" w:hAnsi="Arial"/>
                <w:sz w:val="20"/>
                <w:szCs w:val="20"/>
                <w:color w:val="auto"/>
                <w:vertAlign w:val="superscript"/>
              </w:rPr>
              <w:t>(3)</w:t>
            </w:r>
          </w:p>
        </w:tc>
        <w:tc>
          <w:tcPr>
            <w:tcW w:w="80" w:type="dxa"/>
            <w:vAlign w:val="bottom"/>
          </w:tcPr>
          <w:p>
            <w:pPr>
              <w:spacing w:after="0"/>
              <w:rPr>
                <w:sz w:val="24"/>
                <w:szCs w:val="24"/>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84"/>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Harrison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21,198</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4340" w:type="dxa"/>
            <w:vAlign w:val="bottom"/>
            <w:gridSpan w:val="2"/>
          </w:tcPr>
          <w:p>
            <w:pPr>
              <w:spacing w:after="0"/>
              <w:rPr>
                <w:sz w:val="20"/>
                <w:szCs w:val="20"/>
                <w:color w:val="auto"/>
              </w:rPr>
            </w:pPr>
            <w:r>
              <w:rPr>
                <w:rFonts w:ascii="Arial" w:cs="Arial" w:eastAsia="Arial" w:hAnsi="Arial"/>
                <w:sz w:val="18"/>
                <w:szCs w:val="18"/>
                <w:color w:val="auto"/>
                <w:w w:val="94"/>
              </w:rPr>
              <w:t>All directors and executive officers as a group (7 persons)</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3,059,063</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[__]%</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 w:lineRule="exact"/>
        <w:rPr>
          <w:sz w:val="20"/>
          <w:szCs w:val="20"/>
          <w:color w:val="auto"/>
        </w:rPr>
      </w:pPr>
    </w:p>
    <w:p>
      <w:pPr>
        <w:ind w:left="880" w:right="599" w:hanging="426"/>
        <w:spacing w:after="0" w:line="264"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Unless otherwise indicated, the address of such individual is c/o Agrify Corporation, 101 Middlesex Turnpike, Suite 6, PMB 326, Burlington, MA 01803.</w:t>
      </w:r>
    </w:p>
    <w:p>
      <w:pPr>
        <w:ind w:left="880" w:right="699" w:hanging="426"/>
        <w:spacing w:after="0" w:line="264"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(i) options to purchase 534,199 shares of common stock and (ii) 510,000 shares of common stock held by RTC3 2020 Irrevocable Family Trust.</w:t>
      </w:r>
    </w:p>
    <w:p>
      <w:pPr>
        <w:ind w:left="880" w:hanging="426"/>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shares of common stock underlying options.</w:t>
      </w:r>
    </w:p>
    <w:p>
      <w:pPr>
        <w:spacing w:after="0" w:line="18" w:lineRule="exact"/>
        <w:rPr>
          <w:rFonts w:ascii="Arial" w:cs="Arial" w:eastAsia="Arial" w:hAnsi="Arial"/>
          <w:sz w:val="16"/>
          <w:szCs w:val="16"/>
          <w:color w:val="auto"/>
        </w:rPr>
      </w:pPr>
    </w:p>
    <w:p>
      <w:pPr>
        <w:ind w:left="880" w:right="579" w:hanging="426"/>
        <w:spacing w:after="0" w:line="272"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(i) 1,138,750 shares of common stock held by Argand Group, LLC, which is jointly owned by Matthew Liotta, a member of our board of directors, and his spouse, Jennifer Liotta, (ii) 309,499 shares of common stock underlying options granted to Matthew Liotta and (iii) 93,273 shares of common stock underlying options granted to Jennifer Liotta.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460" w:right="799" w:firstLine="432"/>
        <w:spacing w:after="0" w:line="342" w:lineRule="auto"/>
        <w:rPr>
          <w:sz w:val="20"/>
          <w:szCs w:val="20"/>
          <w:color w:val="auto"/>
        </w:rPr>
      </w:pPr>
      <w:r>
        <w:rPr>
          <w:rFonts w:ascii="Arial" w:cs="Arial" w:eastAsia="Arial" w:hAnsi="Arial"/>
          <w:sz w:val="16"/>
          <w:szCs w:val="16"/>
          <w:color w:val="auto"/>
        </w:rPr>
        <w:t>Our articles of incorporation authorizes the issuance of up to 50,000,000 shares of common stock, par value $0.001 per share, and 3,000,000 shares of preferred stock, par value $0.001 per share.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ind w:left="460" w:right="1119" w:firstLine="432"/>
        <w:spacing w:after="0" w:line="291" w:lineRule="auto"/>
        <w:rPr>
          <w:sz w:val="20"/>
          <w:szCs w:val="20"/>
          <w:color w:val="auto"/>
        </w:rPr>
      </w:pPr>
      <w:r>
        <w:rPr>
          <w:rFonts w:ascii="Arial" w:cs="Arial" w:eastAsia="Arial" w:hAnsi="Arial"/>
          <w:sz w:val="16"/>
          <w:szCs w:val="16"/>
          <w:color w:val="auto"/>
        </w:rPr>
        <w:t>As of the date of this prospectus, there were 6,662,028 shares of common stock outstanding and 2,725,270 shares of common stock subject to outstanding options. An additional [_________] shares of</w:t>
      </w:r>
    </w:p>
    <w:p>
      <w:pPr>
        <w:ind w:left="460" w:right="639"/>
        <w:spacing w:after="0" w:line="281" w:lineRule="auto"/>
        <w:rPr>
          <w:sz w:val="20"/>
          <w:szCs w:val="20"/>
          <w:color w:val="auto"/>
        </w:rPr>
      </w:pPr>
      <w:r>
        <w:rPr>
          <w:rFonts w:ascii="Arial" w:cs="Arial" w:eastAsia="Arial" w:hAnsi="Arial"/>
          <w:sz w:val="16"/>
          <w:szCs w:val="16"/>
          <w:color w:val="auto"/>
        </w:rPr>
        <w:t>common stock will be issued immediately prior to the closing of this offering upon the conversion of outstanding shares of Series A Preferred Stock based on a conversion formula equal to the quotient of (i) the lesser of (x) $70 million and (y) 70% of the aggregate valuation of our company on the date of this prospectus divided by (ii) _______________ (which represents the number of total outstanding shares of common stock</w:t>
      </w:r>
    </w:p>
    <w:p>
      <w:pPr>
        <w:spacing w:after="0" w:line="2"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color w:val="auto"/>
        </w:rPr>
        <w:t>immediately prior to the consummation of this offering on a fully diluted as-converted basis). 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25"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97"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There are currently 100,000 shares of Series A Preferred Stock outstanding. Such shares will automatically convert into [______] shares of common stock upon the consummation of this offering based on a</w:t>
      </w:r>
    </w:p>
    <w:p>
      <w:pPr>
        <w:ind w:left="460" w:right="599"/>
        <w:spacing w:after="0" w:line="281" w:lineRule="auto"/>
        <w:rPr>
          <w:sz w:val="20"/>
          <w:szCs w:val="20"/>
          <w:color w:val="auto"/>
        </w:rPr>
      </w:pPr>
      <w:r>
        <w:rPr>
          <w:rFonts w:ascii="Arial" w:cs="Arial" w:eastAsia="Arial" w:hAnsi="Arial"/>
          <w:sz w:val="16"/>
          <w:szCs w:val="16"/>
          <w:color w:val="auto"/>
        </w:rPr>
        <w:t>conversion formula equal to the quotient of (i) the lesser of (x) $70 million and (y) 70% of the aggregate valuation of our company on the date of this prospectus divided by (ii) ______________ (which represents the</w:t>
      </w:r>
    </w:p>
    <w:p>
      <w:pPr>
        <w:spacing w:after="0" w:line="1" w:lineRule="exact"/>
        <w:rPr>
          <w:sz w:val="20"/>
          <w:szCs w:val="20"/>
          <w:color w:val="auto"/>
        </w:rPr>
      </w:pPr>
    </w:p>
    <w:p>
      <w:pPr>
        <w:ind w:left="460" w:right="539"/>
        <w:spacing w:after="0" w:line="260" w:lineRule="auto"/>
        <w:rPr>
          <w:sz w:val="20"/>
          <w:szCs w:val="20"/>
          <w:color w:val="auto"/>
        </w:rPr>
      </w:pPr>
      <w:r>
        <w:rPr>
          <w:rFonts w:ascii="Arial" w:cs="Arial" w:eastAsia="Arial" w:hAnsi="Arial"/>
          <w:sz w:val="18"/>
          <w:szCs w:val="18"/>
          <w:color w:val="auto"/>
        </w:rPr>
        <w:t>number of total outstanding shares of common stock immediately prior to the consummation of this offering on a fully diluted as-converted basis).</w:t>
      </w:r>
    </w:p>
    <w:p>
      <w:pPr>
        <w:spacing w:after="0" w:line="118"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Our board of directors is empowered, without stockholder approval, to issue shares of preferred stock with dividend, liquidation, redemption, voting or other rights which could adversely affect the voting power or other rights of the holders of common stock.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currently have outstanding options to purchase 2,725,270 shares of our common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We currently do not have any outstanding warrants to purchase shares of our common stock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transfer agent for our common stock is [________________________].</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4" w:name="page95"/>
    <w:bookmarkEnd w:id="94"/>
    <w:p>
      <w:pPr>
        <w:ind w:left="460"/>
        <w:spacing w:after="0"/>
        <w:rPr>
          <w:sz w:val="20"/>
          <w:szCs w:val="20"/>
          <w:color w:val="auto"/>
        </w:rPr>
      </w:pPr>
      <w:r>
        <w:rPr>
          <w:rFonts w:ascii="Arial" w:cs="Arial" w:eastAsia="Arial" w:hAnsi="Arial"/>
          <w:sz w:val="18"/>
          <w:szCs w:val="18"/>
          <w:b w:val="1"/>
          <w:bCs w:val="1"/>
          <w:color w:val="auto"/>
        </w:rPr>
        <w:t>Listing</w:t>
      </w:r>
    </w:p>
    <w:p>
      <w:pPr>
        <w:spacing w:after="0" w:line="162"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We intend to apply to have our common stock listed on the NASDAQ Capital Market under the symbol “[____].”</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Holders</w:t>
      </w:r>
    </w:p>
    <w:p>
      <w:pPr>
        <w:spacing w:after="0" w:line="14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As of the date of this prospectus, there were 6,662,028 shares of common stock outstanding, which were held by approximately [__] record stockholders.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Effects of Our Articles of Incorporation and By-laws</w:t>
      </w:r>
    </w:p>
    <w:p>
      <w:pPr>
        <w:spacing w:after="0" w:line="162"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could render more difficult or discourage an attempt to obtain control of our company by means of a proxy contest, tender offer, merger, or otherwise.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Effects of Nevada Law</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Business Combinations</w:t>
      </w:r>
    </w:p>
    <w:p>
      <w:pPr>
        <w:spacing w:after="0" w:line="158" w:lineRule="exact"/>
        <w:rPr>
          <w:sz w:val="20"/>
          <w:szCs w:val="20"/>
          <w:color w:val="auto"/>
        </w:rPr>
      </w:pPr>
    </w:p>
    <w:p>
      <w:pPr>
        <w:jc w:val="both"/>
        <w:ind w:left="460" w:right="599" w:firstLine="432"/>
        <w:spacing w:after="0" w:line="293" w:lineRule="auto"/>
        <w:rPr>
          <w:sz w:val="20"/>
          <w:szCs w:val="20"/>
          <w:color w:val="auto"/>
        </w:rPr>
      </w:pPr>
      <w:r>
        <w:rPr>
          <w:rFonts w:ascii="Arial" w:cs="Arial" w:eastAsia="Arial" w:hAnsi="Arial"/>
          <w:sz w:val="16"/>
          <w:szCs w:val="16"/>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any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83"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06" w:lineRule="exact"/>
        <w:rPr>
          <w:sz w:val="20"/>
          <w:szCs w:val="20"/>
          <w:color w:val="auto"/>
        </w:rPr>
      </w:pPr>
    </w:p>
    <w:p>
      <w:pPr>
        <w:ind w:left="460" w:right="619" w:firstLine="432"/>
        <w:spacing w:after="0" w:line="269" w:lineRule="auto"/>
        <w:rPr>
          <w:sz w:val="20"/>
          <w:szCs w:val="20"/>
          <w:color w:val="auto"/>
        </w:rPr>
      </w:pPr>
      <w:r>
        <w:rPr>
          <w:rFonts w:ascii="Arial" w:cs="Arial" w:eastAsia="Arial" w:hAnsi="Arial"/>
          <w:sz w:val="17"/>
          <w:szCs w:val="17"/>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18"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If applicable, the prohibition is for a period of two years after the date of the transaction in which the person became an interested stockholder, unless such transaction is approved by the board of directors prior to the date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5" w:name="page96"/>
    <w:bookmarkEnd w:id="95"/>
    <w:p>
      <w:pPr>
        <w:ind w:left="460" w:right="459"/>
        <w:spacing w:after="0" w:line="267" w:lineRule="auto"/>
        <w:rPr>
          <w:sz w:val="20"/>
          <w:szCs w:val="20"/>
          <w:color w:val="auto"/>
        </w:rPr>
      </w:pPr>
      <w:r>
        <w:rPr>
          <w:rFonts w:ascii="Arial" w:cs="Arial" w:eastAsia="Arial" w:hAnsi="Arial"/>
          <w:sz w:val="17"/>
          <w:szCs w:val="17"/>
          <w:color w:val="auto"/>
        </w:rPr>
        <w:t>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and extends beyond the expiration of the two-year period, unless (a) the combination was approved by the board of directors prior to the person becoming an interested stockholder; (b) the transaction by which the person first became an interested stockholder was approved by the board of directors before the person became an interested stockholder; (c) the transaction is approved by the affirmative vote of a majority of the voting power held by disinterested stockholders at a meeting called for that purpose no earlier than two years after the date the person first became an interested stockholder; or (d)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109" w:lineRule="exact"/>
        <w:rPr>
          <w:sz w:val="20"/>
          <w:szCs w:val="20"/>
          <w:color w:val="auto"/>
        </w:rPr>
      </w:pPr>
    </w:p>
    <w:p>
      <w:pPr>
        <w:ind w:left="460" w:right="739" w:firstLine="432"/>
        <w:spacing w:after="0" w:line="257" w:lineRule="auto"/>
        <w:rPr>
          <w:sz w:val="20"/>
          <w:szCs w:val="20"/>
          <w:color w:val="auto"/>
        </w:rPr>
      </w:pPr>
      <w:r>
        <w:rPr>
          <w:rFonts w:ascii="Arial" w:cs="Arial" w:eastAsia="Arial" w:hAnsi="Arial"/>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Control Share Acquisitions</w:t>
      </w:r>
    </w:p>
    <w:p>
      <w:pPr>
        <w:spacing w:after="0" w:line="158" w:lineRule="exact"/>
        <w:rPr>
          <w:sz w:val="20"/>
          <w:szCs w:val="20"/>
          <w:color w:val="auto"/>
        </w:rPr>
      </w:pPr>
    </w:p>
    <w:p>
      <w:pPr>
        <w:ind w:left="460" w:right="759" w:firstLine="432"/>
        <w:spacing w:after="0" w:line="279" w:lineRule="auto"/>
        <w:rPr>
          <w:sz w:val="20"/>
          <w:szCs w:val="20"/>
          <w:color w:val="auto"/>
        </w:rPr>
      </w:pPr>
      <w:r>
        <w:rPr>
          <w:rFonts w:ascii="Arial" w:cs="Arial" w:eastAsia="Arial" w:hAnsi="Arial"/>
          <w:sz w:val="17"/>
          <w:szCs w:val="17"/>
          <w:color w:val="auto"/>
        </w:rPr>
        <w:t>The “control share” provisions of Sections 78.378 to 78.3793, inclusive, of the NRS, apply to “issuing corporations” that are Nevada corporations with at least 200 stockholders of record, including at least 100 stockholders of record who are Nevada residents, and that conduct business directly or indirectly in Nevada, unless the corporation has elected to not be subject to these provisions.</w:t>
      </w:r>
    </w:p>
    <w:p>
      <w:pPr>
        <w:spacing w:after="0" w:line="104"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91" w:lineRule="exact"/>
        <w:rPr>
          <w:sz w:val="20"/>
          <w:szCs w:val="20"/>
          <w:color w:val="auto"/>
        </w:rPr>
      </w:pPr>
    </w:p>
    <w:p>
      <w:pPr>
        <w:ind w:left="460" w:right="459" w:firstLine="432"/>
        <w:spacing w:after="0" w:line="245" w:lineRule="auto"/>
        <w:rPr>
          <w:sz w:val="20"/>
          <w:szCs w:val="20"/>
          <w:color w:val="auto"/>
        </w:rPr>
      </w:pPr>
      <w:r>
        <w:rPr>
          <w:rFonts w:ascii="Arial" w:cs="Arial" w:eastAsia="Arial" w:hAnsi="Arial"/>
          <w:sz w:val="18"/>
          <w:szCs w:val="18"/>
          <w:color w:val="auto"/>
        </w:rPr>
        <w:t>A corporation may elect to not be governed by, or “opt out” of, the control shares provisions by making an election in its articles of incorporation or bylaws, provided that the opt-out election must be in place on the 10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following such occurrence.</w:t>
      </w:r>
    </w:p>
    <w:p>
      <w:pPr>
        <w:spacing w:after="0" w:line="134"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62"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Prior to this offering, no public market for our common stock existed, and a liquid trading market for our common stock may not develop or be sustained after this offering. Future sales of substantial amounts of our common stock in the public market could adversely affect prevailing market prices of our common stock from time to time and could impair our future ability to raise equity capital in the future.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Based upon the number of shares outstanding as of ________, 2020, upon the closing of this offering, we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will have outstanding an aggregate of _____ shares of common stock, assuming no exercise of the underwriters’</w:t>
      </w:r>
    </w:p>
    <w:p>
      <w:pPr>
        <w:spacing w:after="0" w:line="32" w:lineRule="exact"/>
        <w:rPr>
          <w:sz w:val="20"/>
          <w:szCs w:val="20"/>
          <w:color w:val="auto"/>
        </w:rPr>
      </w:pPr>
    </w:p>
    <w:p>
      <w:pPr>
        <w:ind w:left="460" w:right="699"/>
        <w:spacing w:after="0" w:line="281" w:lineRule="auto"/>
        <w:rPr>
          <w:sz w:val="20"/>
          <w:szCs w:val="20"/>
          <w:color w:val="auto"/>
        </w:rPr>
      </w:pPr>
      <w:r>
        <w:rPr>
          <w:rFonts w:ascii="Arial" w:cs="Arial" w:eastAsia="Arial" w:hAnsi="Arial"/>
          <w:sz w:val="16"/>
          <w:szCs w:val="16"/>
          <w:color w:val="auto"/>
        </w:rPr>
        <w:t>over-allotment option and no exercise of outstanding options, after giving effect to the conversion of all outstanding shares of our Series A Preferred Stock into ______ shares of common stock immediately prior to</w:t>
      </w:r>
    </w:p>
    <w:p>
      <w:pPr>
        <w:spacing w:after="0" w:line="1" w:lineRule="exact"/>
        <w:rPr>
          <w:sz w:val="20"/>
          <w:szCs w:val="20"/>
          <w:color w:val="auto"/>
        </w:rPr>
      </w:pPr>
    </w:p>
    <w:p>
      <w:pPr>
        <w:ind w:left="460" w:right="779"/>
        <w:spacing w:after="0" w:line="281" w:lineRule="auto"/>
        <w:rPr>
          <w:sz w:val="20"/>
          <w:szCs w:val="20"/>
          <w:color w:val="auto"/>
        </w:rPr>
      </w:pPr>
      <w:r>
        <w:rPr>
          <w:rFonts w:ascii="Arial" w:cs="Arial" w:eastAsia="Arial" w:hAnsi="Arial"/>
          <w:sz w:val="16"/>
          <w:szCs w:val="16"/>
          <w:color w:val="auto"/>
        </w:rPr>
        <w:t>the closing of this offering based on a conversion formula equal to the quotient of (i) the lesser of (x) $70 million and (y) 70% of the aggregate valuation of our company on the date of this prospectus divided by (ii)</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 (which represents the number of total outstanding shares of common stock immediately prior to the</w:t>
      </w:r>
    </w:p>
    <w:p>
      <w:pPr>
        <w:spacing w:after="0" w:line="32" w:lineRule="exact"/>
        <w:rPr>
          <w:sz w:val="20"/>
          <w:szCs w:val="20"/>
          <w:color w:val="auto"/>
        </w:rPr>
      </w:pPr>
    </w:p>
    <w:p>
      <w:pPr>
        <w:ind w:left="460" w:right="519"/>
        <w:spacing w:after="0" w:line="251" w:lineRule="auto"/>
        <w:rPr>
          <w:sz w:val="20"/>
          <w:szCs w:val="20"/>
          <w:color w:val="auto"/>
        </w:rPr>
      </w:pPr>
      <w:r>
        <w:rPr>
          <w:rFonts w:ascii="Arial" w:cs="Arial" w:eastAsia="Arial" w:hAnsi="Arial"/>
          <w:sz w:val="18"/>
          <w:szCs w:val="18"/>
          <w:color w:val="auto"/>
        </w:rPr>
        <w:t>consummation of this offering on a fully diluted as-converted basis). All of the shares sold in this offering by us will be freely tradable without restrictions or further registration under the Securities Act, unless held by our affiliates, as that term is defined under Rule 144 under the Securities Act, or subject to lock-up agreements. The remaining shares of common stock outstanding upon the closing of this offering are restricted securities as defined in Rule 144. Restricted securities may be sold in the U.S. public market only if registered or if they qualify for an exemption from registration, including by reason of Rule 144 or Rule 701 under the Securities Act, which rules are summarized below. These remaining shares will generally become available for sale in the public market as follows:</w:t>
      </w:r>
    </w:p>
    <w:p>
      <w:pPr>
        <w:spacing w:after="0" w:line="130" w:lineRule="exact"/>
        <w:rPr>
          <w:sz w:val="20"/>
          <w:szCs w:val="20"/>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shares will be eligible for sale in the public market on the date of this prospectus; and</w:t>
      </w:r>
    </w:p>
    <w:p>
      <w:pPr>
        <w:spacing w:after="0" w:line="157" w:lineRule="exact"/>
        <w:rPr>
          <w:rFonts w:ascii="Arial" w:cs="Arial" w:eastAsia="Arial" w:hAnsi="Arial"/>
          <w:sz w:val="18"/>
          <w:szCs w:val="18"/>
          <w:color w:val="auto"/>
        </w:rPr>
      </w:pPr>
    </w:p>
    <w:p>
      <w:pPr>
        <w:ind w:left="1320" w:right="559" w:hanging="434"/>
        <w:spacing w:after="0" w:line="286" w:lineRule="auto"/>
        <w:tabs>
          <w:tab w:leader="none" w:pos="1311" w:val="left"/>
        </w:tabs>
        <w:numPr>
          <w:ilvl w:val="0"/>
          <w:numId w:val="52"/>
        </w:numPr>
        <w:rPr>
          <w:rFonts w:ascii="Arial" w:cs="Arial" w:eastAsia="Arial" w:hAnsi="Arial"/>
          <w:sz w:val="17"/>
          <w:szCs w:val="17"/>
          <w:color w:val="auto"/>
        </w:rPr>
      </w:pPr>
      <w:r>
        <w:rPr>
          <w:rFonts w:ascii="Arial" w:cs="Arial" w:eastAsia="Arial" w:hAnsi="Arial"/>
          <w:sz w:val="17"/>
          <w:szCs w:val="17"/>
          <w:color w:val="auto"/>
        </w:rPr>
        <w:t>approximately _____shares will be eligible for sale in the public market upon expiration of lock-up agreements 181 days after the date of this prospectus, subject in certain circumstances to the volume, manner of sale and other limitations of Rule 144 and Rule 701.</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of ________, 2020, of the _______ shares of common stock issuable upon exercise of outstanding</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options, approximately_______ shares will be vested and eligible for sale 181 days after the date of this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prospectus.</w:t>
      </w:r>
    </w:p>
    <w:p>
      <w:pPr>
        <w:spacing w:after="0" w:line="143"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20"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In addition, the shares of common stock reserved for future issuance under our 2020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4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In general,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119"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In general, a person who has beneficially owned restricted shares of our common stock for at least six months would be entitled to sell their securities provided that (1) such person is not deemed to have been one of our affiliates at the time of, or at any time during the 90 days preceding, a sale, (2) we have been subject to the Exchange Act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7" w:name="page98"/>
    <w:bookmarkEnd w:id="97"/>
    <w:p>
      <w:pPr>
        <w:ind w:left="460" w:right="619"/>
        <w:spacing w:after="0" w:line="277" w:lineRule="auto"/>
        <w:rPr>
          <w:sz w:val="20"/>
          <w:szCs w:val="20"/>
          <w:color w:val="auto"/>
        </w:rPr>
      </w:pPr>
      <w:r>
        <w:rPr>
          <w:rFonts w:ascii="Arial" w:cs="Arial" w:eastAsia="Arial" w:hAnsi="Arial"/>
          <w:sz w:val="18"/>
          <w:szCs w:val="18"/>
          <w:color w:val="auto"/>
        </w:rPr>
        <w:t>periodic reporting requirements for at least 90 days before the sale and (3) we are current in our Exchange Act reporting at the time of sale.</w:t>
      </w:r>
    </w:p>
    <w:p>
      <w:pPr>
        <w:spacing w:after="0" w:line="89" w:lineRule="exact"/>
        <w:rPr>
          <w:sz w:val="20"/>
          <w:szCs w:val="20"/>
          <w:color w:val="auto"/>
        </w:rPr>
      </w:pPr>
    </w:p>
    <w:p>
      <w:pPr>
        <w:ind w:left="460" w:right="679" w:firstLine="432"/>
        <w:spacing w:after="0" w:line="279" w:lineRule="auto"/>
        <w:rPr>
          <w:sz w:val="20"/>
          <w:szCs w:val="20"/>
          <w:color w:val="auto"/>
        </w:rPr>
      </w:pPr>
      <w:r>
        <w:rPr>
          <w:rFonts w:ascii="Arial" w:cs="Arial" w:eastAsia="Arial" w:hAnsi="Arial"/>
          <w:sz w:val="17"/>
          <w:szCs w:val="17"/>
          <w:color w:val="auto"/>
        </w:rPr>
        <w:t>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04" w:lineRule="exact"/>
        <w:rPr>
          <w:sz w:val="20"/>
          <w:szCs w:val="20"/>
          <w:color w:val="auto"/>
        </w:rPr>
      </w:pPr>
    </w:p>
    <w:p>
      <w:pPr>
        <w:ind w:left="1300" w:hanging="414"/>
        <w:spacing w:after="0"/>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1% of the number of shares of our common stock then outstanding, which will equal approximately</w:t>
      </w:r>
    </w:p>
    <w:p>
      <w:pPr>
        <w:spacing w:after="0" w:line="46" w:lineRule="exact"/>
        <w:rPr>
          <w:rFonts w:ascii="Arial" w:cs="Arial" w:eastAsia="Arial" w:hAnsi="Arial"/>
          <w:sz w:val="16"/>
          <w:szCs w:val="16"/>
          <w:color w:val="auto"/>
        </w:rPr>
      </w:pPr>
    </w:p>
    <w:p>
      <w:pPr>
        <w:ind w:left="1320" w:right="499"/>
        <w:spacing w:after="0" w:line="260" w:lineRule="auto"/>
        <w:rPr>
          <w:rFonts w:ascii="Arial" w:cs="Arial" w:eastAsia="Arial" w:hAnsi="Arial"/>
          <w:sz w:val="16"/>
          <w:szCs w:val="16"/>
          <w:color w:val="auto"/>
        </w:rPr>
      </w:pPr>
      <w:r>
        <w:rPr>
          <w:rFonts w:ascii="Arial" w:cs="Arial" w:eastAsia="Arial" w:hAnsi="Arial"/>
          <w:sz w:val="18"/>
          <w:szCs w:val="18"/>
          <w:color w:val="auto"/>
        </w:rPr>
        <w:t>______ shares immediately after the closing of this offering based on the number of common shares outstanding as of ________, 2020.</w:t>
      </w:r>
    </w:p>
    <w:p>
      <w:pPr>
        <w:spacing w:after="0" w:line="117" w:lineRule="exact"/>
        <w:rPr>
          <w:rFonts w:ascii="Arial" w:cs="Arial" w:eastAsia="Arial" w:hAnsi="Arial"/>
          <w:sz w:val="16"/>
          <w:szCs w:val="16"/>
          <w:color w:val="auto"/>
        </w:rPr>
      </w:pPr>
    </w:p>
    <w:p>
      <w:pPr>
        <w:ind w:left="1320" w:right="559" w:hanging="434"/>
        <w:spacing w:after="0" w:line="277" w:lineRule="auto"/>
        <w:tabs>
          <w:tab w:leader="none" w:pos="13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______during the four calendar weeks preceding the filing of a notice on Form 144 with respect to the sale.</w:t>
      </w:r>
    </w:p>
    <w:p>
      <w:pPr>
        <w:spacing w:after="0" w:line="89"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Such sales by affiliates must also comply with the manner of sale, current public information and notice provisions of Rule 144.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701</w:t>
      </w:r>
    </w:p>
    <w:p>
      <w:pPr>
        <w:spacing w:after="0" w:line="162" w:lineRule="exact"/>
        <w:rPr>
          <w:sz w:val="20"/>
          <w:szCs w:val="20"/>
          <w:color w:val="auto"/>
        </w:rPr>
      </w:pPr>
    </w:p>
    <w:p>
      <w:pPr>
        <w:ind w:left="460" w:right="539" w:firstLine="432"/>
        <w:spacing w:after="0" w:line="284" w:lineRule="auto"/>
        <w:rPr>
          <w:sz w:val="20"/>
          <w:szCs w:val="20"/>
          <w:color w:val="auto"/>
        </w:rPr>
      </w:pPr>
      <w:r>
        <w:rPr>
          <w:rFonts w:ascii="Arial" w:cs="Arial" w:eastAsia="Arial" w:hAnsi="Arial"/>
          <w:sz w:val="16"/>
          <w:szCs w:val="16"/>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notice, manner of sale,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date of this prospectus before selling such shares pursuant to Rule 701. As of ________, 2020, _____</w:t>
      </w:r>
    </w:p>
    <w:p>
      <w:pPr>
        <w:spacing w:after="0" w:line="2" w:lineRule="exact"/>
        <w:rPr>
          <w:sz w:val="20"/>
          <w:szCs w:val="20"/>
          <w:color w:val="auto"/>
        </w:rPr>
      </w:pPr>
    </w:p>
    <w:p>
      <w:pPr>
        <w:ind w:left="460" w:right="579"/>
        <w:spacing w:after="0" w:line="302" w:lineRule="auto"/>
        <w:rPr>
          <w:sz w:val="20"/>
          <w:szCs w:val="20"/>
          <w:color w:val="auto"/>
        </w:rPr>
      </w:pPr>
      <w:r>
        <w:rPr>
          <w:rFonts w:ascii="Arial" w:cs="Arial" w:eastAsia="Arial" w:hAnsi="Arial"/>
          <w:sz w:val="16"/>
          <w:szCs w:val="16"/>
          <w:color w:val="auto"/>
        </w:rPr>
        <w:t>shares of our outstanding common stock had been issued in reliance on Rule 701 as a result of exercises of stock options. However, substantially all Rule 701 shares are subject to lock-up agreements as described below and will become eligible for sale upon the expiration of the restrictions set forth in those agreements.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Form S-8 Registration Statements</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Following this offering, we intend to file with the SEC a registration statement on Form S-8 under the Securities Act to register the offer and sale of shares of our common stock that are issuable pursuant to our 2020 Plan. Shares covered by this registration statement on Form S-8 will then be eligible for sale in the public markets, subject to vesting restrictions, any applicable lock-up agreements described below and Rule 144 limitations applicable to affiliates.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Arrangements</w:t>
      </w:r>
    </w:p>
    <w:p>
      <w:pPr>
        <w:spacing w:after="0" w:line="148"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We, all of our directors and executive officers and holders of one percent (1%) or more of our outstanding shares of common stock as of the effective date of the registration statement related to this offering (and all holders of securities exercisable for or convertible into shares of common stock), have agreed with the underwriters that, for a period of 180 days following the date of this prospectus, subject to certain exceptions, we and they will not, directly or indirectly, offer, sell, contract to sell, pledge, grant any option to purchase, make any short sale, or otherwise dispose of or hedge any of our shares of common stock, any options, or any securities convertible into, or exchangeable for or that represent the right to receive shares of our common stock. These agreements are described in the section of this prospectus titled “Underwriting.”</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jc w:val="both"/>
        <w:ind w:left="460" w:right="499" w:firstLine="432"/>
        <w:spacing w:after="0" w:line="259" w:lineRule="auto"/>
        <w:rPr>
          <w:sz w:val="20"/>
          <w:szCs w:val="20"/>
          <w:color w:val="auto"/>
        </w:rPr>
      </w:pPr>
      <w:r>
        <w:rPr>
          <w:rFonts w:ascii="Arial" w:cs="Arial" w:eastAsia="Arial" w:hAnsi="Arial"/>
          <w:sz w:val="18"/>
          <w:szCs w:val="18"/>
          <w:color w:val="auto"/>
        </w:rPr>
        <w:t>Holders of shares of our common stock issued upon conversion of our shares of Series A Preferred Stock simultaneously with the closing of this offering have piggyback registration rights with respect to such shares of common stock on any registration statements we file with the Securities and Exchange Commission, subject to certain limited exceptions.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We are offering our shares of common stock described in this prospectus through the underwriters named below. Maxim Group LLC (or Maxim) is acting as the sole representative of the underwriters. We have entered into an underwriting agreement with the underwriters. Subject to the terms and conditions of the underwriting agreement, each of the underwriters has severally agreed to purchase, and we have agreed to sell to the underwriters, the number of shares of common stock listed next to its name in the following table.</w:t>
      </w:r>
    </w:p>
    <w:p>
      <w:pPr>
        <w:sectPr>
          <w:pgSz w:w="11900" w:h="16838" w:orient="portrait"/>
          <w:cols w:equalWidth="0" w:num="1">
            <w:col w:w="9019"/>
          </w:cols>
          <w:pgMar w:left="1440" w:top="337" w:right="1440" w:bottom="1440" w:gutter="0" w:footer="0" w:header="0"/>
        </w:sectPr>
      </w:pPr>
    </w:p>
    <w:p>
      <w:pPr>
        <w:spacing w:after="0" w:line="324"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Underwriters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41275</wp:posOffset>
            </wp:positionV>
            <wp:extent cx="514350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91" w:lineRule="exact"/>
        <w:rPr>
          <w:sz w:val="20"/>
          <w:szCs w:val="20"/>
          <w:color w:val="auto"/>
        </w:rPr>
      </w:pPr>
    </w:p>
    <w:p>
      <w:pPr>
        <w:sectPr>
          <w:pgSz w:w="11900" w:h="16838" w:orient="portrait"/>
          <w:cols w:equalWidth="0" w:num="2">
            <w:col w:w="6820" w:space="720"/>
            <w:col w:w="1479"/>
          </w:cols>
          <w:pgMar w:left="1440" w:top="337" w:right="1440"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Maxim Group LLC</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underwriting agreement provides that the underwriters must buy all of the shares of common stock if they buy any of them. However, the underwriters are not required to take or pay for the shares covered by the underwriters’ option to purchase additional shares as described below.</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shares of common stock are offered subject to a number of conditions, including:</w:t>
      </w:r>
    </w:p>
    <w:p>
      <w:pPr>
        <w:spacing w:after="0" w:line="158" w:lineRule="exact"/>
        <w:rPr>
          <w:sz w:val="20"/>
          <w:szCs w:val="20"/>
          <w:color w:val="auto"/>
        </w:rPr>
      </w:pPr>
    </w:p>
    <w:p>
      <w:pPr>
        <w:ind w:left="1300" w:hanging="41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receipt and acceptance of our shares of common stock by the underwriters;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underwriters’ right to reject orders in whole or in part.</w:t>
      </w:r>
    </w:p>
    <w:p>
      <w:pPr>
        <w:spacing w:after="0" w:line="158" w:lineRule="exact"/>
        <w:rPr>
          <w:sz w:val="20"/>
          <w:szCs w:val="20"/>
          <w:color w:val="auto"/>
        </w:rPr>
      </w:pPr>
    </w:p>
    <w:p>
      <w:pPr>
        <w:jc w:val="both"/>
        <w:ind w:left="460" w:right="599" w:firstLine="432"/>
        <w:spacing w:after="0" w:line="342" w:lineRule="auto"/>
        <w:rPr>
          <w:sz w:val="20"/>
          <w:szCs w:val="20"/>
          <w:color w:val="auto"/>
        </w:rPr>
      </w:pPr>
      <w:r>
        <w:rPr>
          <w:rFonts w:ascii="Arial" w:cs="Arial" w:eastAsia="Arial" w:hAnsi="Arial"/>
          <w:sz w:val="16"/>
          <w:szCs w:val="16"/>
          <w:color w:val="auto"/>
        </w:rPr>
        <w:t>We have been advised by Maxim that the underwriters intend to make a market in our shares of common stock but that they are not obligated to do so and may discontinue making a market at any time without notice.</w:t>
      </w:r>
    </w:p>
    <w:p>
      <w:pPr>
        <w:spacing w:after="0" w:line="56" w:lineRule="exact"/>
        <w:rPr>
          <w:sz w:val="20"/>
          <w:szCs w:val="20"/>
          <w:color w:val="auto"/>
        </w:rPr>
      </w:pPr>
    </w:p>
    <w:p>
      <w:pPr>
        <w:ind w:left="460" w:right="1319" w:firstLine="432"/>
        <w:spacing w:after="0" w:line="277" w:lineRule="auto"/>
        <w:rPr>
          <w:sz w:val="20"/>
          <w:szCs w:val="20"/>
          <w:color w:val="auto"/>
        </w:rPr>
      </w:pPr>
      <w:r>
        <w:rPr>
          <w:rFonts w:ascii="Arial" w:cs="Arial" w:eastAsia="Arial" w:hAnsi="Arial"/>
          <w:sz w:val="18"/>
          <w:szCs w:val="18"/>
          <w:color w:val="auto"/>
        </w:rPr>
        <w:t>In connection with this offering, certain of the underwriters or securities dealers may distribute prospectuses electronically.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48" w:lineRule="exact"/>
        <w:rPr>
          <w:sz w:val="20"/>
          <w:szCs w:val="20"/>
          <w:color w:val="auto"/>
        </w:rPr>
      </w:pPr>
    </w:p>
    <w:p>
      <w:pPr>
        <w:ind w:left="880"/>
        <w:spacing w:after="0"/>
        <w:tabs>
          <w:tab w:leader="none" w:pos="6520" w:val="left"/>
        </w:tabs>
        <w:rPr>
          <w:sz w:val="20"/>
          <w:szCs w:val="20"/>
          <w:color w:val="auto"/>
        </w:rPr>
      </w:pPr>
      <w:r>
        <w:rPr>
          <w:rFonts w:ascii="Arial" w:cs="Arial" w:eastAsia="Arial" w:hAnsi="Arial"/>
          <w:sz w:val="18"/>
          <w:szCs w:val="18"/>
          <w:color w:val="auto"/>
        </w:rPr>
        <w:t>We have granted the underwriters an option to buy up to an aggregate of</w:t>
      </w:r>
      <w:r>
        <w:rPr>
          <w:sz w:val="20"/>
          <w:szCs w:val="20"/>
          <w:color w:val="auto"/>
        </w:rPr>
        <w:tab/>
      </w:r>
      <w:r>
        <w:rPr>
          <w:rFonts w:ascii="Arial" w:cs="Arial" w:eastAsia="Arial" w:hAnsi="Arial"/>
          <w:sz w:val="16"/>
          <w:szCs w:val="16"/>
          <w:color w:val="auto"/>
        </w:rPr>
        <w:t>additional shares of</w:t>
      </w:r>
    </w:p>
    <w:p>
      <w:pPr>
        <w:spacing w:after="0" w:line="23" w:lineRule="exact"/>
        <w:rPr>
          <w:sz w:val="20"/>
          <w:szCs w:val="20"/>
          <w:color w:val="auto"/>
        </w:rPr>
      </w:pPr>
    </w:p>
    <w:p>
      <w:pPr>
        <w:ind w:left="460" w:right="599"/>
        <w:spacing w:after="0" w:line="255" w:lineRule="auto"/>
        <w:rPr>
          <w:sz w:val="20"/>
          <w:szCs w:val="20"/>
          <w:color w:val="auto"/>
        </w:rPr>
      </w:pPr>
      <w:r>
        <w:rPr>
          <w:rFonts w:ascii="Arial" w:cs="Arial" w:eastAsia="Arial" w:hAnsi="Arial"/>
          <w:sz w:val="18"/>
          <w:szCs w:val="18"/>
          <w:color w:val="auto"/>
        </w:rPr>
        <w:t>common stock. The underwriters have 45 days from the date of this prospectus to exercise this option. If the underwriters exercise this option, they will each purchase additional shares of common stock approximately in proportion to the amounts specified in the table above.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Underwriting Discount</w:t>
      </w:r>
    </w:p>
    <w:p>
      <w:pPr>
        <w:spacing w:after="0" w:line="162" w:lineRule="exact"/>
        <w:rPr>
          <w:sz w:val="20"/>
          <w:szCs w:val="20"/>
          <w:color w:val="auto"/>
        </w:rPr>
      </w:pPr>
    </w:p>
    <w:p>
      <w:pPr>
        <w:ind w:left="460" w:right="639" w:firstLine="432"/>
        <w:spacing w:after="0" w:line="291" w:lineRule="auto"/>
        <w:rPr>
          <w:sz w:val="20"/>
          <w:szCs w:val="20"/>
          <w:color w:val="auto"/>
        </w:rPr>
      </w:pPr>
      <w:r>
        <w:rPr>
          <w:rFonts w:ascii="Arial" w:cs="Arial" w:eastAsia="Arial" w:hAnsi="Arial"/>
          <w:sz w:val="16"/>
          <w:szCs w:val="16"/>
          <w:color w:val="auto"/>
        </w:rPr>
        <w:t>Shares sold by the underwriters to the public will initially be offered at the initial offering price set forth on the cover of this prospectus. Any shares sold by the underwriters to securities dealers may be sold at a</w:t>
      </w:r>
    </w:p>
    <w:p>
      <w:pPr>
        <w:ind w:left="460" w:right="519"/>
        <w:spacing w:after="0" w:line="253" w:lineRule="auto"/>
        <w:rPr>
          <w:sz w:val="20"/>
          <w:szCs w:val="20"/>
          <w:color w:val="auto"/>
        </w:rPr>
      </w:pPr>
      <w:r>
        <w:rPr>
          <w:rFonts w:ascii="Arial" w:cs="Arial" w:eastAsia="Arial" w:hAnsi="Arial"/>
          <w:sz w:val="18"/>
          <w:szCs w:val="18"/>
          <w:color w:val="auto"/>
        </w:rPr>
        <w:t>discount of up to $ per share from the initial public offering price. The underwriters may offer the shares through one or more of their affiliates or selling agents. If all the shares are not sold at the initial public offering price, Maxim may change the offering price and the other selling terms. Upon execution of the underwriting agreement, the underwriters will be obligated to purchase the shares at the prices and upon the terms stated therein.</w:t>
      </w:r>
    </w:p>
    <w:p>
      <w:pPr>
        <w:spacing w:after="0" w:line="123"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The underwriting discount is equal to the public offering price per share, less the amount paid by the underwriters to us per share. The underwriting discount was determined through an arms’ length negotiation between us and the underwriters. We have agreed to sell the shares of common stock to the underwriters at the offering price of $[___] per share, which represents the public offering price of our shares set forth on the cover page of this prospectus less a 8.0% underwriting discount. With respect to certain investors, we have agreed to sell the shares of common stock to the underwriters at the offering price of $[___] per share, which represents the public offering price of our shares set forth on the cover page of this prospectus less a 3.5% underwriting discount.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99" w:name="page100"/>
    <w:bookmarkEnd w:id="99"/>
    <w:p>
      <w:pPr>
        <w:ind w:left="880"/>
        <w:spacing w:after="0"/>
        <w:rPr>
          <w:sz w:val="20"/>
          <w:szCs w:val="20"/>
          <w:color w:val="auto"/>
        </w:rPr>
      </w:pPr>
      <w:r>
        <w:rPr>
          <w:rFonts w:ascii="Arial" w:cs="Arial" w:eastAsia="Arial" w:hAnsi="Arial"/>
          <w:sz w:val="17"/>
          <w:szCs w:val="17"/>
          <w:color w:val="auto"/>
        </w:rPr>
        <w:t>The following table shows the per share and total underwriting discount we will pay to the underwriters</w:t>
      </w:r>
    </w:p>
    <w:p>
      <w:pPr>
        <w:spacing w:after="0" w:line="35" w:lineRule="exact"/>
        <w:rPr>
          <w:sz w:val="20"/>
          <w:szCs w:val="20"/>
          <w:color w:val="auto"/>
        </w:rPr>
      </w:pPr>
    </w:p>
    <w:p>
      <w:pPr>
        <w:ind w:left="460" w:right="999"/>
        <w:spacing w:after="0" w:line="260" w:lineRule="auto"/>
        <w:rPr>
          <w:sz w:val="20"/>
          <w:szCs w:val="20"/>
          <w:color w:val="auto"/>
        </w:rPr>
      </w:pPr>
      <w:r>
        <w:rPr>
          <w:rFonts w:ascii="Arial" w:cs="Arial" w:eastAsia="Arial" w:hAnsi="Arial"/>
          <w:sz w:val="18"/>
          <w:szCs w:val="18"/>
          <w:color w:val="auto"/>
        </w:rPr>
        <w:t>assuming both no exercise and full exercise of the underwriters’ option to purchase up to additional shares.</w:t>
      </w:r>
    </w:p>
    <w:p>
      <w:pPr>
        <w:spacing w:after="0" w:line="145" w:lineRule="exact"/>
        <w:rPr>
          <w:sz w:val="20"/>
          <w:szCs w:val="20"/>
          <w:color w:val="auto"/>
        </w:rPr>
      </w:pPr>
    </w:p>
    <w:p>
      <w:pPr>
        <w:ind w:left="6840"/>
        <w:spacing w:after="0"/>
        <w:tabs>
          <w:tab w:leader="none" w:pos="786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Full</w:t>
      </w:r>
    </w:p>
    <w:p>
      <w:pPr>
        <w:spacing w:after="0" w:line="26" w:lineRule="exact"/>
        <w:rPr>
          <w:sz w:val="20"/>
          <w:szCs w:val="20"/>
          <w:color w:val="auto"/>
        </w:rPr>
      </w:pPr>
    </w:p>
    <w:p>
      <w:pPr>
        <w:ind w:left="6680"/>
        <w:spacing w:after="0"/>
        <w:tabs>
          <w:tab w:leader="none" w:pos="7740" w:val="left"/>
        </w:tabs>
        <w:rPr>
          <w:sz w:val="20"/>
          <w:szCs w:val="20"/>
          <w:color w:val="auto"/>
        </w:rPr>
      </w:pPr>
      <w:r>
        <w:rPr>
          <w:rFonts w:ascii="Arial" w:cs="Arial" w:eastAsia="Arial" w:hAnsi="Arial"/>
          <w:sz w:val="16"/>
          <w:szCs w:val="16"/>
          <w:b w:val="1"/>
          <w:bCs w:val="1"/>
          <w:color w:val="auto"/>
        </w:rPr>
        <w:t>Exercise</w:t>
      </w:r>
      <w:r>
        <w:rPr>
          <w:sz w:val="20"/>
          <w:szCs w:val="20"/>
          <w:color w:val="auto"/>
        </w:rPr>
        <w:tab/>
      </w:r>
      <w:r>
        <w:rPr>
          <w:rFonts w:ascii="Arial" w:cs="Arial" w:eastAsia="Arial" w:hAnsi="Arial"/>
          <w:sz w:val="16"/>
          <w:szCs w:val="16"/>
          <w:b w:val="1"/>
          <w:bCs w:val="1"/>
          <w:color w:val="auto"/>
        </w:rPr>
        <w:t>Exercise</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277"/>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680" w:type="dxa"/>
            <w:vAlign w:val="bottom"/>
            <w:tcBorders>
              <w:top w:val="single" w:sz="8" w:color="CCEEFF"/>
              <w:bottom w:val="single" w:sz="8" w:color="CCEEFF"/>
            </w:tcBorders>
            <w:shd w:val="clear" w:color="auto" w:fill="CCEEFF"/>
          </w:tcPr>
          <w:p>
            <w:pPr>
              <w:spacing w:after="0"/>
              <w:rPr>
                <w:sz w:val="24"/>
                <w:szCs w:val="24"/>
                <w:color w:val="auto"/>
              </w:rPr>
            </w:pPr>
          </w:p>
        </w:tc>
        <w:tc>
          <w:tcPr>
            <w:tcW w:w="960" w:type="dxa"/>
            <w:vAlign w:val="bottom"/>
            <w:tcBorders>
              <w:top w:val="single" w:sz="8" w:color="auto"/>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r>
      <w:tr>
        <w:trPr>
          <w:trHeight w:val="264"/>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2"/>
          </w:tcPr>
          <w:p>
            <w:pPr>
              <w:jc w:val="right"/>
              <w:ind w:right="77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40" w:type="dxa"/>
            <w:vAlign w:val="bottom"/>
          </w:tcPr>
          <w:p>
            <w:pPr>
              <w:jc w:val="right"/>
              <w:ind w:right="853"/>
              <w:spacing w:after="0"/>
              <w:rPr>
                <w:sz w:val="20"/>
                <w:szCs w:val="20"/>
                <w:color w:val="auto"/>
              </w:rPr>
            </w:pPr>
            <w:r>
              <w:rPr>
                <w:rFonts w:ascii="Arial" w:cs="Arial" w:eastAsia="Arial" w:hAnsi="Arial"/>
                <w:sz w:val="18"/>
                <w:szCs w:val="18"/>
                <w:color w:val="auto"/>
                <w:w w:val="79"/>
              </w:rPr>
              <w:t>$</w:t>
            </w:r>
          </w:p>
        </w:tc>
      </w:tr>
      <w:tr>
        <w:trPr>
          <w:trHeight w:val="20"/>
        </w:trPr>
        <w:tc>
          <w:tcPr>
            <w:tcW w:w="3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51"/>
        </w:trPr>
        <w:tc>
          <w:tcPr>
            <w:tcW w:w="3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No</w:t>
            </w:r>
          </w:p>
        </w:tc>
        <w:tc>
          <w:tcPr>
            <w:tcW w:w="1040" w:type="dxa"/>
            <w:vAlign w:val="bottom"/>
          </w:tcPr>
          <w:p>
            <w:pPr>
              <w:jc w:val="right"/>
              <w:ind w:right="313"/>
              <w:spacing w:after="0"/>
              <w:rPr>
                <w:sz w:val="20"/>
                <w:szCs w:val="20"/>
                <w:color w:val="auto"/>
              </w:rPr>
            </w:pPr>
            <w:r>
              <w:rPr>
                <w:rFonts w:ascii="Arial" w:cs="Arial" w:eastAsia="Arial" w:hAnsi="Arial"/>
                <w:sz w:val="16"/>
                <w:szCs w:val="16"/>
                <w:b w:val="1"/>
                <w:bCs w:val="1"/>
                <w:color w:val="auto"/>
              </w:rPr>
              <w:t>Full</w:t>
            </w:r>
          </w:p>
        </w:tc>
      </w:tr>
      <w:tr>
        <w:trPr>
          <w:trHeight w:val="210"/>
        </w:trPr>
        <w:tc>
          <w:tcPr>
            <w:tcW w:w="33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Exercise</w:t>
            </w:r>
          </w:p>
        </w:tc>
        <w:tc>
          <w:tcPr>
            <w:tcW w:w="1040" w:type="dxa"/>
            <w:vAlign w:val="bottom"/>
          </w:tcPr>
          <w:p>
            <w:pPr>
              <w:jc w:val="right"/>
              <w:ind w:right="133"/>
              <w:spacing w:after="0"/>
              <w:rPr>
                <w:sz w:val="20"/>
                <w:szCs w:val="20"/>
                <w:color w:val="auto"/>
              </w:rPr>
            </w:pPr>
            <w:r>
              <w:rPr>
                <w:rFonts w:ascii="Arial" w:cs="Arial" w:eastAsia="Arial" w:hAnsi="Arial"/>
                <w:sz w:val="16"/>
                <w:szCs w:val="16"/>
                <w:b w:val="1"/>
                <w:bCs w:val="1"/>
                <w:color w:val="auto"/>
              </w:rPr>
              <w:t>Exercise</w:t>
            </w:r>
          </w:p>
        </w:tc>
      </w:tr>
      <w:tr>
        <w:trPr>
          <w:trHeight w:val="46"/>
        </w:trPr>
        <w:tc>
          <w:tcPr>
            <w:tcW w:w="3340" w:type="dxa"/>
            <w:vAlign w:val="bottom"/>
          </w:tcPr>
          <w:p>
            <w:pPr>
              <w:spacing w:after="0"/>
              <w:rPr>
                <w:sz w:val="4"/>
                <w:szCs w:val="4"/>
                <w:color w:val="auto"/>
              </w:rPr>
            </w:pPr>
          </w:p>
        </w:tc>
        <w:tc>
          <w:tcPr>
            <w:tcW w:w="3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43"/>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6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r>
      <w:tr>
        <w:trPr>
          <w:trHeight w:val="263"/>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2"/>
          </w:tcPr>
          <w:p>
            <w:pPr>
              <w:jc w:val="right"/>
              <w:ind w:right="77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40" w:type="dxa"/>
            <w:vAlign w:val="bottom"/>
          </w:tcPr>
          <w:p>
            <w:pPr>
              <w:jc w:val="right"/>
              <w:ind w:right="853"/>
              <w:spacing w:after="0"/>
              <w:rPr>
                <w:sz w:val="20"/>
                <w:szCs w:val="20"/>
                <w:color w:val="auto"/>
              </w:rPr>
            </w:pPr>
            <w:r>
              <w:rPr>
                <w:rFonts w:ascii="Arial" w:cs="Arial" w:eastAsia="Arial" w:hAnsi="Arial"/>
                <w:sz w:val="18"/>
                <w:szCs w:val="18"/>
                <w:color w:val="auto"/>
                <w:w w:val="79"/>
              </w:rPr>
              <w:t>$</w:t>
            </w:r>
          </w:p>
        </w:tc>
      </w:tr>
      <w:tr>
        <w:trPr>
          <w:trHeight w:val="20"/>
        </w:trPr>
        <w:tc>
          <w:tcPr>
            <w:tcW w:w="3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We have agreed to pay Maxim’s out-of-pocket accountable expenses, including Maxim’s legal fees, up to a maximum amount of $175,000, irrespective of whether the offering is consummated. We have paid $50,000 to Maxim as an advance to be applied towards reasonable out-of-pocket expenses (which we refer to as the Advance). Any portion of the Advance shall be returned back to us to the extent not actually incurred.</w:t>
      </w:r>
    </w:p>
    <w:p>
      <w:pPr>
        <w:spacing w:after="0" w:line="76"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We estimate that the total expenses of the offering payable by us, not including the underwriting discount, will be approximately $[___] million. We have also agreed to reimburse the underwriters for certain expenses incurred by them.</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Representative’s Warrants</w:t>
      </w:r>
    </w:p>
    <w:p>
      <w:pPr>
        <w:spacing w:after="0" w:line="162" w:lineRule="exact"/>
        <w:rPr>
          <w:sz w:val="20"/>
          <w:szCs w:val="20"/>
          <w:color w:val="auto"/>
        </w:rPr>
      </w:pPr>
    </w:p>
    <w:p>
      <w:pPr>
        <w:ind w:left="460" w:right="499" w:firstLine="432"/>
        <w:spacing w:after="0" w:line="283" w:lineRule="auto"/>
        <w:rPr>
          <w:sz w:val="20"/>
          <w:szCs w:val="20"/>
          <w:color w:val="auto"/>
        </w:rPr>
      </w:pPr>
      <w:r>
        <w:rPr>
          <w:rFonts w:ascii="Arial" w:cs="Arial" w:eastAsia="Arial" w:hAnsi="Arial"/>
          <w:sz w:val="16"/>
          <w:szCs w:val="16"/>
          <w:color w:val="auto"/>
        </w:rPr>
        <w:t>We have also agreed to issue to Maxim (or its permitted assignees) the warrants to purchase a number of our shares of common stock equal to an aggregate of 5% of the total number of shares of common stock sold in this offering (or Representative’s Warrants). The Representative’s Warrants will have an exercise price equal to 110% of the offering price of the shares of common stock sold in this offering and may be exercised on a cashless basis. The Representative’s Warrants are exercisable commencing six (6) months after the effective date of the registration statement related to this offering, and will expire five years after such effective date. The Representative’s Warrants are not redeemable by us. We have agreed to a one time demand registration of the shares of common stock underlying the Representative’s Warrants for a period of five years from the effective date of the registration statement related to this offering. The Representative’s Warrants also provide for unlimited “piggyback” registration rights at our expense with respect to the underlying shares of common stock during the five year period commencing from the effective date of the registration statement for this offering. The Representative’s Warrants and the shares of common stock underlying the Representative’s Warrants, have been deemed compensation by FINRA and are therefore subject to a 180-day lock-up pursuant to Rule 5110(g)</w:t>
      </w:r>
    </w:p>
    <w:p>
      <w:pPr>
        <w:spacing w:after="0" w:line="2" w:lineRule="exact"/>
        <w:rPr>
          <w:sz w:val="20"/>
          <w:szCs w:val="20"/>
          <w:color w:val="auto"/>
        </w:rPr>
      </w:pPr>
    </w:p>
    <w:p>
      <w:pPr>
        <w:ind w:left="460" w:right="479" w:hanging="6"/>
        <w:spacing w:after="0" w:line="287" w:lineRule="auto"/>
        <w:tabs>
          <w:tab w:leader="none" w:pos="7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of FINRA. The underwriters (or permitted assignees under the Rule) may not sell, transfer, assign, pledge or hypothecate the Representative’s Warrants or the securities underlying the Representative’s Warrants, nor will they engage in any hedging, short sale, derivative, put or call transaction that would result in the effective economic disposition of the Representative’s Warrants or the underlying securities for a period of 180 days from the effective date of this offering, except to any FINRA member participating in the offering and their bona fide officers or partners. The Representative’s Warrants will provide for adjustment in the number and price of such Representative’s Warrants (and the shares of common stock underlying such Representative’s Warrants) to prevent dilution in the event of a forward or reverse stock split, stock dividend or similar recapitalization.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 of First Refusal</w:t>
      </w:r>
    </w:p>
    <w:p>
      <w:pPr>
        <w:spacing w:after="0" w:line="162"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We have agreed to grant Maxim, for the twelve (12) month period following the effective date of the registration statement related to this offering, a right of first refusal to act as lead managing underwriter and book runner for any and all future public or private equity, equity-linked offerings during such twelve (12) month period by us, or any successor to or any subsidiary of our company subject to such procedures as agreed upon in the underwriting agreement.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48" w:lineRule="exact"/>
        <w:rPr>
          <w:sz w:val="20"/>
          <w:szCs w:val="20"/>
          <w:color w:val="auto"/>
        </w:rPr>
      </w:pPr>
    </w:p>
    <w:p>
      <w:pPr>
        <w:ind w:left="460" w:right="779" w:firstLine="432"/>
        <w:spacing w:after="0" w:line="259" w:lineRule="auto"/>
        <w:rPr>
          <w:sz w:val="20"/>
          <w:szCs w:val="20"/>
          <w:color w:val="auto"/>
        </w:rPr>
      </w:pPr>
      <w:r>
        <w:rPr>
          <w:rFonts w:ascii="Arial" w:cs="Arial" w:eastAsia="Arial" w:hAnsi="Arial"/>
          <w:sz w:val="18"/>
          <w:szCs w:val="18"/>
          <w:color w:val="auto"/>
        </w:rPr>
        <w:t>We and our directors, officers and holders of one percent (1%) or more of our outstanding shares of common stock as of the effective date of the registration statement related to this offering (and all holders of securities exercisable for or convertible into shares of common stock) shall enter into customary “lock-up” agreements in favor</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0" w:name="page101"/>
    <w:bookmarkEnd w:id="100"/>
    <w:p>
      <w:pPr>
        <w:ind w:left="460" w:right="559"/>
        <w:spacing w:after="0" w:line="257" w:lineRule="auto"/>
        <w:rPr>
          <w:sz w:val="20"/>
          <w:szCs w:val="20"/>
          <w:color w:val="auto"/>
        </w:rPr>
      </w:pPr>
      <w:r>
        <w:rPr>
          <w:rFonts w:ascii="Arial" w:cs="Arial" w:eastAsia="Arial" w:hAnsi="Arial"/>
          <w:sz w:val="18"/>
          <w:szCs w:val="18"/>
          <w:color w:val="auto"/>
        </w:rPr>
        <w:t>of Maxim pursuant to which such persons and entities shall agree, for a period of 180 days after the effective date of the registration statement related to this offering, that they shall neither offer, issue, sell, contract to sell, encumber, grant any option for the sale of or otherwise dispose of any of our securities without Maxim’s prior written consent, including the issuance of shares of common stock upon the exercise of currently outstanding convertible securities.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jc w:val="both"/>
        <w:ind w:left="460" w:right="1139" w:firstLine="432"/>
        <w:spacing w:after="0" w:line="311" w:lineRule="auto"/>
        <w:rPr>
          <w:sz w:val="20"/>
          <w:szCs w:val="20"/>
          <w:color w:val="auto"/>
        </w:rPr>
      </w:pPr>
      <w:r>
        <w:rPr>
          <w:rFonts w:ascii="Arial" w:cs="Arial" w:eastAsia="Arial" w:hAnsi="Arial"/>
          <w:sz w:val="16"/>
          <w:szCs w:val="16"/>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Relationships</w:t>
      </w:r>
    </w:p>
    <w:p>
      <w:pPr>
        <w:spacing w:after="0" w:line="162"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 Public Market</w:t>
      </w:r>
    </w:p>
    <w:p>
      <w:pPr>
        <w:spacing w:after="0" w:line="162"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Prior to this offering, there has not been a public market for our securities in the U.S. and the public offering price for our securities will be determined through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80" w:lineRule="exact"/>
        <w:rPr>
          <w:sz w:val="20"/>
          <w:szCs w:val="20"/>
          <w:color w:val="auto"/>
        </w:rPr>
      </w:pPr>
    </w:p>
    <w:p>
      <w:pPr>
        <w:jc w:val="both"/>
        <w:ind w:left="460" w:right="879" w:firstLine="432"/>
        <w:spacing w:after="0" w:line="263"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our securities will trade in the public market subsequent to this offering or that an active trading market for our securities will develop and continue after this offering.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Exchange</w:t>
      </w:r>
    </w:p>
    <w:p>
      <w:pPr>
        <w:spacing w:after="0" w:line="162"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We have applied to have our shares of common stock approved for listing on the NASDAQ Capital Market under the symbol “[___].”</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62" w:lineRule="exact"/>
        <w:rPr>
          <w:sz w:val="20"/>
          <w:szCs w:val="20"/>
          <w:color w:val="auto"/>
        </w:rPr>
      </w:pPr>
    </w:p>
    <w:p>
      <w:pPr>
        <w:ind w:left="460" w:right="939" w:firstLine="432"/>
        <w:spacing w:after="0" w:line="342" w:lineRule="auto"/>
        <w:rPr>
          <w:sz w:val="20"/>
          <w:szCs w:val="20"/>
          <w:color w:val="auto"/>
        </w:rPr>
      </w:pPr>
      <w:r>
        <w:rPr>
          <w:rFonts w:ascii="Arial" w:cs="Arial" w:eastAsia="Arial" w:hAnsi="Arial"/>
          <w:sz w:val="16"/>
          <w:szCs w:val="16"/>
          <w:color w:val="auto"/>
        </w:rPr>
        <w:t>In connection with this offering, the underwriters may engage in activities that stabilize, maintain or otherwise affect the price of our shares of common stock during and after this offering, including:</w:t>
      </w:r>
    </w:p>
    <w:p>
      <w:pPr>
        <w:spacing w:after="0" w:line="43" w:lineRule="exact"/>
        <w:rPr>
          <w:sz w:val="20"/>
          <w:szCs w:val="20"/>
          <w:color w:val="auto"/>
        </w:rPr>
      </w:pPr>
    </w:p>
    <w:p>
      <w:pPr>
        <w:ind w:left="1300" w:hanging="41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imposition of penalty bids;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syndicate covering transactions.</w:t>
      </w:r>
    </w:p>
    <w:p>
      <w:pPr>
        <w:spacing w:after="0" w:line="158" w:lineRule="exact"/>
        <w:rPr>
          <w:sz w:val="20"/>
          <w:szCs w:val="20"/>
          <w:color w:val="auto"/>
        </w:rPr>
      </w:pPr>
    </w:p>
    <w:p>
      <w:pPr>
        <w:ind w:left="460" w:right="599" w:firstLine="432"/>
        <w:spacing w:after="0" w:line="270" w:lineRule="auto"/>
        <w:rPr>
          <w:sz w:val="20"/>
          <w:szCs w:val="20"/>
          <w:color w:val="auto"/>
        </w:rPr>
      </w:pPr>
      <w:r>
        <w:rPr>
          <w:rFonts w:ascii="Arial" w:cs="Arial" w:eastAsia="Arial" w:hAnsi="Arial"/>
          <w:sz w:val="17"/>
          <w:szCs w:val="17"/>
          <w:color w:val="auto"/>
        </w:rPr>
        <w:t>Stabilizing transactions consist of bids or purchases made for the purpose of preventing or retarding a decline in the market price of our shares of common stock while this offering is in progress. Stabilization transactions permit bids to purchase the underlying security so long as the stabilizing bids do not exceed a specified maximum. These transactions may also include making short sales of our shares of common stock, which involve the sale by the underwriters of a greater number of shares of common stock than they are required to purchase in this offering and purchasing shares of common stock on the open market to cover short positions created by short sales.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right="459" w:firstLine="432"/>
        <w:spacing w:after="0" w:line="279" w:lineRule="auto"/>
        <w:rPr>
          <w:sz w:val="20"/>
          <w:szCs w:val="20"/>
          <w:color w:val="auto"/>
        </w:rPr>
      </w:pPr>
      <w:r>
        <w:rPr>
          <w:rFonts w:ascii="Arial" w:cs="Arial" w:eastAsia="Arial" w:hAnsi="Arial"/>
          <w:sz w:val="17"/>
          <w:szCs w:val="17"/>
          <w:color w:val="auto"/>
        </w:rPr>
        <w:t>The underwriters may close out any covered short position by either exercising their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90"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Naked short sales are short sales made in excess of the over-allotment option. The underwriters must close out any naked short position by purchasing shares in the open market. A naked short position is more likely to be created if the underwriters are concerned that there may be downward pressure on the price of the shares of common stock in the open market that could adversely affect investors who purchased in this offering.</w:t>
      </w:r>
    </w:p>
    <w:p>
      <w:pPr>
        <w:spacing w:after="0" w:line="90" w:lineRule="exact"/>
        <w:rPr>
          <w:sz w:val="20"/>
          <w:szCs w:val="20"/>
          <w:color w:val="auto"/>
        </w:rPr>
      </w:pPr>
    </w:p>
    <w:p>
      <w:pPr>
        <w:jc w:val="both"/>
        <w:ind w:left="460" w:right="599" w:firstLine="432"/>
        <w:spacing w:after="0" w:line="286" w:lineRule="auto"/>
        <w:rPr>
          <w:sz w:val="20"/>
          <w:szCs w:val="20"/>
          <w:color w:val="auto"/>
        </w:rPr>
      </w:pPr>
      <w:r>
        <w:rPr>
          <w:rFonts w:ascii="Arial" w:cs="Arial" w:eastAsia="Arial" w:hAnsi="Arial"/>
          <w:sz w:val="17"/>
          <w:szCs w:val="17"/>
          <w:color w:val="auto"/>
        </w:rPr>
        <w:t>The underwriters also may impose a penalty bid. This occurs when a particular underwriter repays to the underwriters a portion of the underwriting discount received by it because Maxim has repurchased shares sold by or for the account of that underwriter in stabilizing or short covering transactions.</w:t>
      </w:r>
    </w:p>
    <w:p>
      <w:pPr>
        <w:spacing w:after="0" w:line="9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These stabilizing transactions, short sales, purchases to cover positions created by short sales, the imposition of penalty bids and syndicate covering transactions may have the effect of raising or maintaining the market price of our common stock or preventing or retarding a decline in the market price of our common stock. As a result of these activities, the price of our common stock may be higher than the price that otherwise might exist in the open market. The underwriters may carry out these transactions on the NYSE American, in the over-the-counter market or otherwise. Neither we nor the underwriters make any representation or prediction as to the effect that the transactions described above may have on the price of the shares. Neither we, nor any of the underwriters make any representation that the underwriters will engage in these stabilization transactions or that any transaction, once commenced, will not be discontinued without notice.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48"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Prior to this offering, there was no public market for our shares of common stock. The initial public offering price will be determined by negotiation among us and Maxim. The principal factors to be considered in determining the initial public offering price include:</w:t>
      </w:r>
    </w:p>
    <w:p>
      <w:pPr>
        <w:spacing w:after="0" w:line="116" w:lineRule="exact"/>
        <w:rPr>
          <w:sz w:val="20"/>
          <w:szCs w:val="20"/>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Maxim;</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history and prospects and the history and prospects for the industry in which we compete;</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past and present financial performance;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prospects for future earnings and the present state of our development;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general condition of the securities market at the time of this offering;</w:t>
      </w:r>
    </w:p>
    <w:p>
      <w:pPr>
        <w:spacing w:after="0" w:line="144" w:lineRule="exact"/>
        <w:rPr>
          <w:rFonts w:ascii="Arial" w:cs="Arial" w:eastAsia="Arial" w:hAnsi="Arial"/>
          <w:sz w:val="18"/>
          <w:szCs w:val="18"/>
          <w:color w:val="auto"/>
        </w:rPr>
      </w:pPr>
    </w:p>
    <w:p>
      <w:pPr>
        <w:ind w:left="1320" w:right="1119" w:hanging="434"/>
        <w:spacing w:after="0" w:line="277" w:lineRule="auto"/>
        <w:tabs>
          <w:tab w:leader="none" w:pos="13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shares of generally comparable companies;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58"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The estimated public offering price range set forth on the cover page of this preliminary prospectus is subject to change as a result of market conditions and other factors. Neither we nor the underwriters can assure investors that an active trading market will develop for our shares of common stock or that the shares of common stock will trade in the public market at or above the initial public offering price.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Affiliations</w:t>
      </w:r>
    </w:p>
    <w:p>
      <w:pPr>
        <w:spacing w:after="0" w:line="14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right="579"/>
        <w:spacing w:after="0" w:line="279" w:lineRule="auto"/>
        <w:rPr>
          <w:sz w:val="20"/>
          <w:szCs w:val="20"/>
          <w:color w:val="auto"/>
        </w:rPr>
      </w:pPr>
      <w:r>
        <w:rPr>
          <w:rFonts w:ascii="Arial" w:cs="Arial" w:eastAsia="Arial" w:hAnsi="Arial"/>
          <w:sz w:val="17"/>
          <w:szCs w:val="17"/>
          <w:color w:val="auto"/>
        </w:rPr>
        <w:t>securities activities may involve securities and/or instruments of us. The underwriters and their respective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48"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162"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b w:val="1"/>
          <w:bCs w:val="1"/>
          <w:i w:val="1"/>
          <w:iCs w:val="1"/>
          <w:color w:val="auto"/>
        </w:rPr>
        <w:t>Canada</w:t>
      </w:r>
      <w:r>
        <w:rPr>
          <w:rFonts w:ascii="Arial" w:cs="Arial" w:eastAsia="Arial" w:hAnsi="Arial"/>
          <w:sz w:val="17"/>
          <w:szCs w:val="17"/>
          <w:color w:val="auto"/>
        </w:rPr>
        <w:t>. The securities may be sold in Canada only to purchasers purchasing, or deemed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purchasing, as principal that are accredited investors, as defined in National Instrument 45-106 </w:t>
      </w:r>
      <w:r>
        <w:rPr>
          <w:rFonts w:ascii="Arial" w:cs="Arial" w:eastAsia="Arial" w:hAnsi="Arial"/>
          <w:sz w:val="17"/>
          <w:szCs w:val="17"/>
          <w:i w:val="1"/>
          <w:iCs w:val="1"/>
          <w:color w:val="auto"/>
        </w:rPr>
        <w:t>Prospectus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Exemptions </w:t>
      </w:r>
      <w:r>
        <w:rPr>
          <w:rFonts w:ascii="Arial" w:cs="Arial" w:eastAsia="Arial" w:hAnsi="Arial"/>
          <w:sz w:val="17"/>
          <w:szCs w:val="17"/>
          <w:color w:val="auto"/>
        </w:rPr>
        <w:t>or subsection 73.3(1) of the Securities Act (Ontario), and are permitted clients, as defined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National Instrument 31 103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securities must be made in accordance with an exemption from, or in a transaction not subject to, the prospectus requirements of applicable securities laws.</w:t>
      </w:r>
    </w:p>
    <w:p>
      <w:pPr>
        <w:spacing w:after="0" w:line="110"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7"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 xml:space="preserve">Pursuant to section 3A.3 of National Instrument 33 105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33 105), the underwriters are not required to comply with the disclosure requirements of NI 33-105 regarding underwriters conflicts of interest in connection with this offering.</w:t>
      </w:r>
    </w:p>
    <w:p>
      <w:pPr>
        <w:spacing w:after="0" w:line="116"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b w:val="1"/>
          <w:bCs w:val="1"/>
          <w:i w:val="1"/>
          <w:iCs w:val="1"/>
          <w:color w:val="auto"/>
        </w:rPr>
        <w:t xml:space="preserve">European Economic Area. </w:t>
      </w:r>
      <w:r>
        <w:rPr>
          <w:rFonts w:ascii="Arial" w:cs="Arial" w:eastAsia="Arial" w:hAnsi="Arial"/>
          <w:sz w:val="17"/>
          <w:szCs w:val="17"/>
          <w:color w:val="auto"/>
        </w:rPr>
        <w:t>In relation to each Member State of the European Economic Area which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implemented the Prospectus Directive (each, a “Relevant Member State”) an offer to the public of any securities may not be made in that Relevant Member State, except that an offer to the public in that Relevant Member State of any securities may be made at any time under the following exemptions under the Prospectus Directive, if they have been implemented in that Relevant Member State:</w:t>
      </w:r>
    </w:p>
    <w:p>
      <w:pPr>
        <w:spacing w:after="0" w:line="109" w:lineRule="exact"/>
        <w:rPr>
          <w:sz w:val="20"/>
          <w:szCs w:val="20"/>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44" w:lineRule="exact"/>
        <w:rPr>
          <w:rFonts w:ascii="Arial" w:cs="Arial" w:eastAsia="Arial" w:hAnsi="Arial"/>
          <w:sz w:val="18"/>
          <w:szCs w:val="18"/>
          <w:color w:val="auto"/>
        </w:rPr>
      </w:pPr>
    </w:p>
    <w:p>
      <w:pPr>
        <w:ind w:left="1320" w:right="699" w:hanging="434"/>
        <w:spacing w:after="0" w:line="279" w:lineRule="auto"/>
        <w:tabs>
          <w:tab w:leader="none" w:pos="1311" w:val="left"/>
        </w:tabs>
        <w:numPr>
          <w:ilvl w:val="0"/>
          <w:numId w:val="58"/>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03" w:lineRule="exact"/>
        <w:rPr>
          <w:rFonts w:ascii="Arial" w:cs="Arial" w:eastAsia="Arial" w:hAnsi="Arial"/>
          <w:sz w:val="17"/>
          <w:szCs w:val="17"/>
          <w:color w:val="auto"/>
        </w:rPr>
      </w:pPr>
    </w:p>
    <w:p>
      <w:pPr>
        <w:jc w:val="both"/>
        <w:ind w:left="1320" w:right="559" w:hanging="434"/>
        <w:spacing w:after="0" w:line="263" w:lineRule="auto"/>
        <w:tabs>
          <w:tab w:leader="none" w:pos="13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result in a requirement for the publication by us or any underwriters of a prospectus pursuant to Article 3 of the Prospectus Directive.</w:t>
      </w:r>
    </w:p>
    <w:p>
      <w:pPr>
        <w:spacing w:after="0" w:line="116"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3" w:name="page104"/>
    <w:bookmarkEnd w:id="103"/>
    <w:p>
      <w:pPr>
        <w:ind w:left="460" w:right="619"/>
        <w:spacing w:after="0" w:line="259" w:lineRule="auto"/>
        <w:rPr>
          <w:sz w:val="20"/>
          <w:szCs w:val="20"/>
          <w:color w:val="auto"/>
        </w:rPr>
      </w:pPr>
      <w:r>
        <w:rPr>
          <w:rFonts w:ascii="Arial" w:cs="Arial" w:eastAsia="Arial" w:hAnsi="Arial"/>
          <w:sz w:val="18"/>
          <w:szCs w:val="18"/>
          <w:color w:val="auto"/>
        </w:rPr>
        <w:t>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06"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18"/>
          <w:szCs w:val="18"/>
          <w:b w:val="1"/>
          <w:bCs w:val="1"/>
          <w:i w:val="1"/>
          <w:iCs w:val="1"/>
          <w:color w:val="auto"/>
        </w:rPr>
        <w:t>United Kingdom.</w:t>
      </w:r>
      <w:r>
        <w:rPr>
          <w:sz w:val="20"/>
          <w:szCs w:val="20"/>
          <w:color w:val="auto"/>
        </w:rPr>
        <w:tab/>
      </w:r>
      <w:r>
        <w:rPr>
          <w:rFonts w:ascii="Arial" w:cs="Arial" w:eastAsia="Arial" w:hAnsi="Arial"/>
          <w:sz w:val="15"/>
          <w:szCs w:val="15"/>
          <w:color w:val="auto"/>
        </w:rPr>
        <w:t>Each underwriter has represented and agreed that:</w:t>
      </w:r>
    </w:p>
    <w:p>
      <w:pPr>
        <w:spacing w:after="0" w:line="158" w:lineRule="exact"/>
        <w:rPr>
          <w:sz w:val="20"/>
          <w:szCs w:val="20"/>
          <w:color w:val="auto"/>
        </w:rPr>
      </w:pPr>
    </w:p>
    <w:p>
      <w:pPr>
        <w:ind w:left="1320" w:right="519" w:hanging="434"/>
        <w:spacing w:after="0" w:line="257" w:lineRule="auto"/>
        <w:tabs>
          <w:tab w:leader="none" w:pos="13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Arial" w:cs="Arial" w:eastAsia="Arial" w:hAnsi="Arial"/>
          <w:sz w:val="18"/>
          <w:szCs w:val="18"/>
          <w:i w:val="1"/>
          <w:iCs w:val="1"/>
          <w:color w:val="auto"/>
        </w:rPr>
        <w:t>FSMA</w:t>
      </w:r>
      <w:r>
        <w:rPr>
          <w:rFonts w:ascii="Arial" w:cs="Arial" w:eastAsia="Arial" w:hAnsi="Arial"/>
          <w:sz w:val="18"/>
          <w:szCs w:val="18"/>
          <w:color w:val="auto"/>
        </w:rPr>
        <w:t>) received by it in connection with the issue or sale of the securities in circumstances in which Section 21(1) of the FSMA does not apply to us; and</w:t>
      </w:r>
    </w:p>
    <w:p>
      <w:pPr>
        <w:spacing w:after="0" w:line="120" w:lineRule="exact"/>
        <w:rPr>
          <w:rFonts w:ascii="Arial" w:cs="Arial" w:eastAsia="Arial" w:hAnsi="Arial"/>
          <w:sz w:val="18"/>
          <w:szCs w:val="18"/>
          <w:color w:val="auto"/>
        </w:rPr>
      </w:pPr>
    </w:p>
    <w:p>
      <w:pPr>
        <w:ind w:left="1320" w:right="479" w:hanging="434"/>
        <w:spacing w:after="0" w:line="342" w:lineRule="auto"/>
        <w:tabs>
          <w:tab w:leader="none" w:pos="1311" w:val="left"/>
        </w:tabs>
        <w:numPr>
          <w:ilvl w:val="0"/>
          <w:numId w:val="59"/>
        </w:numPr>
        <w:rPr>
          <w:rFonts w:ascii="Arial" w:cs="Arial" w:eastAsia="Arial" w:hAnsi="Arial"/>
          <w:sz w:val="16"/>
          <w:szCs w:val="16"/>
          <w:color w:val="auto"/>
        </w:rPr>
      </w:pPr>
      <w:r>
        <w:rPr>
          <w:rFonts w:ascii="Arial" w:cs="Arial" w:eastAsia="Arial" w:hAnsi="Arial"/>
          <w:sz w:val="16"/>
          <w:szCs w:val="16"/>
          <w:color w:val="auto"/>
        </w:rPr>
        <w:t>it has complied and will comply with all applicable provisions of the FSMA with respect to anything done by it in relation to the securities in, from or otherwise involving the United Kingdom.</w:t>
      </w:r>
    </w:p>
    <w:p>
      <w:pPr>
        <w:spacing w:after="0" w:line="43"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b w:val="1"/>
          <w:bCs w:val="1"/>
          <w:i w:val="1"/>
          <w:iCs w:val="1"/>
          <w:color w:val="auto"/>
        </w:rPr>
        <w:t xml:space="preserve">Switzerland. </w:t>
      </w:r>
      <w:r>
        <w:rPr>
          <w:rFonts w:ascii="Arial" w:cs="Arial" w:eastAsia="Arial" w:hAnsi="Arial"/>
          <w:sz w:val="16"/>
          <w:szCs w:val="16"/>
          <w:color w:val="auto"/>
        </w:rPr>
        <w:t>The securities may not be publicly offered in Switzerland and will not be listed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SIX Swiss Exchange (the </w:t>
      </w:r>
      <w:r>
        <w:rPr>
          <w:rFonts w:ascii="Arial" w:cs="Arial" w:eastAsia="Arial" w:hAnsi="Arial"/>
          <w:sz w:val="16"/>
          <w:szCs w:val="16"/>
          <w:i w:val="1"/>
          <w:iCs w:val="1"/>
          <w:color w:val="auto"/>
        </w:rPr>
        <w:t>SIX</w:t>
      </w:r>
      <w:r>
        <w:rPr>
          <w:rFonts w:ascii="Arial" w:cs="Arial" w:eastAsia="Arial" w:hAnsi="Arial"/>
          <w:sz w:val="16"/>
          <w:szCs w:val="16"/>
          <w:color w:val="auto"/>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9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Neither this document nor any other offering or marketing material relating to the offering,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w:t>
      </w:r>
      <w:r>
        <w:rPr>
          <w:rFonts w:ascii="Arial" w:cs="Arial" w:eastAsia="Arial" w:hAnsi="Arial"/>
          <w:sz w:val="17"/>
          <w:szCs w:val="17"/>
          <w:i w:val="1"/>
          <w:iCs w:val="1"/>
          <w:color w:val="auto"/>
        </w:rPr>
        <w:t>CISA</w:t>
      </w:r>
      <w:r>
        <w:rPr>
          <w:rFonts w:ascii="Arial" w:cs="Arial" w:eastAsia="Arial" w:hAnsi="Arial"/>
          <w:sz w:val="17"/>
          <w:szCs w:val="17"/>
          <w:color w:val="auto"/>
        </w:rPr>
        <w:t>).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securities.</w:t>
      </w:r>
    </w:p>
    <w:p>
      <w:pPr>
        <w:spacing w:after="0" w:line="113"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b w:val="1"/>
          <w:bCs w:val="1"/>
          <w:i w:val="1"/>
          <w:iCs w:val="1"/>
          <w:color w:val="auto"/>
        </w:rPr>
        <w:t xml:space="preserve">Australia. </w:t>
      </w:r>
      <w:r>
        <w:rPr>
          <w:rFonts w:ascii="Arial" w:cs="Arial" w:eastAsia="Arial" w:hAnsi="Arial"/>
          <w:sz w:val="18"/>
          <w:szCs w:val="18"/>
          <w:color w:val="auto"/>
        </w:rPr>
        <w:t>No placement document, prospectus, product disclosure statement or other disclosure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has been lodged with the Australian Securities and Investments Commission (</w:t>
      </w:r>
      <w:r>
        <w:rPr>
          <w:rFonts w:ascii="Arial" w:cs="Arial" w:eastAsia="Arial" w:hAnsi="Arial"/>
          <w:sz w:val="18"/>
          <w:szCs w:val="18"/>
          <w:i w:val="1"/>
          <w:iCs w:val="1"/>
          <w:color w:val="auto"/>
        </w:rPr>
        <w:t>ASIC</w:t>
      </w:r>
      <w:r>
        <w:rPr>
          <w:rFonts w:ascii="Arial" w:cs="Arial" w:eastAsia="Arial" w:hAnsi="Arial"/>
          <w:sz w:val="18"/>
          <w:szCs w:val="18"/>
          <w:color w:val="auto"/>
        </w:rPr>
        <w:t>), in relation to the offering.</w:t>
      </w:r>
    </w:p>
    <w:p>
      <w:pPr>
        <w:spacing w:after="0" w:line="103" w:lineRule="exact"/>
        <w:rPr>
          <w:sz w:val="20"/>
          <w:szCs w:val="20"/>
          <w:color w:val="auto"/>
        </w:rPr>
      </w:pPr>
    </w:p>
    <w:p>
      <w:pPr>
        <w:ind w:left="460" w:right="879" w:firstLine="432"/>
        <w:spacing w:after="0" w:line="259" w:lineRule="auto"/>
        <w:rPr>
          <w:sz w:val="20"/>
          <w:szCs w:val="20"/>
          <w:color w:val="auto"/>
        </w:rPr>
      </w:pPr>
      <w:r>
        <w:rPr>
          <w:rFonts w:ascii="Arial" w:cs="Arial" w:eastAsia="Arial" w:hAnsi="Arial"/>
          <w:sz w:val="18"/>
          <w:szCs w:val="18"/>
          <w:color w:val="auto"/>
        </w:rPr>
        <w:t xml:space="preserve">This prospectus does not constitute a prospectus, product disclosure statement or other disclosure document under the Corporations Act 2001 (the </w:t>
      </w:r>
      <w:r>
        <w:rPr>
          <w:rFonts w:ascii="Arial" w:cs="Arial" w:eastAsia="Arial" w:hAnsi="Arial"/>
          <w:sz w:val="18"/>
          <w:szCs w:val="18"/>
          <w:i w:val="1"/>
          <w:iCs w:val="1"/>
          <w:color w:val="auto"/>
        </w:rPr>
        <w:t>Corporations Act</w:t>
      </w:r>
      <w:r>
        <w:rPr>
          <w:rFonts w:ascii="Arial" w:cs="Arial" w:eastAsia="Arial" w:hAnsi="Arial"/>
          <w:sz w:val="18"/>
          <w:szCs w:val="18"/>
          <w:color w:val="auto"/>
        </w:rPr>
        <w:t>) and does not purport to include the information required for a prospectus, product disclosure statement or other disclosure document under the Corporations Act.</w:t>
      </w:r>
    </w:p>
    <w:p>
      <w:pPr>
        <w:spacing w:after="0" w:line="11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 xml:space="preserve">Any offer in Australia of the securities may only be made to persons (the </w:t>
      </w:r>
      <w:r>
        <w:rPr>
          <w:rFonts w:ascii="Arial" w:cs="Arial" w:eastAsia="Arial" w:hAnsi="Arial"/>
          <w:sz w:val="18"/>
          <w:szCs w:val="18"/>
          <w:i w:val="1"/>
          <w:iCs w:val="1"/>
          <w:color w:val="auto"/>
        </w:rPr>
        <w:t>Exempt Investors</w:t>
      </w:r>
      <w:r>
        <w:rPr>
          <w:rFonts w:ascii="Arial" w:cs="Arial" w:eastAsia="Arial" w:hAnsi="Arial"/>
          <w:sz w:val="18"/>
          <w:szCs w:val="18"/>
          <w:color w:val="auto"/>
        </w:rPr>
        <w:t>)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20"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11"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460" w:right="739" w:firstLine="432"/>
        <w:spacing w:after="0" w:line="263" w:lineRule="auto"/>
        <w:rPr>
          <w:sz w:val="20"/>
          <w:szCs w:val="20"/>
          <w:color w:val="auto"/>
        </w:rPr>
      </w:pPr>
      <w:r>
        <w:rPr>
          <w:rFonts w:ascii="Arial" w:cs="Arial" w:eastAsia="Arial" w:hAnsi="Arial"/>
          <w:sz w:val="18"/>
          <w:szCs w:val="18"/>
          <w:color w:val="auto"/>
        </w:rPr>
        <w:t>The validity of the shares of our common stock offered hereby has been passed upon for us by Loeb &amp; Loeb LLP, New York, NY. Ellenoff Grossman &amp; Schole LLP, New York, NY, is acting as counsel to the underwriters.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left="460" w:right="699" w:firstLine="432"/>
        <w:spacing w:after="0" w:line="275" w:lineRule="auto"/>
        <w:rPr>
          <w:sz w:val="20"/>
          <w:szCs w:val="20"/>
          <w:color w:val="auto"/>
        </w:rPr>
      </w:pPr>
      <w:r>
        <w:rPr>
          <w:rFonts w:ascii="Arial" w:cs="Arial" w:eastAsia="Arial" w:hAnsi="Arial"/>
          <w:sz w:val="17"/>
          <w:szCs w:val="17"/>
          <w:color w:val="auto"/>
        </w:rPr>
        <w:t>Marcum LLP, independent registered public accounting firm, has audited our financial statements at December 31, 2019 and 2018 as set forth in their report. We have included our financial statements in the prospectus and elsewhere in the registration statement in reliance on Marcum LLP’s report which includes an explanatory paragraph about the existence of substantial doubt concerning our ability to continue as a going concern, given on their authority as experts in accounting and auditing.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w:t>
      </w:r>
    </w:p>
    <w:p>
      <w:pPr>
        <w:spacing w:after="0" w:line="99"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 xml:space="preserve">You may read and copy all or any portion of the registration statement at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We also maintain a website at</w:t>
      </w:r>
      <w:r>
        <w:rPr>
          <w:rFonts w:ascii="Arial" w:cs="Arial" w:eastAsia="Arial" w:hAnsi="Arial"/>
          <w:sz w:val="16"/>
          <w:szCs w:val="16"/>
          <w:i w:val="1"/>
          <w:iCs w:val="1"/>
          <w:color w:val="auto"/>
        </w:rPr>
        <w:t xml:space="preserve"> www.agrify.com</w:t>
      </w:r>
      <w:r>
        <w:rPr>
          <w:rFonts w:ascii="Arial" w:cs="Arial" w:eastAsia="Arial" w:hAnsi="Arial"/>
          <w:sz w:val="16"/>
          <w:szCs w:val="16"/>
          <w:color w:val="auto"/>
        </w:rPr>
        <w:t>. The information contained on, or that can be</w:t>
      </w:r>
      <w:r>
        <w:rPr>
          <w:rFonts w:ascii="Arial" w:cs="Arial" w:eastAsia="Arial" w:hAnsi="Arial"/>
          <w:sz w:val="16"/>
          <w:szCs w:val="16"/>
          <w:i w:val="1"/>
          <w:iCs w:val="1"/>
          <w:color w:val="auto"/>
        </w:rPr>
        <w:t xml:space="preserve"> </w:t>
      </w:r>
      <w:r>
        <w:rPr>
          <w:rFonts w:ascii="Arial" w:cs="Arial" w:eastAsia="Arial" w:hAnsi="Arial"/>
          <w:sz w:val="16"/>
          <w:szCs w:val="16"/>
          <w:color w:val="auto"/>
        </w:rPr>
        <w:t>accessed through, our website is not part of, and is not incorporated into, this prospectus. We have included our website in this prospectus solely as an inactive textual reference, and you should not consider the contents of our website in making an investment decision with respect to our common stock. The registration statement, including all exhibits and amendments to the registration statement, has been filed electronically with the SEC.</w:t>
      </w:r>
    </w:p>
    <w:p>
      <w:pPr>
        <w:spacing w:after="0" w:line="83"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Upon completion of this offering, we will become subject to information and periodic reporting requirements of the Exchange Act and we will file annual, quarterly and current reports, proxy statements, and other information with the SEC.</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Years Ended December 31, 2019 and 2018:</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98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Independent Auditors’ Report</w:t>
              </w:r>
            </w:hyperlink>
          </w:p>
        </w:tc>
        <w:tc>
          <w:tcPr>
            <w:tcW w:w="11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8"/>
              </w:rPr>
              <w:t>F-2</w:t>
            </w:r>
          </w:p>
        </w:tc>
      </w:tr>
      <w:tr>
        <w:trPr>
          <w:trHeight w:val="243"/>
        </w:trPr>
        <w:tc>
          <w:tcPr>
            <w:tcW w:w="6980" w:type="dxa"/>
            <w:vAlign w:val="bottom"/>
            <w:gridSpan w:val="9"/>
          </w:tcPr>
          <w:p>
            <w:pPr>
              <w:spacing w:after="0"/>
              <w:rPr>
                <w:sz w:val="20"/>
                <w:szCs w:val="20"/>
                <w:color w:val="auto"/>
              </w:rPr>
            </w:pPr>
            <w:r>
              <w:rPr>
                <w:rFonts w:ascii="Arial" w:cs="Arial" w:eastAsia="Arial" w:hAnsi="Arial"/>
                <w:sz w:val="18"/>
                <w:szCs w:val="18"/>
                <w:color w:val="auto"/>
              </w:rPr>
              <w:t>Consolidated Financial Statements</w:t>
            </w:r>
          </w:p>
        </w:tc>
        <w:tc>
          <w:tcPr>
            <w:tcW w:w="11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800" w:type="dxa"/>
            <w:vAlign w:val="bottom"/>
            <w:tcBorders>
              <w:bottom w:val="single" w:sz="8" w:color="CCEEFF"/>
            </w:tcBorders>
            <w:gridSpan w:val="8"/>
            <w:shd w:val="clear" w:color="auto" w:fill="CCEEFF"/>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Consolidated Balance Sheets</w:t>
              </w:r>
            </w:hyperlink>
          </w:p>
        </w:tc>
        <w:tc>
          <w:tcPr>
            <w:tcW w:w="11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8"/>
              </w:rPr>
              <w:t>F-3</w:t>
            </w:r>
          </w:p>
        </w:tc>
      </w:tr>
      <w:tr>
        <w:trPr>
          <w:trHeight w:val="243"/>
        </w:trPr>
        <w:tc>
          <w:tcPr>
            <w:tcW w:w="180" w:type="dxa"/>
            <w:vAlign w:val="bottom"/>
          </w:tcPr>
          <w:p>
            <w:pPr>
              <w:spacing w:after="0"/>
              <w:rPr>
                <w:sz w:val="21"/>
                <w:szCs w:val="21"/>
                <w:color w:val="auto"/>
              </w:rPr>
            </w:pPr>
          </w:p>
        </w:tc>
        <w:tc>
          <w:tcPr>
            <w:tcW w:w="6800" w:type="dxa"/>
            <w:vAlign w:val="bottom"/>
            <w:gridSpan w:val="8"/>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Consolidated Statements of Operations</w:t>
              </w:r>
            </w:hyperlink>
          </w:p>
        </w:tc>
        <w:tc>
          <w:tcPr>
            <w:tcW w:w="1120" w:type="dxa"/>
            <w:vAlign w:val="bottom"/>
          </w:tcPr>
          <w:p>
            <w:pPr>
              <w:jc w:val="center"/>
              <w:ind w:left="70"/>
              <w:spacing w:after="0"/>
              <w:rPr>
                <w:sz w:val="20"/>
                <w:szCs w:val="20"/>
                <w:color w:val="auto"/>
              </w:rPr>
            </w:pPr>
            <w:r>
              <w:rPr>
                <w:rFonts w:ascii="Arial" w:cs="Arial" w:eastAsia="Arial" w:hAnsi="Arial"/>
                <w:sz w:val="18"/>
                <w:szCs w:val="18"/>
                <w:color w:val="auto"/>
                <w:w w:val="88"/>
              </w:rPr>
              <w:t>F-4</w:t>
            </w:r>
          </w:p>
        </w:tc>
      </w:tr>
      <w:tr>
        <w:trPr>
          <w:trHeight w:val="41"/>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800" w:type="dxa"/>
            <w:vAlign w:val="bottom"/>
            <w:tcBorders>
              <w:bottom w:val="single" w:sz="8" w:color="CCEEFF"/>
            </w:tcBorders>
            <w:gridSpan w:val="8"/>
            <w:shd w:val="clear" w:color="auto" w:fill="CCEEFF"/>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Consolidated Statements of Stockholders’ Equity Deficit</w:t>
              </w:r>
            </w:hyperlink>
          </w:p>
        </w:tc>
        <w:tc>
          <w:tcPr>
            <w:tcW w:w="11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8"/>
              </w:rPr>
              <w:t>F-5</w:t>
            </w:r>
          </w:p>
        </w:tc>
      </w:tr>
      <w:tr>
        <w:trPr>
          <w:trHeight w:val="243"/>
        </w:trPr>
        <w:tc>
          <w:tcPr>
            <w:tcW w:w="180" w:type="dxa"/>
            <w:vAlign w:val="bottom"/>
          </w:tcPr>
          <w:p>
            <w:pPr>
              <w:spacing w:after="0"/>
              <w:rPr>
                <w:sz w:val="21"/>
                <w:szCs w:val="21"/>
                <w:color w:val="auto"/>
              </w:rPr>
            </w:pPr>
          </w:p>
        </w:tc>
        <w:tc>
          <w:tcPr>
            <w:tcW w:w="6800" w:type="dxa"/>
            <w:vAlign w:val="bottom"/>
            <w:gridSpan w:val="8"/>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Consolidated Statements of Cash Flows</w:t>
              </w:r>
            </w:hyperlink>
          </w:p>
        </w:tc>
        <w:tc>
          <w:tcPr>
            <w:tcW w:w="1120" w:type="dxa"/>
            <w:vAlign w:val="bottom"/>
          </w:tcPr>
          <w:p>
            <w:pPr>
              <w:jc w:val="center"/>
              <w:ind w:left="70"/>
              <w:spacing w:after="0"/>
              <w:rPr>
                <w:sz w:val="20"/>
                <w:szCs w:val="20"/>
                <w:color w:val="auto"/>
              </w:rPr>
            </w:pPr>
            <w:r>
              <w:rPr>
                <w:rFonts w:ascii="Arial" w:cs="Arial" w:eastAsia="Arial" w:hAnsi="Arial"/>
                <w:sz w:val="18"/>
                <w:szCs w:val="18"/>
                <w:color w:val="auto"/>
                <w:w w:val="88"/>
              </w:rPr>
              <w:t>F-6</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698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Notes to Consolidated Financial Statements</w:t>
              </w:r>
            </w:hyperlink>
          </w:p>
        </w:tc>
        <w:tc>
          <w:tcPr>
            <w:tcW w:w="11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0"/>
              </w:rPr>
              <w:t>F-7 – F-19</w:t>
            </w:r>
          </w:p>
        </w:tc>
      </w:tr>
      <w:tr>
        <w:trPr>
          <w:trHeight w:val="283"/>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6980" w:type="dxa"/>
            <w:vAlign w:val="bottom"/>
            <w:gridSpan w:val="9"/>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Quarter Ended March 31, 2020</w:t>
            </w: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r>
      <w:tr>
        <w:trPr>
          <w:trHeight w:val="61"/>
        </w:trPr>
        <w:tc>
          <w:tcPr>
            <w:tcW w:w="1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06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r>
      <w:tr>
        <w:trPr>
          <w:trHeight w:val="243"/>
        </w:trPr>
        <w:tc>
          <w:tcPr>
            <w:tcW w:w="6980" w:type="dxa"/>
            <w:vAlign w:val="bottom"/>
            <w:gridSpan w:val="9"/>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1120" w:type="dxa"/>
            <w:vAlign w:val="bottom"/>
          </w:tcPr>
          <w:p>
            <w:pPr>
              <w:spacing w:after="0"/>
              <w:rPr>
                <w:sz w:val="21"/>
                <w:szCs w:val="21"/>
                <w:color w:val="auto"/>
              </w:rPr>
            </w:pPr>
          </w:p>
        </w:tc>
      </w:tr>
      <w:tr>
        <w:trPr>
          <w:trHeight w:val="41"/>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800" w:type="dxa"/>
            <w:vAlign w:val="bottom"/>
            <w:tcBorders>
              <w:bottom w:val="single" w:sz="8" w:color="CCEEFF"/>
            </w:tcBorders>
            <w:gridSpan w:val="8"/>
            <w:shd w:val="clear" w:color="auto" w:fill="CCEEFF"/>
          </w:tcPr>
          <w:p>
            <w:pPr>
              <w:spacing w:after="0"/>
              <w:rPr>
                <w:rFonts w:ascii="Arial" w:cs="Arial" w:eastAsia="Arial" w:hAnsi="Arial"/>
                <w:sz w:val="18"/>
                <w:szCs w:val="18"/>
                <w:u w:val="single" w:color="auto"/>
                <w:color w:val="0000EE"/>
                <w:w w:val="96"/>
              </w:rPr>
            </w:pPr>
            <w:hyperlink w:anchor="page125">
              <w:r>
                <w:rPr>
                  <w:rFonts w:ascii="Arial" w:cs="Arial" w:eastAsia="Arial" w:hAnsi="Arial"/>
                  <w:sz w:val="18"/>
                  <w:szCs w:val="18"/>
                  <w:u w:val="single" w:color="auto"/>
                  <w:color w:val="0000EE"/>
                  <w:w w:val="96"/>
                </w:rPr>
                <w:t>Condensed Consolidated Balance Sheets as of March 31, 2020 and December 31, 2019</w:t>
              </w:r>
            </w:hyperlink>
          </w:p>
        </w:tc>
        <w:tc>
          <w:tcPr>
            <w:tcW w:w="112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F-20</w:t>
            </w:r>
          </w:p>
        </w:tc>
      </w:tr>
      <w:tr>
        <w:trPr>
          <w:trHeight w:val="175"/>
        </w:trPr>
        <w:tc>
          <w:tcPr>
            <w:tcW w:w="180" w:type="dxa"/>
            <w:vAlign w:val="bottom"/>
          </w:tcPr>
          <w:p>
            <w:pPr>
              <w:spacing w:after="0"/>
              <w:rPr>
                <w:sz w:val="15"/>
                <w:szCs w:val="15"/>
                <w:color w:val="auto"/>
              </w:rPr>
            </w:pPr>
          </w:p>
        </w:tc>
        <w:tc>
          <w:tcPr>
            <w:tcW w:w="6520" w:type="dxa"/>
            <w:vAlign w:val="bottom"/>
            <w:tcBorders>
              <w:bottom w:val="single" w:sz="8" w:color="0000EE"/>
            </w:tcBorders>
            <w:gridSpan w:val="6"/>
          </w:tcPr>
          <w:p>
            <w:pPr>
              <w:spacing w:after="0" w:line="176" w:lineRule="exact"/>
              <w:rPr>
                <w:rFonts w:ascii="Arial" w:cs="Arial" w:eastAsia="Arial" w:hAnsi="Arial"/>
                <w:sz w:val="18"/>
                <w:szCs w:val="18"/>
                <w:color w:val="0000EE"/>
                <w:w w:val="89"/>
              </w:rPr>
            </w:pPr>
            <w:hyperlink w:anchor="page126">
              <w:r>
                <w:rPr>
                  <w:rFonts w:ascii="Arial" w:cs="Arial" w:eastAsia="Arial" w:hAnsi="Arial"/>
                  <w:sz w:val="18"/>
                  <w:szCs w:val="18"/>
                  <w:color w:val="0000EE"/>
                  <w:w w:val="89"/>
                </w:rPr>
                <w:t>Condensed Consolidated Statements of Operations for the Three Months Ended March 31,</w:t>
              </w:r>
            </w:hyperlink>
          </w:p>
        </w:tc>
        <w:tc>
          <w:tcPr>
            <w:tcW w:w="28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800" w:type="dxa"/>
            <w:vAlign w:val="bottom"/>
            <w:gridSpan w:val="8"/>
          </w:tcPr>
          <w:p>
            <w:pPr>
              <w:ind w:left="180"/>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2020 and 2019</w:t>
              </w:r>
            </w:hyperlink>
          </w:p>
        </w:tc>
        <w:tc>
          <w:tcPr>
            <w:tcW w:w="1120" w:type="dxa"/>
            <w:vAlign w:val="bottom"/>
          </w:tcPr>
          <w:p>
            <w:pPr>
              <w:jc w:val="center"/>
              <w:ind w:left="90"/>
              <w:spacing w:after="0" w:line="196" w:lineRule="exact"/>
              <w:rPr>
                <w:sz w:val="20"/>
                <w:szCs w:val="20"/>
                <w:color w:val="auto"/>
              </w:rPr>
            </w:pPr>
            <w:r>
              <w:rPr>
                <w:rFonts w:ascii="Arial" w:cs="Arial" w:eastAsia="Arial" w:hAnsi="Arial"/>
                <w:sz w:val="18"/>
                <w:szCs w:val="18"/>
                <w:color w:val="auto"/>
                <w:w w:val="91"/>
              </w:rPr>
              <w:t>F-21</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64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Condensed Consolidated Statements of Stockholders Equity for the Three Months Ended</w:t>
              </w:r>
            </w:hyperlink>
          </w:p>
        </w:tc>
        <w:tc>
          <w:tcPr>
            <w:tcW w:w="380" w:type="dxa"/>
            <w:vAlign w:val="bottom"/>
            <w:tcBorders>
              <w:bottom w:val="single" w:sz="8" w:color="CCEEFF"/>
            </w:tcBorders>
            <w:gridSpan w:val="3"/>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6800" w:type="dxa"/>
            <w:vAlign w:val="bottom"/>
            <w:gridSpan w:val="8"/>
            <w:shd w:val="clear" w:color="auto" w:fill="CCEEFF"/>
          </w:tcPr>
          <w:p>
            <w:pPr>
              <w:ind w:left="180"/>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March 31, 2020 and 2019</w:t>
              </w:r>
            </w:hyperlink>
          </w:p>
        </w:tc>
        <w:tc>
          <w:tcPr>
            <w:tcW w:w="1120" w:type="dxa"/>
            <w:vAlign w:val="bottom"/>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91"/>
              </w:rPr>
              <w:t>F-22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r>
      <w:tr>
        <w:trPr>
          <w:trHeight w:val="175"/>
        </w:trPr>
        <w:tc>
          <w:tcPr>
            <w:tcW w:w="180" w:type="dxa"/>
            <w:vAlign w:val="bottom"/>
          </w:tcPr>
          <w:p>
            <w:pPr>
              <w:spacing w:after="0"/>
              <w:rPr>
                <w:sz w:val="15"/>
                <w:szCs w:val="15"/>
                <w:color w:val="auto"/>
              </w:rPr>
            </w:pPr>
          </w:p>
        </w:tc>
        <w:tc>
          <w:tcPr>
            <w:tcW w:w="6580" w:type="dxa"/>
            <w:vAlign w:val="bottom"/>
            <w:tcBorders>
              <w:bottom w:val="single" w:sz="8" w:color="0000EE"/>
            </w:tcBorders>
            <w:gridSpan w:val="7"/>
          </w:tcPr>
          <w:p>
            <w:pPr>
              <w:spacing w:after="0" w:line="176" w:lineRule="exact"/>
              <w:rPr>
                <w:rFonts w:ascii="Arial" w:cs="Arial" w:eastAsia="Arial" w:hAnsi="Arial"/>
                <w:sz w:val="18"/>
                <w:szCs w:val="18"/>
                <w:color w:val="0000EE"/>
                <w:w w:val="89"/>
              </w:rPr>
            </w:pPr>
            <w:hyperlink w:anchor="page128">
              <w:r>
                <w:rPr>
                  <w:rFonts w:ascii="Arial" w:cs="Arial" w:eastAsia="Arial" w:hAnsi="Arial"/>
                  <w:sz w:val="18"/>
                  <w:szCs w:val="18"/>
                  <w:color w:val="0000EE"/>
                  <w:w w:val="89"/>
                </w:rPr>
                <w:t>Condensed Consolidated Statements of Cash Flows for the Three Months Ended March 31,</w:t>
              </w:r>
            </w:hyperlink>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800" w:type="dxa"/>
            <w:vAlign w:val="bottom"/>
            <w:gridSpan w:val="8"/>
          </w:tcPr>
          <w:p>
            <w:pPr>
              <w:ind w:left="180"/>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2020 and 2019</w:t>
              </w:r>
            </w:hyperlink>
          </w:p>
        </w:tc>
        <w:tc>
          <w:tcPr>
            <w:tcW w:w="1120" w:type="dxa"/>
            <w:vAlign w:val="bottom"/>
          </w:tcPr>
          <w:p>
            <w:pPr>
              <w:jc w:val="center"/>
              <w:ind w:left="90"/>
              <w:spacing w:after="0" w:line="196" w:lineRule="exact"/>
              <w:rPr>
                <w:sz w:val="20"/>
                <w:szCs w:val="20"/>
                <w:color w:val="auto"/>
              </w:rPr>
            </w:pPr>
            <w:r>
              <w:rPr>
                <w:rFonts w:ascii="Arial" w:cs="Arial" w:eastAsia="Arial" w:hAnsi="Arial"/>
                <w:sz w:val="18"/>
                <w:szCs w:val="18"/>
                <w:color w:val="auto"/>
                <w:w w:val="91"/>
              </w:rPr>
              <w:t>F-23</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63"/>
        </w:trPr>
        <w:tc>
          <w:tcPr>
            <w:tcW w:w="698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Notes to Condensed Consolidated Financial Statements (Unaudited)</w:t>
              </w:r>
            </w:hyperlink>
          </w:p>
        </w:tc>
        <w:tc>
          <w:tcPr>
            <w:tcW w:w="112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F-24 – F-36</w:t>
            </w:r>
          </w:p>
        </w:tc>
      </w:tr>
      <w:tr>
        <w:trPr>
          <w:trHeight w:val="392"/>
        </w:trPr>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4"/>
          </w:tcPr>
          <w:p>
            <w:pPr>
              <w:ind w:left="1600"/>
              <w:spacing w:after="0"/>
              <w:rPr>
                <w:sz w:val="20"/>
                <w:szCs w:val="20"/>
                <w:color w:val="auto"/>
              </w:rPr>
            </w:pPr>
            <w:r>
              <w:rPr>
                <w:rFonts w:ascii="Arial" w:cs="Arial" w:eastAsia="Arial" w:hAnsi="Arial"/>
                <w:sz w:val="18"/>
                <w:szCs w:val="18"/>
                <w:color w:val="auto"/>
              </w:rPr>
              <w:t>F-1</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06" w:name="page107"/>
    <w:bookmarkEnd w:id="106"/>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Agrify Corporation and Subsidiary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We have audited the accompanying consolidated balance sheets of Agrify Corporation and Subsidiary (the “Company”) as of December 31, 2019 and 2018, the related consolidated statements of operations, changes in stockholders’ deficit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and 2018,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Melville, 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19,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AGRIFY CORPORATION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Loan payable to related party</w:t>
            </w:r>
          </w:p>
        </w:tc>
        <w:tc>
          <w:tcPr>
            <w:tcW w:w="260" w:type="dxa"/>
            <w:vAlign w:val="bottom"/>
          </w:tcPr>
          <w:p>
            <w:pPr>
              <w:spacing w:after="0"/>
              <w:rPr>
                <w:sz w:val="22"/>
                <w:szCs w:val="22"/>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4,032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3,954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14)</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Common stock, 6,500,000 shares, $0.001 par value authorized as of</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December 31, 2019 and 2018; 5,720,000 and 3,680,000 shares issued</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at December 31, 2019 and 2018,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2,196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AGRIFY CORPORATION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560" w:type="dxa"/>
            <w:vAlign w:val="bottom"/>
            <w:tcBorders>
              <w:bottom w:val="single" w:sz="8" w:color="CCEEFF"/>
            </w:tcBorders>
          </w:tcPr>
          <w:p>
            <w:pPr>
              <w:spacing w:after="0"/>
              <w:rPr>
                <w:sz w:val="4"/>
                <w:szCs w:val="4"/>
                <w:color w:val="auto"/>
              </w:rPr>
            </w:pPr>
          </w:p>
        </w:tc>
        <w:tc>
          <w:tcPr>
            <w:tcW w:w="20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2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83"/>
        </w:trPr>
        <w:tc>
          <w:tcPr>
            <w:tcW w:w="3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77"/>
        </w:trPr>
        <w:tc>
          <w:tcPr>
            <w:tcW w:w="3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20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7"/>
        </w:trPr>
        <w:tc>
          <w:tcPr>
            <w:tcW w:w="3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
        </w:trPr>
        <w:tc>
          <w:tcPr>
            <w:tcW w:w="35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2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180"/>
              <w:spacing w:after="0"/>
              <w:rPr>
                <w:sz w:val="20"/>
                <w:szCs w:val="20"/>
                <w:color w:val="auto"/>
              </w:rPr>
            </w:pPr>
            <w:r>
              <w:rPr>
                <w:rFonts w:ascii="Arial" w:cs="Arial" w:eastAsia="Arial" w:hAnsi="Arial"/>
                <w:sz w:val="18"/>
                <w:szCs w:val="18"/>
                <w:color w:val="auto"/>
              </w:rPr>
              <w:t>Total operating expenses</w:t>
            </w: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vMerge w:val="continue"/>
          </w:tcPr>
          <w:p>
            <w:pPr>
              <w:spacing w:after="0"/>
              <w:rPr>
                <w:sz w:val="20"/>
                <w:szCs w:val="20"/>
                <w:color w:val="auto"/>
              </w:rPr>
            </w:pP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56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60" w:type="dxa"/>
            <w:vAlign w:val="bottom"/>
          </w:tcPr>
          <w:p>
            <w:pPr>
              <w:spacing w:after="0"/>
              <w:rPr>
                <w:sz w:val="20"/>
                <w:szCs w:val="20"/>
                <w:color w:val="auto"/>
              </w:rPr>
            </w:pPr>
            <w:r>
              <w:rPr>
                <w:rFonts w:ascii="Arial" w:cs="Arial" w:eastAsia="Arial" w:hAnsi="Arial"/>
                <w:sz w:val="18"/>
                <w:szCs w:val="18"/>
                <w:color w:val="auto"/>
              </w:rPr>
              <w:t>Operating loss</w:t>
            </w:r>
          </w:p>
        </w:tc>
        <w:tc>
          <w:tcPr>
            <w:tcW w:w="2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56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60" w:type="dxa"/>
            <w:vAlign w:val="bottom"/>
          </w:tcPr>
          <w:p>
            <w:pPr>
              <w:spacing w:after="0"/>
              <w:rPr>
                <w:sz w:val="20"/>
                <w:szCs w:val="20"/>
                <w:color w:val="auto"/>
              </w:rPr>
            </w:pPr>
            <w:r>
              <w:rPr>
                <w:rFonts w:ascii="Arial" w:cs="Arial" w:eastAsia="Arial" w:hAnsi="Arial"/>
                <w:sz w:val="18"/>
                <w:szCs w:val="18"/>
                <w:color w:val="auto"/>
              </w:rPr>
              <w:t>Miscellaneous income, net</w:t>
            </w:r>
          </w:p>
        </w:tc>
        <w:tc>
          <w:tcPr>
            <w:tcW w:w="2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56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0"/>
                <w:szCs w:val="20"/>
                <w:color w:val="auto"/>
              </w:rPr>
            </w:pPr>
            <w:r>
              <w:rPr>
                <w:rFonts w:ascii="Arial" w:cs="Arial" w:eastAsia="Arial" w:hAnsi="Arial"/>
                <w:sz w:val="18"/>
                <w:szCs w:val="18"/>
                <w:color w:val="auto"/>
              </w:rPr>
              <w:t>Net loss</w:t>
            </w:r>
          </w:p>
        </w:tc>
        <w:tc>
          <w:tcPr>
            <w:tcW w:w="204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(3,042)</w:t>
            </w:r>
          </w:p>
        </w:tc>
        <w:tc>
          <w:tcPr>
            <w:tcW w:w="100" w:type="dxa"/>
            <w:vAlign w:val="bottom"/>
          </w:tcPr>
          <w:p>
            <w:pPr>
              <w:spacing w:after="0"/>
              <w:rPr>
                <w:sz w:val="22"/>
                <w:szCs w:val="22"/>
                <w:color w:val="auto"/>
              </w:rPr>
            </w:pPr>
          </w:p>
        </w:tc>
        <w:tc>
          <w:tcPr>
            <w:tcW w:w="400" w:type="dxa"/>
            <w:vAlign w:val="bottom"/>
            <w:gridSpan w:val="2"/>
          </w:tcPr>
          <w:p>
            <w:pPr>
              <w:jc w:val="right"/>
              <w:ind w:right="269"/>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240" w:type="dxa"/>
            <w:vAlign w:val="bottom"/>
            <w:gridSpan w:val="8"/>
          </w:tcPr>
          <w:p>
            <w:pPr>
              <w:ind w:left="900"/>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5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jc w:val="right"/>
              <w:ind w:right="1610"/>
              <w:spacing w:after="0"/>
              <w:rPr>
                <w:sz w:val="20"/>
                <w:szCs w:val="20"/>
                <w:color w:val="auto"/>
              </w:rPr>
            </w:pPr>
            <w:r>
              <w:rPr>
                <w:rFonts w:ascii="Arial" w:cs="Arial" w:eastAsia="Arial" w:hAnsi="Arial"/>
                <w:sz w:val="18"/>
                <w:szCs w:val="18"/>
                <w:color w:val="auto"/>
              </w:rPr>
              <w:t>F-4</w:t>
            </w: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09" w:name="page110"/>
    <w:bookmarkEnd w:id="109"/>
    <w:p>
      <w:pPr>
        <w:jc w:val="center"/>
        <w:ind w:left="460" w:right="459"/>
        <w:spacing w:after="0" w:line="266" w:lineRule="auto"/>
        <w:rPr>
          <w:sz w:val="20"/>
          <w:szCs w:val="20"/>
          <w:color w:val="auto"/>
        </w:rPr>
      </w:pPr>
      <w:r>
        <w:rPr>
          <w:rFonts w:ascii="Arial" w:cs="Arial" w:eastAsia="Arial" w:hAnsi="Arial"/>
          <w:sz w:val="18"/>
          <w:szCs w:val="18"/>
          <w:b w:val="1"/>
          <w:bCs w:val="1"/>
          <w:color w:val="auto"/>
        </w:rPr>
        <w:t>AGRIFY CORPORATION AND SUBSIDIARY CONSOLIDATED STATEMENTS STOCKHOLDERS’ EQUITY DEFICIT (In thousands, except share amounts)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30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b w:val="1"/>
                <w:bCs w:val="1"/>
                <w:color w:val="auto"/>
              </w:rPr>
              <w:t>Additional</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75"/>
        </w:trPr>
        <w:tc>
          <w:tcPr>
            <w:tcW w:w="2460" w:type="dxa"/>
            <w:vAlign w:val="bottom"/>
          </w:tcPr>
          <w:p>
            <w:pPr>
              <w:spacing w:after="0"/>
              <w:rPr>
                <w:sz w:val="6"/>
                <w:szCs w:val="6"/>
                <w:color w:val="auto"/>
              </w:rPr>
            </w:pPr>
          </w:p>
        </w:tc>
        <w:tc>
          <w:tcPr>
            <w:tcW w:w="130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Paid-In</w:t>
            </w:r>
          </w:p>
        </w:tc>
        <w:tc>
          <w:tcPr>
            <w:tcW w:w="9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89"/>
              </w:rPr>
              <w:t>Subscription</w:t>
            </w:r>
          </w:p>
        </w:tc>
        <w:tc>
          <w:tcPr>
            <w:tcW w:w="100" w:type="dxa"/>
            <w:vAlign w:val="bottom"/>
          </w:tcPr>
          <w:p>
            <w:pPr>
              <w:spacing w:after="0"/>
              <w:rPr>
                <w:sz w:val="6"/>
                <w:szCs w:val="6"/>
                <w:color w:val="auto"/>
              </w:rPr>
            </w:pPr>
          </w:p>
        </w:tc>
        <w:tc>
          <w:tcPr>
            <w:tcW w:w="94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restart"/>
          </w:tcPr>
          <w:p>
            <w:pPr>
              <w:jc w:val="center"/>
              <w:ind w:right="21"/>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46"/>
        </w:trPr>
        <w:tc>
          <w:tcPr>
            <w:tcW w:w="24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18"/>
                <w:szCs w:val="18"/>
                <w:color w:val="auto"/>
              </w:rPr>
            </w:pPr>
          </w:p>
        </w:tc>
        <w:tc>
          <w:tcPr>
            <w:tcW w:w="76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Arial" w:cs="Arial" w:eastAsia="Arial" w:hAnsi="Arial"/>
                <w:sz w:val="16"/>
                <w:szCs w:val="16"/>
                <w:b w:val="1"/>
                <w:bCs w:val="1"/>
                <w:color w:val="auto"/>
              </w:rPr>
              <w:t>Capital</w:t>
            </w:r>
          </w:p>
        </w:tc>
        <w:tc>
          <w:tcPr>
            <w:tcW w:w="920" w:type="dxa"/>
            <w:vAlign w:val="bottom"/>
            <w:gridSpan w:val="3"/>
          </w:tcPr>
          <w:p>
            <w:pPr>
              <w:ind w:left="100"/>
              <w:spacing w:after="0"/>
              <w:rPr>
                <w:sz w:val="20"/>
                <w:szCs w:val="20"/>
                <w:color w:val="auto"/>
              </w:rPr>
            </w:pPr>
            <w:r>
              <w:rPr>
                <w:rFonts w:ascii="Arial" w:cs="Arial" w:eastAsia="Arial" w:hAnsi="Arial"/>
                <w:sz w:val="16"/>
                <w:szCs w:val="16"/>
                <w:b w:val="1"/>
                <w:bCs w:val="1"/>
                <w:color w:val="auto"/>
                <w:w w:val="95"/>
              </w:rPr>
              <w:t>Receivable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46"/>
        </w:trPr>
        <w:tc>
          <w:tcPr>
            <w:tcW w:w="24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2018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3,680,000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43"/>
        </w:trPr>
        <w:tc>
          <w:tcPr>
            <w:tcW w:w="2460" w:type="dxa"/>
            <w:vAlign w:val="bottom"/>
          </w:tcPr>
          <w:p>
            <w:pPr>
              <w:ind w:left="180"/>
              <w:spacing w:after="0"/>
              <w:rPr>
                <w:sz w:val="20"/>
                <w:szCs w:val="20"/>
                <w:color w:val="auto"/>
              </w:rPr>
            </w:pPr>
            <w:r>
              <w:rPr>
                <w:rFonts w:ascii="Arial" w:cs="Arial" w:eastAsia="Arial" w:hAnsi="Arial"/>
                <w:sz w:val="18"/>
                <w:szCs w:val="18"/>
                <w:color w:val="auto"/>
                <w:w w:val="99"/>
              </w:rPr>
              <w:t>Conversion of notes payable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41"/>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(1,014)</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4"/>
        </w:trPr>
        <w:tc>
          <w:tcPr>
            <w:tcW w:w="2460" w:type="dxa"/>
            <w:vAlign w:val="bottom"/>
          </w:tcPr>
          <w:p>
            <w:pPr>
              <w:spacing w:after="0"/>
              <w:rPr>
                <w:sz w:val="20"/>
                <w:szCs w:val="20"/>
                <w:color w:val="auto"/>
              </w:rPr>
            </w:pPr>
            <w:r>
              <w:rPr>
                <w:rFonts w:ascii="Arial" w:cs="Arial" w:eastAsia="Arial" w:hAnsi="Arial"/>
                <w:sz w:val="18"/>
                <w:szCs w:val="18"/>
                <w:b w:val="1"/>
                <w:bCs w:val="1"/>
                <w:color w:val="auto"/>
              </w:rPr>
              <w:t>Balance, December 31, 2018</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3,680,000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246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2,040,000</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3,924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40"/>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24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(3,042)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5,720,000</w:t>
            </w:r>
          </w:p>
        </w:tc>
        <w:tc>
          <w:tcPr>
            <w:tcW w:w="480" w:type="dxa"/>
            <w:vAlign w:val="bottom"/>
            <w:gridSpan w:val="2"/>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AGRIFY CORPORATION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For the 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(3,042)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Adjustments to reconcile net loss to net cash provided by (used in) operating</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in connection with the issuance of stock options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Non-cash 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(3,441</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80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FLOWS FROM FINANCING ACTIVITIES:</w:t>
      </w:r>
    </w:p>
    <w:p>
      <w:pPr>
        <w:sectPr>
          <w:pgSz w:w="11900" w:h="16838" w:orient="portrait"/>
          <w:cols w:equalWidth="0" w:num="1">
            <w:col w:w="9019"/>
          </w:cols>
          <w:pgMar w:left="1440" w:top="337" w:right="1440" w:bottom="1440" w:gutter="0" w:footer="0" w:header="0"/>
        </w:sectPr>
      </w:pPr>
    </w:p>
    <w:p>
      <w:pPr>
        <w:spacing w:after="0" w:line="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Proceeds from issuance of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Repayment of loan with a related party</w:t>
      </w:r>
    </w:p>
    <w:p>
      <w:pPr>
        <w:spacing w:after="0" w:line="77" w:lineRule="exact"/>
        <w:rPr>
          <w:sz w:val="20"/>
          <w:szCs w:val="20"/>
          <w:color w:val="auto"/>
        </w:rPr>
      </w:pPr>
    </w:p>
    <w:p>
      <w:pPr>
        <w:jc w:val="right"/>
        <w:ind w:right="160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968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left="580"/>
        <w:spacing w:after="0"/>
        <w:tabs>
          <w:tab w:leader="none" w:pos="2120" w:val="left"/>
        </w:tabs>
        <w:rPr>
          <w:sz w:val="20"/>
          <w:szCs w:val="20"/>
          <w:color w:val="auto"/>
        </w:rPr>
      </w:pPr>
      <w:r>
        <w:rPr>
          <w:rFonts w:ascii="Arial" w:cs="Arial" w:eastAsia="Arial" w:hAnsi="Arial"/>
          <w:sz w:val="18"/>
          <w:szCs w:val="18"/>
          <w:color w:val="auto"/>
        </w:rPr>
        <w:t>3,879</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jc w:val="right"/>
        <w:ind w:right="619"/>
        <w:spacing w:after="0"/>
        <w:tabs>
          <w:tab w:leader="none" w:pos="1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14827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70" w:lineRule="exact"/>
        <w:rPr>
          <w:sz w:val="20"/>
          <w:szCs w:val="20"/>
          <w:color w:val="auto"/>
        </w:rPr>
      </w:pPr>
    </w:p>
    <w:p>
      <w:pPr>
        <w:jc w:val="both"/>
        <w:ind w:left="580"/>
        <w:spacing w:after="0"/>
        <w:tabs>
          <w:tab w:leader="none" w:pos="2120" w:val="left"/>
        </w:tabs>
        <w:rPr>
          <w:sz w:val="20"/>
          <w:szCs w:val="20"/>
          <w:color w:val="auto"/>
        </w:rPr>
      </w:pPr>
      <w:r>
        <w:rPr>
          <w:rFonts w:ascii="Arial" w:cs="Arial" w:eastAsia="Arial" w:hAnsi="Arial"/>
          <w:sz w:val="18"/>
          <w:szCs w:val="18"/>
          <w:color w:val="auto"/>
        </w:rPr>
        <w:t>3,746</w:t>
      </w:r>
      <w:r>
        <w:rPr>
          <w:sz w:val="20"/>
          <w:szCs w:val="20"/>
          <w:color w:val="auto"/>
        </w:rPr>
        <w:tab/>
      </w:r>
      <w:r>
        <w:rPr>
          <w:rFonts w:ascii="Arial" w:cs="Arial" w:eastAsia="Arial" w:hAnsi="Arial"/>
          <w:sz w:val="18"/>
          <w:szCs w:val="18"/>
          <w:color w:val="auto"/>
        </w:rPr>
        <w:t>—</w:t>
      </w:r>
    </w:p>
    <w:p>
      <w:pPr>
        <w:spacing w:after="0" w:line="360" w:lineRule="exact"/>
        <w:rPr>
          <w:sz w:val="20"/>
          <w:szCs w:val="20"/>
          <w:color w:val="auto"/>
        </w:rPr>
      </w:pPr>
    </w:p>
    <w:p>
      <w:pPr>
        <w:jc w:val="both"/>
        <w:ind w:left="720"/>
        <w:spacing w:after="0"/>
        <w:tabs>
          <w:tab w:leader="none" w:pos="21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49</w:t>
      </w:r>
    </w:p>
    <w:p>
      <w:pPr>
        <w:spacing w:after="0" w:line="374" w:lineRule="exact"/>
        <w:rPr>
          <w:sz w:val="20"/>
          <w:szCs w:val="20"/>
          <w:color w:val="auto"/>
        </w:rPr>
      </w:pPr>
    </w:p>
    <w:p>
      <w:pPr>
        <w:jc w:val="both"/>
        <w:ind w:left="800"/>
        <w:spacing w:after="0"/>
        <w:tabs>
          <w:tab w:leader="none" w:pos="21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36</w:t>
      </w:r>
    </w:p>
    <w:p>
      <w:pPr>
        <w:spacing w:after="0" w:line="374" w:lineRule="exact"/>
        <w:rPr>
          <w:sz w:val="20"/>
          <w:szCs w:val="20"/>
          <w:color w:val="auto"/>
        </w:rPr>
      </w:pPr>
    </w:p>
    <w:p>
      <w:pPr>
        <w:spacing w:after="0"/>
        <w:tabs>
          <w:tab w:leader="none" w:pos="700" w:val="left"/>
          <w:tab w:leader="none" w:pos="1200" w:val="left"/>
          <w:tab w:leader="none" w:pos="2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206</w:t>
        <w:tab/>
        <w:t>$</w:t>
      </w:r>
      <w:r>
        <w:rPr>
          <w:sz w:val="20"/>
          <w:szCs w:val="20"/>
          <w:color w:val="auto"/>
        </w:rPr>
        <w:tab/>
      </w: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4827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337" w:right="1440" w:bottom="1440" w:gutter="0" w:footer="0" w:header="0"/>
          <w:type w:val="continuous"/>
        </w:sectPr>
      </w:pP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84"/>
        </w:trPr>
        <w:tc>
          <w:tcPr>
            <w:tcW w:w="488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97"/>
        </w:trPr>
        <w:tc>
          <w:tcPr>
            <w:tcW w:w="488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11,091</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-342265</wp:posOffset>
            </wp:positionV>
            <wp:extent cx="5143500"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8890</wp:posOffset>
            </wp:positionV>
            <wp:extent cx="148272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11" w:name="page112"/>
    <w:bookmarkEnd w:id="111"/>
    <w:p>
      <w:pPr>
        <w:jc w:val="center"/>
        <w:ind w:left="1920" w:right="166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Nature of Business</w:t>
      </w:r>
    </w:p>
    <w:p>
      <w:pPr>
        <w:spacing w:after="0" w:line="162"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Principles of Consolidation</w:t>
      </w:r>
    </w:p>
    <w:p>
      <w:pPr>
        <w:spacing w:after="0" w:line="148" w:lineRule="exact"/>
        <w:rPr>
          <w:sz w:val="20"/>
          <w:szCs w:val="20"/>
          <w:color w:val="auto"/>
        </w:rPr>
      </w:pPr>
    </w:p>
    <w:p>
      <w:pPr>
        <w:ind w:left="460" w:right="599" w:firstLine="432"/>
        <w:spacing w:after="0" w:line="301"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 and include the accounts of the Company and its wholly owned subsidiary, AGM Service Corp Inc. All significant intercompany accounts and transactions have been eliminated in the preparation of the consolidated financial statements.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Going Concern and Management’s Plan</w:t>
      </w:r>
    </w:p>
    <w:p>
      <w:pPr>
        <w:spacing w:after="0" w:line="162"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116"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Since its inception, the Company has funded its operations primarily with cash flows from product sales and proceeds from sales of common stock (including proceeds from convertible debt, which converted into common stock). The Company has not historically generated sufficient income to fund operations, including a net loss of $3,042 and net income of $1,014 for the years ended December 31, 2019 and 2018, respectively. The Company expects to generate net income and cash flow from operating activities in the foreseeable future. During January 2020, the Company issued 55,000 shares of Series A Convertible Preferred Stock for a total $5,500,000 reflecting a per share price of $100 (see additional information in Note 12). As of the date of issuance of the annual consolidated financial statements for the year ended December 31, 2019, the Company expects that its cash and cash equivalents of $206 as of December 31, 2019 and the additional capital from the issuance of the Series A Convertible Preferred Stock would be sufficient to fund its operating expenses, capital expenditure requirements for the foreseeable future. The future viability of the Company beyond that point is dependent on its ability to increase sales sufficiently to fund operations or raise additional capital to finance its operations.</w:t>
      </w:r>
    </w:p>
    <w:p>
      <w:pPr>
        <w:spacing w:after="0" w:line="105"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product portfolio expansion or commercialization efforts and research and development programs,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25"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Based on its recurring losses from operations incurred or insufficient income to fund operations since inception, expectation of continuing operating losses for the foreseeable future, and need to raise additional capital to finance its future operations, the Company has concluded that there is substantial doubt about its ability to continue as a going concern within one year after the date that the consolidated financial statements are issued.</w:t>
      </w:r>
    </w:p>
    <w:p>
      <w:pPr>
        <w:spacing w:after="0" w:line="120"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2" w:name="page113"/>
    <w:bookmarkEnd w:id="112"/>
    <w:p>
      <w:pPr>
        <w:jc w:val="center"/>
        <w:ind w:left="1920" w:right="166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619" w:firstLine="432"/>
        <w:spacing w:after="0" w:line="289"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and its Subsidiary’s, fiscal year ends on December 31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Cash and cash equivalents consist principally of cash and deposits with maturities of three months or less as December 31, 2019 and 2018.</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162"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Financial instruments that potentially subject the Company to concentration of credit risk primarily consist of cash, cash equivalents, and accounts receivable. The Company places its cash with financial institutions in the United States. The cash balances are insured by the FDIC up to $250 per depositor with unlimited insurance for funds in noninterest-bearing transaction accounts through December 31, 2019. At times, the amounts in these accounts may exceed the federally insured limits. Revenue is primarily from product sales and royalty revenue. Two customers represented 99% and one customer represented 95% of total sales for the years ended December 31, 2019 and 2018, respectively.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2019 and 2018 are $0 and $0, respectively. No allowance for doubtful accounts was deemed necessary as of December 31, 2019 and 2018. There was no bad debt expense for 2019 and 2018.</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Inventories, which are stated at the lower of cost or net realizable value, consist primarily of supplies.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is determined using the weighted average method.</w:t>
      </w:r>
    </w:p>
    <w:p>
      <w:pPr>
        <w:spacing w:after="0" w:line="143" w:lineRule="exact"/>
        <w:rPr>
          <w:sz w:val="20"/>
          <w:szCs w:val="20"/>
          <w:color w:val="auto"/>
        </w:rPr>
      </w:pPr>
    </w:p>
    <w:p>
      <w:pPr>
        <w:jc w:val="both"/>
        <w:ind w:left="460" w:right="679" w:firstLine="432"/>
        <w:spacing w:after="0" w:line="263" w:lineRule="auto"/>
        <w:rPr>
          <w:sz w:val="20"/>
          <w:szCs w:val="20"/>
          <w:color w:val="auto"/>
        </w:rPr>
      </w:pPr>
      <w:r>
        <w:rPr>
          <w:rFonts w:ascii="Arial" w:cs="Arial" w:eastAsia="Arial" w:hAnsi="Arial"/>
          <w:sz w:val="18"/>
          <w:szCs w:val="18"/>
          <w:color w:val="auto"/>
        </w:rPr>
        <w:t>The Company purchased various equipment from 4D Bios Inc. (“4D”), which totalled $1,393 and $0 in 2019 and 2018, respectively. A member of the Company’s board and the Company’s Chief Executive Officer both had ownership interests and were board members of 4D.</w:t>
      </w:r>
    </w:p>
    <w:p>
      <w:pPr>
        <w:spacing w:after="0" w:line="103"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On June 7, 2019, the Company entered into a distribution agreement with Bluezone Products, Inc. (“Bluezone”) for distribution rights to the Bluezone products with certain exclusivity rights. The agreement requires minimum purchases amounting to $480 and $570 for the first and second contract anniversary years. The agreement auto renews for successive one year periods unless earlier terminated. The Company purchased approximately $318</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3" w:name="page114"/>
    <w:bookmarkEnd w:id="113"/>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79"/>
        <w:spacing w:after="0" w:line="308" w:lineRule="auto"/>
        <w:rPr>
          <w:sz w:val="20"/>
          <w:szCs w:val="20"/>
          <w:color w:val="auto"/>
        </w:rPr>
      </w:pPr>
      <w:r>
        <w:rPr>
          <w:rFonts w:ascii="Arial" w:cs="Arial" w:eastAsia="Arial" w:hAnsi="Arial"/>
          <w:sz w:val="17"/>
          <w:szCs w:val="17"/>
          <w:color w:val="auto"/>
        </w:rPr>
        <w:t>of Bluezone products for the year ended December 31, 2019. A member of the board and the Company’s Chief Executive Officer both had ownership interests and were board members of Bluezone.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162"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r>
      <w:tr>
        <w:trPr>
          <w:trHeight w:val="210"/>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r>
      <w:tr>
        <w:trPr>
          <w:trHeight w:val="46"/>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Furniture and fixture</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40"/>
        </w:trPr>
        <w:tc>
          <w:tcPr>
            <w:tcW w:w="68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capital assets not yet placed into service are capitalized as construction-in-progress and depreciated once placed into service.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of Long-Lived Assets</w:t>
      </w:r>
    </w:p>
    <w:p>
      <w:pPr>
        <w:spacing w:after="0" w:line="14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When circumstances, such as adverse market conditions, indicate that the carrying value of a long-lived asset may be impaired, the Company performs an analysis to review the recoverability of the asset’s carrying value, which includes estimating the undiscounted cash flows (excluding interest charges) from the expected future operations of the asset. These estimates consider factors such as expected future operating income, operating trends and prospects, as well as the effects of demand, competition and other factors. If the analysis indicates that the carrying value is not recoverable from future cash flows, an impairment loss is recognized to the extent that the carrying value exceeds the estimated fair value. Any impairment losses are recorded as operating expenses, which reduce net income. The Company did not record any impairment losses on long lived assets during the years ended December 31, 2018 or 2019.</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Company’s financial instruments consist of cash and cash equivalents, accounts receivable, accounts payable and accrued expenses. The estimated fair value of the accounts receivable and accounts payable approximates their carrying value due to the short-term nature of these instruments.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Intangible Assets</w:t>
      </w:r>
    </w:p>
    <w:p>
      <w:pPr>
        <w:spacing w:after="0" w:line="162"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The Company uses assumptions in establishing the carrying value of its intangible assets. Intangible assets resulted from investment in the Company’s website and trademark.</w:t>
      </w:r>
    </w:p>
    <w:p>
      <w:pPr>
        <w:spacing w:after="0" w:line="89"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Investments in the Company’s website are amortized over their estimated useful lives of 10 years. As of December 31, 2019, and 2018, amortizable intangible assets were $143 and $0, and accumulated amortization was $7 and $0, respectively. Intangible and other long-lived assets are reviewed for impairment whenever events or changes in circumstances indicate the carrying amount of the asset may not be recoverable. Recoverability is determined by comparing the forecasted future net cash flows from the operations to which the assets relate, based on management’s best estimates using the appropriate assumptions and projections at the time, to the carrying amount of the assets. If the carrying value is determined to be in excess of future operating cash flows, the asset is considered impaired and a loss is recognized equal to the amount by which the carrying amount exceeds the estimated fair value of the assets. As of December 31, 2019, no impairment existed.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4" w:name="page115"/>
    <w:bookmarkEnd w:id="114"/>
    <w:p>
      <w:pPr>
        <w:jc w:val="center"/>
        <w:ind w:left="1920" w:right="166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80"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generate revenue from the following sources: (1) equipment sales and (2) services sales. We sell our equipment and services to customers under a combination of a contract and purchase order.</w:t>
      </w:r>
    </w:p>
    <w:p>
      <w:pPr>
        <w:spacing w:after="0" w:line="79" w:lineRule="exact"/>
        <w:rPr>
          <w:sz w:val="20"/>
          <w:szCs w:val="20"/>
          <w:color w:val="auto"/>
        </w:rPr>
      </w:pPr>
    </w:p>
    <w:p>
      <w:pPr>
        <w:ind w:left="460" w:right="639" w:firstLine="432"/>
        <w:spacing w:after="0" w:line="289" w:lineRule="auto"/>
        <w:rPr>
          <w:sz w:val="20"/>
          <w:szCs w:val="20"/>
          <w:color w:val="auto"/>
        </w:rPr>
      </w:pPr>
      <w:r>
        <w:rPr>
          <w:rFonts w:ascii="Arial" w:cs="Arial" w:eastAsia="Arial" w:hAnsi="Arial"/>
          <w:sz w:val="16"/>
          <w:szCs w:val="16"/>
          <w:color w:val="auto"/>
        </w:rPr>
        <w:t>Equipment revenue includes sales from proprietary products designed and engineered by the Company such as vertical farming units, container farms,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99"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80" w:lineRule="exact"/>
        <w:rPr>
          <w:sz w:val="20"/>
          <w:szCs w:val="20"/>
          <w:color w:val="auto"/>
        </w:rPr>
      </w:pPr>
    </w:p>
    <w:p>
      <w:pPr>
        <w:ind w:left="460" w:right="1019" w:firstLine="432"/>
        <w:spacing w:after="0" w:line="259"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1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 We enter contracts that can include various combinations of equipment and services, which are generally capable of being distinct and accounted for as separate performance obligations.</w:t>
      </w:r>
    </w:p>
    <w:p>
      <w:pPr>
        <w:spacing w:after="0" w:line="120"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06"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i w:val="1"/>
          <w:iCs w:val="1"/>
          <w:color w:val="auto"/>
        </w:rPr>
        <w:t xml:space="preserve">Other Policies and Judgments — </w:t>
      </w:r>
      <w:r>
        <w:rPr>
          <w:rFonts w:ascii="Arial" w:cs="Arial" w:eastAsia="Arial" w:hAnsi="Arial"/>
          <w:sz w:val="16"/>
          <w:szCs w:val="16"/>
          <w:color w:val="auto"/>
        </w:rPr>
        <w:t>The Company has elected to treat shipping and handling activities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5" w:name="page116"/>
    <w:bookmarkEnd w:id="115"/>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i w:val="1"/>
          <w:iCs w:val="1"/>
          <w:color w:val="auto"/>
        </w:rPr>
        <w:t xml:space="preserve">Disaggregation of Revenue — </w:t>
      </w:r>
      <w:r>
        <w:rPr>
          <w:rFonts w:ascii="Arial" w:cs="Arial" w:eastAsia="Arial" w:hAnsi="Arial"/>
          <w:sz w:val="18"/>
          <w:szCs w:val="18"/>
          <w:color w:val="auto"/>
        </w:rPr>
        <w:t>The following table provides revenue disaggregated by timing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(in thousands):</w:t>
      </w:r>
    </w:p>
    <w:p>
      <w:pPr>
        <w:spacing w:after="0" w:line="144"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r>
      <w:tr>
        <w:trPr>
          <w:trHeight w:val="46"/>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Transferred at a point in time</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4,066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Transferred over time</w:t>
            </w: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4,088</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 The Company receives payment from customers based on specified terms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13"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11"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December 31, 2019, the Company has no product warranty accrual given the Company’s de minimis historical financial warranty experience.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0" w:lineRule="exact"/>
        <w:rPr>
          <w:sz w:val="20"/>
          <w:szCs w:val="20"/>
          <w:color w:val="auto"/>
        </w:rPr>
      </w:pPr>
    </w:p>
    <w:p>
      <w:pPr>
        <w:ind w:left="460" w:right="459" w:firstLine="432"/>
        <w:spacing w:after="0" w:line="253" w:lineRule="auto"/>
        <w:rPr>
          <w:sz w:val="20"/>
          <w:szCs w:val="20"/>
          <w:color w:val="auto"/>
        </w:rPr>
      </w:pPr>
      <w:r>
        <w:rPr>
          <w:rFonts w:ascii="Arial" w:cs="Arial" w:eastAsia="Arial" w:hAnsi="Arial"/>
          <w:sz w:val="18"/>
          <w:szCs w:val="18"/>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6" w:name="page117"/>
    <w:bookmarkEnd w:id="116"/>
    <w:p>
      <w:pPr>
        <w:jc w:val="center"/>
        <w:ind w:left="1940" w:right="164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99"/>
        <w:spacing w:after="0" w:line="271" w:lineRule="auto"/>
        <w:rPr>
          <w:sz w:val="20"/>
          <w:szCs w:val="20"/>
          <w:color w:val="auto"/>
        </w:rPr>
      </w:pPr>
      <w:r>
        <w:rPr>
          <w:rFonts w:ascii="Arial" w:cs="Arial" w:eastAsia="Arial" w:hAnsi="Arial"/>
          <w:sz w:val="17"/>
          <w:szCs w:val="17"/>
          <w:color w:val="auto"/>
        </w:rPr>
        <w:t>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2019, tax years 2016 through 2017 remain open for IRS audit. The Company has received no notice of audit from the IRS for any of the open tax years.</w:t>
      </w:r>
    </w:p>
    <w:p>
      <w:pPr>
        <w:spacing w:after="0" w:line="111"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25"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As of 1/1/2018 the Company has no NOLs. There was no Federal income tax expense for the years ended December 31, 2019 and 2018 due to the Company’s net losses. The Company has not yet filed its 2018 Federal and State tax returns.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Method Investments</w:t>
      </w:r>
    </w:p>
    <w:p>
      <w:pPr>
        <w:spacing w:after="0" w:line="148"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Investments in non-public companies in which the Company owns less than a 50% equity interest and where it has the ability to exercise significant influence over the operating and financial policies of the investee are accounted for using the equity method of accounting. The Company’s proportionate share of the net income or loss of the equity method investment is included in other income (expense), net in the consolidated statement of operations and comprehensive loss and results in a corresponding adjustment to the carrying value of the investment on the consolidated balance sheet. Dividends received reduce the carrying value of the investment.</w:t>
      </w:r>
    </w:p>
    <w:p>
      <w:pPr>
        <w:spacing w:after="0" w:line="97" w:lineRule="exact"/>
        <w:rPr>
          <w:sz w:val="20"/>
          <w:szCs w:val="20"/>
          <w:color w:val="auto"/>
        </w:rPr>
      </w:pPr>
    </w:p>
    <w:p>
      <w:pPr>
        <w:ind w:left="460" w:right="699" w:firstLine="432"/>
        <w:spacing w:after="0" w:line="271" w:lineRule="auto"/>
        <w:rPr>
          <w:sz w:val="20"/>
          <w:szCs w:val="20"/>
          <w:color w:val="auto"/>
        </w:rPr>
      </w:pPr>
      <w:r>
        <w:rPr>
          <w:rFonts w:ascii="Arial" w:cs="Arial" w:eastAsia="Arial" w:hAnsi="Arial"/>
          <w:sz w:val="17"/>
          <w:szCs w:val="17"/>
          <w:color w:val="auto"/>
        </w:rPr>
        <w:t>An assessment of whether or not we have the power to direct activities that most significantly impact Teejan Podponics International LLC (“TPI”) economic performance and to identify the party that obtains the majority of the benefits of the investment was performed as of December 31, 2019 and 2018,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carrying value of the Company’s investment in TPI was $0 as of December 31, 2019 and 2018.</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 did not recognize revenue from TPI for the years ended December 31, 2019 and 2018.</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Costs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expenses research and development costs as incurred.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Shipping and Handling Charges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7" w:name="page118"/>
    <w:bookmarkEnd w:id="117"/>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162"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 Update No. 2014-09, Revenue from Contracts with Customers (“ASU 2014-09”).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in an amount that reflects the consideration that is expected to be received for those goods or services. In August 2015, the FASB issued ASU No. 2015-14, Revenue from Contracts with Customers (Topic 606) — Deferral of the Effective Date, which deferred the effective date of ASU 2014-09 until annual reporting periods beginning after December 15, 2017. Early adoption is not permitted. The guidance permits companies to either apply the requirements retrospectively to all prior periods presented, or apply the requirements in the year of adoption, through a cumulative adjustment.</w:t>
      </w:r>
    </w:p>
    <w:p>
      <w:pPr>
        <w:spacing w:after="0" w:line="101"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 xml:space="preserve">We adopted ASU 2014-09 effective January 1, 2019 using the full retrospective method. The Company’s assessment efforts included an evaluation of certain revenue contracts with customers. The Company’s adoption of ASU 2014-09 did not an impact on the results of operations or financial position; therefore, there was no adjustment to previously reported results. In August 2014, the Financial Accounting Standards Board (“FASB”) issued ASU No.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xml:space="preserve"> (“ASU 2014-15”). The amendments in this update explicitly require a company’s management to assess an entity’s ability to continue as a going concern and to provide related footnote disclosures in certain circumstances. For both public and nonpublic entities, the new standard is effective for annual periods ending after December 15, 2016 and for interim periods thereafter. The Company adopted ASU 2014-15 as of the required effective date. This guidance relates to footnote disclosure only, and its adoption had no impact on the Company’s consolidated financial position, results of operations or cash flows.</w:t>
      </w:r>
    </w:p>
    <w:p>
      <w:pPr>
        <w:spacing w:after="0" w:line="104"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 (Topic 740): 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Classification of Deferred Taxes </w:t>
      </w:r>
      <w:r>
        <w:rPr>
          <w:rFonts w:ascii="Arial" w:cs="Arial" w:eastAsia="Arial" w:hAnsi="Arial"/>
          <w:sz w:val="18"/>
          <w:szCs w:val="18"/>
          <w:color w:val="auto"/>
        </w:rPr>
        <w:t>(“ASU 2015-17”). ASU 2015-17 requires deferred tax liabilities and assets to</w:t>
      </w:r>
      <w:r>
        <w:rPr>
          <w:rFonts w:ascii="Arial" w:cs="Arial" w:eastAsia="Arial" w:hAnsi="Arial"/>
          <w:sz w:val="18"/>
          <w:szCs w:val="18"/>
          <w:i w:val="1"/>
          <w:iCs w:val="1"/>
          <w:color w:val="auto"/>
        </w:rPr>
        <w:t xml:space="preserve"> </w:t>
      </w:r>
      <w:r>
        <w:rPr>
          <w:rFonts w:ascii="Arial" w:cs="Arial" w:eastAsia="Arial" w:hAnsi="Arial"/>
          <w:sz w:val="18"/>
          <w:szCs w:val="18"/>
          <w:color w:val="auto"/>
        </w:rPr>
        <w:t>be classified as non-current on the consolidated balance sheet. The amendment may be applied either prospectively to all deferred tax liabilities and assets or retrospectively to all periods presented. The Company adopted ASU 2015-17 as of December 31, 2019 and reflected the adoption retrospectively to all periods presented, and its adoption had no impact on the Company’s consolidated financial position, results of operations or cash flows.</w:t>
      </w:r>
    </w:p>
    <w:p>
      <w:pPr>
        <w:spacing w:after="0" w:line="127"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w:t>
      </w:r>
      <w:r>
        <w:rPr>
          <w:rFonts w:ascii="Arial" w:cs="Arial" w:eastAsia="Arial" w:hAnsi="Arial"/>
          <w:sz w:val="18"/>
          <w:szCs w:val="18"/>
          <w:color w:val="auto"/>
        </w:rPr>
        <w:t>(“ASU 2016-18”), which requires that the statement of cash flows explain the change during the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total of cash, cash equivalents and amounts generally described as restricted cash or restricted cash equivalents. Entities are also required to reconcile such total to amounts on the balance sheet and disclose the nature of the restrictions. The adoption of ASU 2016-18 had no impact on the Company’s financial consolidated position.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4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public entities, ASU 2016-02 is effective for annual reporting periods beginning after December 15, 2018, including interim periods within those fiscal years, and early adoption is permitted. ASU 2016-02 initially required adoption using a modified retrospective approach, under which all years presented in the financial statements would be prepared under the revised guidance. In July 2018, the FASB issued </w:t>
      </w:r>
      <w:r>
        <w:rPr>
          <w:rFonts w:ascii="Arial" w:cs="Arial" w:eastAsia="Arial" w:hAnsi="Arial"/>
          <w:sz w:val="16"/>
          <w:szCs w:val="16"/>
          <w:i w:val="1"/>
          <w:iCs w:val="1"/>
          <w:color w:val="auto"/>
        </w:rPr>
        <w:t>ASU No. 2018-11, Leases (Topic 842)</w:t>
      </w:r>
      <w:r>
        <w:rPr>
          <w:rFonts w:ascii="Arial" w:cs="Arial" w:eastAsia="Arial" w:hAnsi="Arial"/>
          <w:sz w:val="16"/>
          <w:szCs w:val="16"/>
          <w:color w:val="auto"/>
        </w:rPr>
        <w:t>, which added an optional transition method under which financial statements may be prepared under the revised guidance for the year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8" w:name="page119"/>
    <w:bookmarkEnd w:id="118"/>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Recently Adopted Accounting Pronouncements </w:t>
      </w:r>
      <w:r>
        <w:rPr>
          <w:rFonts w:ascii="Arial" w:cs="Arial" w:eastAsia="Arial" w:hAnsi="Arial"/>
          <w:sz w:val="18"/>
          <w:szCs w:val="18"/>
          <w:color w:val="auto"/>
        </w:rPr>
        <w:t>(cont.)</w:t>
      </w:r>
    </w:p>
    <w:p>
      <w:pPr>
        <w:spacing w:after="0" w:line="189" w:lineRule="exact"/>
        <w:rPr>
          <w:sz w:val="20"/>
          <w:szCs w:val="20"/>
          <w:color w:val="auto"/>
        </w:rPr>
      </w:pPr>
    </w:p>
    <w:p>
      <w:pPr>
        <w:ind w:left="460" w:right="519"/>
        <w:spacing w:after="0" w:line="311" w:lineRule="auto"/>
        <w:rPr>
          <w:sz w:val="20"/>
          <w:szCs w:val="20"/>
          <w:color w:val="auto"/>
        </w:rPr>
      </w:pPr>
      <w:r>
        <w:rPr>
          <w:rFonts w:ascii="Arial" w:cs="Arial" w:eastAsia="Arial" w:hAnsi="Arial"/>
          <w:sz w:val="16"/>
          <w:szCs w:val="16"/>
          <w:color w:val="auto"/>
        </w:rPr>
        <w:t>of adoption, but not for prior years. Under the latter method, entities will recognize a cumulative catch-up adjustment to the opening balance of retained earnings in the period of adoption. The adoption of ASU 2016-02 will not have an impact on the Company’s consolidated financial statements since the leases are short term.</w:t>
      </w:r>
    </w:p>
    <w:p>
      <w:pPr>
        <w:spacing w:after="0" w:line="81"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 Changes to the Disclosure Requirements for Fair Value Measurement </w:t>
      </w:r>
      <w:r>
        <w:rPr>
          <w:rFonts w:ascii="Arial" w:cs="Arial" w:eastAsia="Arial" w:hAnsi="Arial"/>
          <w:sz w:val="16"/>
          <w:szCs w:val="16"/>
          <w:color w:val="auto"/>
        </w:rPr>
        <w:t>(“ASU 2018-13”),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removes, adds and modifies certain disclosure requirements for fair value measurements in Topic 820. The Company will no longer be required to disclose the amount of and reasons for transfers between Level 1 and Level 2 of the fair value hierarchy as well as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ASU 2018-13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adoption of ASU 2018-13 had no impact on the Company’s consolidated financial position.</w:t>
      </w:r>
    </w:p>
    <w:p>
      <w:pPr>
        <w:spacing w:after="0" w:line="106" w:lineRule="exact"/>
        <w:rPr>
          <w:sz w:val="20"/>
          <w:szCs w:val="20"/>
          <w:color w:val="auto"/>
        </w:rPr>
      </w:pPr>
    </w:p>
    <w:p>
      <w:pPr>
        <w:ind w:left="460" w:right="759" w:firstLine="432"/>
        <w:spacing w:after="0" w:line="287"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Clarifying the Interaction between Topic 808 and Topic 606 </w:t>
      </w:r>
      <w:r>
        <w:rPr>
          <w:rFonts w:ascii="Arial" w:cs="Arial" w:eastAsia="Arial" w:hAnsi="Arial"/>
          <w:sz w:val="16"/>
          <w:szCs w:val="16"/>
          <w:color w:val="auto"/>
        </w:rPr>
        <w:t>(“ASU2018-18”), which clarifies that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between collaborative arrangement participants should be accounted for as revenue under Topic</w:t>
      </w:r>
    </w:p>
    <w:p>
      <w:pPr>
        <w:spacing w:after="0" w:line="2" w:lineRule="exact"/>
        <w:rPr>
          <w:sz w:val="20"/>
          <w:szCs w:val="20"/>
          <w:color w:val="auto"/>
        </w:rPr>
      </w:pPr>
    </w:p>
    <w:p>
      <w:pPr>
        <w:ind w:left="460" w:right="459"/>
        <w:spacing w:after="0" w:line="266" w:lineRule="auto"/>
        <w:rPr>
          <w:sz w:val="20"/>
          <w:szCs w:val="20"/>
          <w:color w:val="auto"/>
        </w:rPr>
      </w:pPr>
      <w:r>
        <w:rPr>
          <w:rFonts w:ascii="Arial" w:cs="Arial" w:eastAsia="Arial" w:hAnsi="Arial"/>
          <w:sz w:val="17"/>
          <w:szCs w:val="17"/>
          <w:color w:val="auto"/>
        </w:rPr>
        <w:t>606 when the collaborative arrangement participant is a customer in the context of a unit of account. In those situations, all the guidance in Topic 606 should be applied, including recognition, measurement, presentation, and disclosure requirements. The standard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The standard is effective for interim and annual periods beginning after December 15, 2019, with early adoption permitted, including adoption in any interim period for public business entities for periods in which financial statements have not been issued. Amendments in the standard should be applied retrospectively to the date of initial application of Topic 606, but entities may elect to apply the amendments in this Update retrospectively either to all contracts or only to contracts that are not completed at the date of initial application of Topic 606, and should disclose the election. An entity may also elect to apply the practical expedient for contract modifications that is permitted for entities using the modified retrospective transition method in Topic 606. The Company is in the process of evaluating the impact of ASU 2018-18 on its consolidated financial statements and disclosures.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Prepaid Expenses and Other Receivables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Prepaid Expenses and Other Receivables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4"/>
          </w:tcPr>
          <w:p>
            <w:pPr>
              <w:jc w:val="right"/>
              <w:ind w:right="387"/>
              <w:spacing w:after="0"/>
              <w:rPr>
                <w:sz w:val="20"/>
                <w:szCs w:val="20"/>
                <w:color w:val="auto"/>
              </w:rPr>
            </w:pPr>
            <w:r>
              <w:rPr>
                <w:rFonts w:ascii="Arial" w:cs="Arial" w:eastAsia="Arial" w:hAnsi="Arial"/>
                <w:sz w:val="16"/>
                <w:szCs w:val="16"/>
                <w:b w:val="1"/>
                <w:bCs w:val="1"/>
                <w:color w:val="auto"/>
                <w:w w:val="90"/>
              </w:rPr>
              <w:t>December 31,</w:t>
            </w:r>
          </w:p>
        </w:tc>
        <w:tc>
          <w:tcPr>
            <w:tcW w:w="320" w:type="dxa"/>
            <w:vAlign w:val="bottom"/>
          </w:tcPr>
          <w:p>
            <w:pPr>
              <w:spacing w:after="0"/>
              <w:rPr>
                <w:sz w:val="18"/>
                <w:szCs w:val="18"/>
                <w:color w:val="auto"/>
              </w:rPr>
            </w:pPr>
          </w:p>
        </w:tc>
      </w:tr>
      <w:tr>
        <w:trPr>
          <w:trHeight w:val="46"/>
        </w:trPr>
        <w:tc>
          <w:tcPr>
            <w:tcW w:w="2660" w:type="dxa"/>
            <w:vAlign w:val="bottom"/>
          </w:tcPr>
          <w:p>
            <w:pPr>
              <w:spacing w:after="0"/>
              <w:rPr>
                <w:sz w:val="4"/>
                <w:szCs w:val="4"/>
                <w:color w:val="auto"/>
              </w:rPr>
            </w:pPr>
          </w:p>
        </w:tc>
        <w:tc>
          <w:tcPr>
            <w:tcW w:w="29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30"/>
        </w:trPr>
        <w:tc>
          <w:tcPr>
            <w:tcW w:w="2660" w:type="dxa"/>
            <w:vAlign w:val="bottom"/>
          </w:tcPr>
          <w:p>
            <w:pPr>
              <w:spacing w:after="0"/>
              <w:rPr>
                <w:sz w:val="20"/>
                <w:szCs w:val="20"/>
                <w:color w:val="auto"/>
              </w:rPr>
            </w:pPr>
          </w:p>
        </w:tc>
        <w:tc>
          <w:tcPr>
            <w:tcW w:w="37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87"/>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20"/>
                <w:szCs w:val="20"/>
                <w:color w:val="auto"/>
              </w:rPr>
            </w:pPr>
          </w:p>
        </w:tc>
      </w:tr>
      <w:tr>
        <w:trPr>
          <w:trHeight w:val="47"/>
        </w:trPr>
        <w:tc>
          <w:tcPr>
            <w:tcW w:w="2660" w:type="dxa"/>
            <w:vAlign w:val="bottom"/>
            <w:tcBorders>
              <w:bottom w:val="single" w:sz="8" w:color="CCEEFF"/>
            </w:tcBorders>
          </w:tcPr>
          <w:p>
            <w:pPr>
              <w:spacing w:after="0"/>
              <w:rPr>
                <w:sz w:val="4"/>
                <w:szCs w:val="4"/>
                <w:color w:val="auto"/>
              </w:rPr>
            </w:pPr>
          </w:p>
        </w:tc>
        <w:tc>
          <w:tcPr>
            <w:tcW w:w="294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43"/>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Vendor Receivables</w:t>
            </w:r>
          </w:p>
        </w:tc>
        <w:tc>
          <w:tcPr>
            <w:tcW w:w="2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r>
      <w:tr>
        <w:trPr>
          <w:trHeight w:val="257"/>
        </w:trPr>
        <w:tc>
          <w:tcPr>
            <w:tcW w:w="2660" w:type="dxa"/>
            <w:vAlign w:val="bottom"/>
          </w:tcPr>
          <w:p>
            <w:pPr>
              <w:spacing w:after="0"/>
              <w:rPr>
                <w:sz w:val="20"/>
                <w:szCs w:val="20"/>
                <w:color w:val="auto"/>
              </w:rPr>
            </w:pPr>
            <w:r>
              <w:rPr>
                <w:rFonts w:ascii="Arial" w:cs="Arial" w:eastAsia="Arial" w:hAnsi="Arial"/>
                <w:sz w:val="18"/>
                <w:szCs w:val="18"/>
                <w:color w:val="auto"/>
              </w:rPr>
              <w:t>Prepaid expenses</w:t>
            </w:r>
          </w:p>
        </w:tc>
        <w:tc>
          <w:tcPr>
            <w:tcW w:w="2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r>
      <w:tr>
        <w:trPr>
          <w:trHeight w:val="27"/>
        </w:trPr>
        <w:tc>
          <w:tcPr>
            <w:tcW w:w="26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3"/>
        </w:trPr>
        <w:tc>
          <w:tcPr>
            <w:tcW w:w="2660" w:type="dxa"/>
            <w:vAlign w:val="bottom"/>
            <w:shd w:val="clear" w:color="auto" w:fill="CCEEFF"/>
          </w:tcPr>
          <w:p>
            <w:pPr>
              <w:spacing w:after="0"/>
              <w:rPr>
                <w:sz w:val="21"/>
                <w:szCs w:val="21"/>
                <w:color w:val="auto"/>
              </w:rPr>
            </w:pPr>
          </w:p>
        </w:tc>
        <w:tc>
          <w:tcPr>
            <w:tcW w:w="370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98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26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2"/>
          </w:tcPr>
          <w:p>
            <w:pPr>
              <w:jc w:val="right"/>
              <w:ind w:right="2050"/>
              <w:spacing w:after="0"/>
              <w:rPr>
                <w:sz w:val="20"/>
                <w:szCs w:val="20"/>
                <w:color w:val="auto"/>
              </w:rPr>
            </w:pPr>
            <w:r>
              <w:rPr>
                <w:rFonts w:ascii="Arial" w:cs="Arial" w:eastAsia="Arial" w:hAnsi="Arial"/>
                <w:sz w:val="18"/>
                <w:szCs w:val="18"/>
                <w:color w:val="auto"/>
              </w:rPr>
              <w:t>F-14</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19" w:name="page120"/>
    <w:bookmarkEnd w:id="119"/>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Inventory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December 31, 2019 and 2018, inventory consists of the following:</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5"/>
          </w:tcPr>
          <w:p>
            <w:pPr>
              <w:jc w:val="right"/>
              <w:ind w:right="267"/>
              <w:spacing w:after="0"/>
              <w:rPr>
                <w:sz w:val="20"/>
                <w:szCs w:val="20"/>
                <w:color w:val="auto"/>
              </w:rPr>
            </w:pPr>
            <w:r>
              <w:rPr>
                <w:rFonts w:ascii="Arial" w:cs="Arial" w:eastAsia="Arial" w:hAnsi="Arial"/>
                <w:sz w:val="16"/>
                <w:szCs w:val="16"/>
                <w:b w:val="1"/>
                <w:bCs w:val="1"/>
                <w:color w:val="auto"/>
                <w:w w:val="92"/>
              </w:rPr>
              <w:t>December 31,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 in progress</w:t>
            </w:r>
          </w:p>
        </w:tc>
        <w:tc>
          <w:tcPr>
            <w:tcW w:w="740" w:type="dxa"/>
            <w:vAlign w:val="bottom"/>
            <w:tcBorders>
              <w:top w:val="single" w:sz="8" w:color="auto"/>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2,025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Inventory</w:t>
            </w:r>
          </w:p>
        </w:tc>
        <w:tc>
          <w:tcPr>
            <w:tcW w:w="740" w:type="dxa"/>
            <w:vAlign w:val="bottom"/>
          </w:tcPr>
          <w:p>
            <w:pPr>
              <w:spacing w:after="0"/>
              <w:rPr>
                <w:sz w:val="22"/>
                <w:szCs w:val="22"/>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456</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4"/>
              </w:rPr>
              <w:t>2,481</w:t>
            </w:r>
          </w:p>
        </w:tc>
        <w:tc>
          <w:tcPr>
            <w:tcW w:w="86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 — Property and Equipment, Net</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0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gridSpan w:val="5"/>
          </w:tcPr>
          <w:p>
            <w:pPr>
              <w:jc w:val="right"/>
              <w:ind w:right="267"/>
              <w:spacing w:after="0"/>
              <w:rPr>
                <w:sz w:val="20"/>
                <w:szCs w:val="20"/>
                <w:color w:val="auto"/>
              </w:rPr>
            </w:pPr>
            <w:r>
              <w:rPr>
                <w:rFonts w:ascii="Arial" w:cs="Arial" w:eastAsia="Arial" w:hAnsi="Arial"/>
                <w:sz w:val="16"/>
                <w:szCs w:val="16"/>
                <w:b w:val="1"/>
                <w:bCs w:val="1"/>
                <w:color w:val="auto"/>
                <w:w w:val="92"/>
              </w:rPr>
              <w:t>December 31,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4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740" w:type="dxa"/>
            <w:vAlign w:val="bottom"/>
            <w:tcBorders>
              <w:top w:val="single" w:sz="8" w:color="auto"/>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Furniture and fixture</w:t>
            </w:r>
          </w:p>
        </w:tc>
        <w:tc>
          <w:tcPr>
            <w:tcW w:w="74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w w:val="92"/>
              </w:rPr>
              <w:t>Depreciation expense for 2019 and 2018 was $3 and $0, respectively.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spacing w:after="0"/>
              <w:rPr>
                <w:sz w:val="20"/>
                <w:szCs w:val="20"/>
                <w:color w:val="auto"/>
              </w:rPr>
            </w:pPr>
            <w:r>
              <w:rPr>
                <w:rFonts w:ascii="Arial" w:cs="Arial" w:eastAsia="Arial" w:hAnsi="Arial"/>
                <w:sz w:val="18"/>
                <w:szCs w:val="18"/>
                <w:b w:val="1"/>
                <w:bCs w:val="1"/>
                <w:color w:val="auto"/>
              </w:rPr>
              <w:t>Note 7 — Intangible Assets, net</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breakdown of intangible assets as of December 31, 2019 and 2018 was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Website</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4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Domain</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Trademark</w:t>
            </w: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46"/>
        </w:trPr>
        <w:tc>
          <w:tcPr>
            <w:tcW w:w="43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 $</w:t>
            </w:r>
          </w:p>
        </w:tc>
        <w:tc>
          <w:tcPr>
            <w:tcW w:w="1380" w:type="dxa"/>
            <w:vAlign w:val="bottom"/>
            <w:gridSpan w:val="3"/>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140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4"/>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Based on the intangible assets in service as of December 31, 2019, estimated amortization expenses are $14 for each of the next ten years.</w:t>
      </w:r>
    </w:p>
    <w:p>
      <w:pPr>
        <w:spacing w:after="0" w:line="89" w:lineRule="exact"/>
        <w:rPr>
          <w:sz w:val="20"/>
          <w:szCs w:val="20"/>
          <w:color w:val="auto"/>
        </w:rPr>
      </w:pPr>
    </w:p>
    <w:p>
      <w:pPr>
        <w:ind w:left="460" w:right="1159" w:firstLine="432"/>
        <w:spacing w:after="0" w:line="277" w:lineRule="auto"/>
        <w:rPr>
          <w:sz w:val="20"/>
          <w:szCs w:val="20"/>
          <w:color w:val="auto"/>
        </w:rPr>
      </w:pPr>
      <w:r>
        <w:rPr>
          <w:rFonts w:ascii="Arial" w:cs="Arial" w:eastAsia="Arial" w:hAnsi="Arial"/>
          <w:sz w:val="18"/>
          <w:szCs w:val="18"/>
          <w:color w:val="auto"/>
        </w:rPr>
        <w:t>Amortization expenses amounted to $7 and $0 for the years ended December 31, 2019 and 2018,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0" w:name="page121"/>
    <w:bookmarkEnd w:id="120"/>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Accrued Expenses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Accrued expenses consisted of the following:</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major components of accrued expenses are summarized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6"/>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34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advertising expenses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accrued expense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accrued expenses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Capital Structure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As of December 31, 2019 and 2018, the Company’s articles of incorporation, as amended and restated, authorized the Company to issue 6,500,000 shares of common stock, $0.001 par value, and one share of common stock, $0.001 par value, respectively. As of December 31, 2019 and 2018, the Company had 5,720,000 and 1 shares of common stock issued and outstanding, respectively.</w:t>
      </w:r>
    </w:p>
    <w:p>
      <w:pPr>
        <w:spacing w:after="0" w:line="119" w:lineRule="exact"/>
        <w:rPr>
          <w:sz w:val="20"/>
          <w:szCs w:val="20"/>
          <w:color w:val="auto"/>
        </w:rPr>
      </w:pPr>
    </w:p>
    <w:p>
      <w:pPr>
        <w:ind w:left="460" w:right="819" w:firstLine="432"/>
        <w:spacing w:after="0" w:line="311" w:lineRule="auto"/>
        <w:rPr>
          <w:sz w:val="20"/>
          <w:szCs w:val="20"/>
          <w:color w:val="auto"/>
        </w:rPr>
      </w:pPr>
      <w:r>
        <w:rPr>
          <w:rFonts w:ascii="Arial" w:cs="Arial" w:eastAsia="Arial" w:hAnsi="Arial"/>
          <w:sz w:val="16"/>
          <w:szCs w:val="16"/>
          <w:color w:val="auto"/>
        </w:rPr>
        <w:t>In May 2019, the Company effected a 1:3,680,000 stock split to the outstanding common stock of the Company. All references made to share or per share amounts in the accompanying consolidated financial statements and applicable disclosures have been retroactively adjusted to reflect the stock split.</w:t>
      </w:r>
    </w:p>
    <w:p>
      <w:pPr>
        <w:spacing w:after="0" w:line="81" w:lineRule="exact"/>
        <w:rPr>
          <w:sz w:val="20"/>
          <w:szCs w:val="20"/>
          <w:color w:val="auto"/>
        </w:rPr>
      </w:pPr>
    </w:p>
    <w:p>
      <w:pPr>
        <w:ind w:left="460" w:right="1119" w:firstLine="432"/>
        <w:spacing w:after="0" w:line="277" w:lineRule="auto"/>
        <w:rPr>
          <w:sz w:val="20"/>
          <w:szCs w:val="20"/>
          <w:color w:val="auto"/>
        </w:rPr>
      </w:pPr>
      <w:r>
        <w:rPr>
          <w:rFonts w:ascii="Arial" w:cs="Arial" w:eastAsia="Arial" w:hAnsi="Arial"/>
          <w:sz w:val="18"/>
          <w:szCs w:val="18"/>
          <w:color w:val="auto"/>
        </w:rPr>
        <w:t>In June 2019, the Company issued and sold 2,040,000 shares of common stock to an investor at a purchase price of $1.96 per share for gross proceeds of $4,000.</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Subscriptions Receivable</w:t>
      </w:r>
    </w:p>
    <w:p>
      <w:pPr>
        <w:spacing w:after="0" w:line="148" w:lineRule="exact"/>
        <w:rPr>
          <w:sz w:val="20"/>
          <w:szCs w:val="20"/>
          <w:color w:val="auto"/>
        </w:rPr>
      </w:pPr>
    </w:p>
    <w:p>
      <w:pPr>
        <w:jc w:val="both"/>
        <w:ind w:left="460" w:right="599" w:firstLine="432"/>
        <w:spacing w:after="0" w:line="311" w:lineRule="auto"/>
        <w:rPr>
          <w:sz w:val="20"/>
          <w:szCs w:val="20"/>
          <w:color w:val="auto"/>
        </w:rPr>
      </w:pPr>
      <w:r>
        <w:rPr>
          <w:rFonts w:ascii="Arial" w:cs="Arial" w:eastAsia="Arial" w:hAnsi="Arial"/>
          <w:sz w:val="16"/>
          <w:szCs w:val="16"/>
          <w:color w:val="auto"/>
        </w:rPr>
        <w:t>At December 31, 2019, the Company recorded a stock subscription receivable in the amount of $40. The stock subscription receivable is in connection with the issuance of common stock in June 2019 and represents 20,408 shares of common stock. The outstanding balance of stock subscription was paid during January 2020.</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Option Plan</w:t>
      </w:r>
    </w:p>
    <w:p>
      <w:pPr>
        <w:spacing w:after="0" w:line="162" w:lineRule="exact"/>
        <w:rPr>
          <w:sz w:val="20"/>
          <w:szCs w:val="20"/>
          <w:color w:val="auto"/>
        </w:rPr>
      </w:pPr>
    </w:p>
    <w:p>
      <w:pPr>
        <w:ind w:left="460" w:right="759" w:firstLine="432"/>
        <w:spacing w:after="0" w:line="311" w:lineRule="auto"/>
        <w:rPr>
          <w:sz w:val="20"/>
          <w:szCs w:val="20"/>
          <w:color w:val="auto"/>
        </w:rPr>
      </w:pPr>
      <w:r>
        <w:rPr>
          <w:rFonts w:ascii="Arial" w:cs="Arial" w:eastAsia="Arial" w:hAnsi="Arial"/>
          <w:sz w:val="16"/>
          <w:szCs w:val="16"/>
          <w:color w:val="auto"/>
        </w:rPr>
        <w:t>On June 4, 2019, the Company adopted its 2019 Stock Plan allowing the issuance of 2,758,260 shares. During December 2019 the Company granted 779,990 options to various employees and consultants. As of December 31, 2019, there were 1,978,270 shares available to be granted under the 2019 Stock Plan.</w:t>
      </w:r>
    </w:p>
    <w:p>
      <w:pPr>
        <w:spacing w:after="0" w:line="81"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$109 and $0 for the years ended December 31, 2019 and 2018, respectively, and there was $887 of total unrecognized compensation cost related to unvested options granted under the Company’s options plans as of December 31, 2019. This stock option expense will be recognized through December 2029.</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1" w:name="page122"/>
    <w:bookmarkEnd w:id="121"/>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9"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following table summarizes the Company’s assumptions used in the valuation of options for the year ended December 31, 2019:</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3760" w:type="dxa"/>
            <w:vAlign w:val="bottom"/>
            <w:tcBorders>
              <w:bottom w:val="single" w:sz="8" w:color="CCEEFF"/>
            </w:tcBorders>
            <w:shd w:val="clear" w:color="auto" w:fill="CCEEFF"/>
          </w:tcPr>
          <w:p>
            <w:pPr>
              <w:jc w:val="center"/>
              <w:ind w:left="2410"/>
              <w:spacing w:after="0"/>
              <w:rPr>
                <w:sz w:val="20"/>
                <w:szCs w:val="20"/>
                <w:color w:val="auto"/>
              </w:rPr>
            </w:pPr>
            <w:r>
              <w:rPr>
                <w:rFonts w:ascii="Arial" w:cs="Arial" w:eastAsia="Arial" w:hAnsi="Arial"/>
                <w:sz w:val="18"/>
                <w:szCs w:val="18"/>
                <w:color w:val="auto"/>
                <w:w w:val="94"/>
              </w:rPr>
              <w:t>60%</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760" w:type="dxa"/>
            <w:vAlign w:val="bottom"/>
          </w:tcPr>
          <w:p>
            <w:pPr>
              <w:jc w:val="center"/>
              <w:ind w:left="2410"/>
              <w:spacing w:after="0"/>
              <w:rPr>
                <w:sz w:val="20"/>
                <w:szCs w:val="20"/>
                <w:color w:val="auto"/>
              </w:rPr>
            </w:pPr>
            <w:r>
              <w:rPr>
                <w:rFonts w:ascii="Arial" w:cs="Arial" w:eastAsia="Arial" w:hAnsi="Arial"/>
                <w:sz w:val="18"/>
                <w:szCs w:val="18"/>
                <w:color w:val="auto"/>
                <w:w w:val="90"/>
              </w:rPr>
              <w:t>1.67% – 1.84%</w:t>
            </w:r>
          </w:p>
        </w:tc>
      </w:tr>
      <w:tr>
        <w:trPr>
          <w:trHeight w:val="41"/>
        </w:trPr>
        <w:tc>
          <w:tcPr>
            <w:tcW w:w="434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263"/>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760" w:type="dxa"/>
            <w:vAlign w:val="bottom"/>
            <w:tcBorders>
              <w:bottom w:val="single" w:sz="8" w:color="CCEEFF"/>
            </w:tcBorders>
            <w:shd w:val="clear" w:color="auto" w:fill="CCEEFF"/>
          </w:tcPr>
          <w:p>
            <w:pPr>
              <w:jc w:val="center"/>
              <w:ind w:left="2410"/>
              <w:spacing w:after="0"/>
              <w:rPr>
                <w:sz w:val="20"/>
                <w:szCs w:val="20"/>
                <w:color w:val="auto"/>
              </w:rPr>
            </w:pPr>
            <w:r>
              <w:rPr>
                <w:rFonts w:ascii="Arial" w:cs="Arial" w:eastAsia="Arial" w:hAnsi="Arial"/>
                <w:sz w:val="18"/>
                <w:szCs w:val="18"/>
                <w:color w:val="auto"/>
                <w:w w:val="90"/>
              </w:rPr>
              <w:t>00 0%</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0% Expected life (years)</w:t>
            </w:r>
          </w:p>
        </w:tc>
        <w:tc>
          <w:tcPr>
            <w:tcW w:w="3760" w:type="dxa"/>
            <w:vAlign w:val="bottom"/>
          </w:tcPr>
          <w:p>
            <w:pPr>
              <w:jc w:val="center"/>
              <w:ind w:left="2410"/>
              <w:spacing w:after="0"/>
              <w:rPr>
                <w:sz w:val="20"/>
                <w:szCs w:val="20"/>
                <w:color w:val="auto"/>
              </w:rPr>
            </w:pPr>
            <w:r>
              <w:rPr>
                <w:rFonts w:ascii="Arial" w:cs="Arial" w:eastAsia="Arial" w:hAnsi="Arial"/>
                <w:sz w:val="18"/>
                <w:szCs w:val="18"/>
                <w:color w:val="auto"/>
              </w:rPr>
              <w:t>5–10</w:t>
            </w:r>
          </w:p>
        </w:tc>
      </w:tr>
      <w:tr>
        <w:trPr>
          <w:trHeight w:val="40"/>
        </w:trPr>
        <w:tc>
          <w:tcPr>
            <w:tcW w:w="434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24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3760" w:type="dxa"/>
            <w:vAlign w:val="bottom"/>
            <w:shd w:val="clear" w:color="auto" w:fill="CCEEFF"/>
          </w:tcPr>
          <w:p>
            <w:pPr>
              <w:jc w:val="center"/>
              <w:ind w:left="2390"/>
              <w:spacing w:after="0"/>
              <w:rPr>
                <w:sz w:val="20"/>
                <w:szCs w:val="20"/>
                <w:color w:val="auto"/>
              </w:rPr>
            </w:pPr>
            <w:r>
              <w:rPr>
                <w:rFonts w:ascii="Arial" w:cs="Arial" w:eastAsia="Arial" w:hAnsi="Arial"/>
                <w:sz w:val="18"/>
                <w:szCs w:val="18"/>
                <w:color w:val="auto"/>
                <w:w w:val="92"/>
              </w:rPr>
              <w:t>0%</w:t>
            </w:r>
          </w:p>
        </w:tc>
      </w:tr>
      <w:tr>
        <w:trPr>
          <w:trHeight w:val="40"/>
        </w:trPr>
        <w:tc>
          <w:tcPr>
            <w:tcW w:w="4340" w:type="dxa"/>
            <w:vAlign w:val="bottom"/>
            <w:shd w:val="clear" w:color="auto" w:fill="CCEEFF"/>
          </w:tcPr>
          <w:p>
            <w:pPr>
              <w:spacing w:after="0"/>
              <w:rPr>
                <w:sz w:val="3"/>
                <w:szCs w:val="3"/>
                <w:color w:val="auto"/>
              </w:rPr>
            </w:pPr>
          </w:p>
        </w:tc>
        <w:tc>
          <w:tcPr>
            <w:tcW w:w="376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87"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13"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presents option activity under the Company’s stock option plans as of December 31, 2019 and changes during years than ended: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0" w:type="dxa"/>
            <w:vAlign w:val="bottom"/>
          </w:tcPr>
          <w:p>
            <w:pPr>
              <w:spacing w:after="0"/>
              <w:rPr>
                <w:sz w:val="17"/>
                <w:szCs w:val="17"/>
                <w:color w:val="auto"/>
              </w:rPr>
            </w:pPr>
          </w:p>
        </w:tc>
        <w:tc>
          <w:tcPr>
            <w:tcW w:w="1100" w:type="dxa"/>
            <w:vAlign w:val="bottom"/>
          </w:tcPr>
          <w:p>
            <w:pPr>
              <w:jc w:val="center"/>
              <w:ind w:right="135"/>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36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average exercise</w:t>
            </w:r>
          </w:p>
        </w:tc>
        <w:tc>
          <w:tcPr>
            <w:tcW w:w="180" w:type="dxa"/>
            <w:vAlign w:val="bottom"/>
          </w:tcPr>
          <w:p>
            <w:pPr>
              <w:spacing w:after="0"/>
              <w:rPr>
                <w:sz w:val="17"/>
                <w:szCs w:val="17"/>
                <w:color w:val="auto"/>
              </w:rPr>
            </w:pPr>
          </w:p>
        </w:tc>
        <w:tc>
          <w:tcPr>
            <w:tcW w:w="1100" w:type="dxa"/>
            <w:vAlign w:val="bottom"/>
          </w:tcPr>
          <w:p>
            <w:pPr>
              <w:jc w:val="center"/>
              <w:ind w:right="13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43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options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price</w:t>
            </w:r>
          </w:p>
        </w:tc>
        <w:tc>
          <w:tcPr>
            <w:tcW w:w="180" w:type="dxa"/>
            <w:vAlign w:val="bottom"/>
          </w:tcPr>
          <w:p>
            <w:pPr>
              <w:spacing w:after="0"/>
              <w:rPr>
                <w:sz w:val="18"/>
                <w:szCs w:val="18"/>
                <w:color w:val="auto"/>
              </w:rPr>
            </w:pPr>
          </w:p>
        </w:tc>
        <w:tc>
          <w:tcPr>
            <w:tcW w:w="1100" w:type="dxa"/>
            <w:vAlign w:val="bottom"/>
          </w:tcPr>
          <w:p>
            <w:pPr>
              <w:jc w:val="center"/>
              <w:ind w:right="95"/>
              <w:spacing w:after="0"/>
              <w:rPr>
                <w:sz w:val="20"/>
                <w:szCs w:val="20"/>
                <w:color w:val="auto"/>
              </w:rPr>
            </w:pPr>
            <w:r>
              <w:rPr>
                <w:rFonts w:ascii="Arial" w:cs="Arial" w:eastAsia="Arial" w:hAnsi="Arial"/>
                <w:sz w:val="16"/>
                <w:szCs w:val="16"/>
                <w:b w:val="1"/>
                <w:bCs w:val="1"/>
                <w:color w:val="auto"/>
                <w:w w:val="87"/>
              </w:rPr>
              <w:t>value</w:t>
            </w:r>
          </w:p>
        </w:tc>
      </w:tr>
      <w:tr>
        <w:trPr>
          <w:trHeight w:val="47"/>
        </w:trPr>
        <w:tc>
          <w:tcPr>
            <w:tcW w:w="4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1100" w:type="dxa"/>
            <w:vAlign w:val="bottom"/>
          </w:tcPr>
          <w:p>
            <w:pPr>
              <w:spacing w:after="0"/>
              <w:rPr>
                <w:sz w:val="4"/>
                <w:szCs w:val="4"/>
                <w:color w:val="auto"/>
              </w:rPr>
            </w:pPr>
          </w:p>
        </w:tc>
      </w:tr>
      <w:tr>
        <w:trPr>
          <w:trHeight w:val="24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4, 2019</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779,990</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CCEEFF"/>
            </w:tcBorders>
            <w:gridSpan w:val="4"/>
            <w:shd w:val="clear" w:color="auto" w:fill="CCEEFF"/>
          </w:tcPr>
          <w:p>
            <w:pPr>
              <w:jc w:val="right"/>
              <w:ind w:right="3"/>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Cancelled or expired</w:t>
            </w:r>
          </w:p>
        </w:tc>
        <w:tc>
          <w:tcPr>
            <w:tcW w:w="1400" w:type="dxa"/>
            <w:vAlign w:val="bottom"/>
            <w:gridSpan w:val="4"/>
          </w:tcPr>
          <w:p>
            <w:pPr>
              <w:jc w:val="right"/>
              <w:ind w:right="3"/>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4"/>
        </w:trPr>
        <w:tc>
          <w:tcPr>
            <w:tcW w:w="4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Options outstanding at December 31, 2019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779,990</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4"/>
        </w:trPr>
        <w:tc>
          <w:tcPr>
            <w:tcW w:w="4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4"/>
              </w:rPr>
              <w:t>Options vested and exercisable as of December 31, 2019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84,984</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9"/>
              </w:rPr>
              <w:t>Weighted average fair value of options granted in 2019</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45"/>
        </w:trPr>
        <w:tc>
          <w:tcPr>
            <w:tcW w:w="436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F-17</w:t>
            </w: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22" w:name="page123"/>
    <w:bookmarkEnd w:id="122"/>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There was no aggregate intrinsic value at December 31, 2019 as the Company’s stock price of $1.96 on December 31, 2019, was below the exercise price of the outstanding stock options.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information about options vested and exercisable at December 31, 2019:</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5"/>
          </w:tcPr>
          <w:p>
            <w:pPr>
              <w:jc w:val="right"/>
              <w:ind w:right="90"/>
              <w:spacing w:after="0"/>
              <w:rPr>
                <w:sz w:val="20"/>
                <w:szCs w:val="20"/>
                <w:color w:val="auto"/>
              </w:rPr>
            </w:pPr>
            <w:r>
              <w:rPr>
                <w:rFonts w:ascii="Arial" w:cs="Arial" w:eastAsia="Arial" w:hAnsi="Arial"/>
                <w:sz w:val="16"/>
                <w:szCs w:val="16"/>
                <w:b w:val="1"/>
                <w:bCs w:val="1"/>
                <w:color w:val="auto"/>
                <w:w w:val="88"/>
              </w:rPr>
              <w:t>Options vested and exercisable</w:t>
            </w:r>
          </w:p>
        </w:tc>
        <w:tc>
          <w:tcPr>
            <w:tcW w:w="1780" w:type="dxa"/>
            <w:vAlign w:val="bottom"/>
          </w:tcPr>
          <w:p>
            <w:pPr>
              <w:spacing w:after="0"/>
              <w:rPr>
                <w:sz w:val="18"/>
                <w:szCs w:val="18"/>
                <w:color w:val="auto"/>
              </w:rPr>
            </w:pPr>
          </w:p>
        </w:tc>
      </w:tr>
      <w:tr>
        <w:trPr>
          <w:trHeight w:val="46"/>
        </w:trPr>
        <w:tc>
          <w:tcPr>
            <w:tcW w:w="1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182"/>
        </w:trPr>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3"/>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 contractual life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r>
      <w:tr>
        <w:trPr>
          <w:trHeight w:val="210"/>
        </w:trPr>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Range price ($</w:t>
            </w:r>
          </w:p>
        </w:tc>
        <w:tc>
          <w:tcPr>
            <w:tcW w:w="540" w:type="dxa"/>
            <w:vAlign w:val="bottom"/>
          </w:tcPr>
          <w:p>
            <w:pPr>
              <w:jc w:val="right"/>
              <w:ind w:right="393"/>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194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 of options</w:t>
            </w:r>
          </w:p>
        </w:tc>
        <w:tc>
          <w:tcPr>
            <w:tcW w:w="80" w:type="dxa"/>
            <w:vAlign w:val="bottom"/>
          </w:tcPr>
          <w:p>
            <w:pPr>
              <w:spacing w:after="0"/>
              <w:rPr>
                <w:sz w:val="18"/>
                <w:szCs w:val="18"/>
                <w:color w:val="auto"/>
              </w:rPr>
            </w:pPr>
          </w:p>
        </w:tc>
        <w:tc>
          <w:tcPr>
            <w:tcW w:w="19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(years)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r>
      <w:tr>
        <w:trPr>
          <w:trHeight w:val="47"/>
        </w:trPr>
        <w:tc>
          <w:tcPr>
            <w:tcW w:w="1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3"/>
        </w:trPr>
        <w:tc>
          <w:tcPr>
            <w:tcW w:w="1420" w:type="dxa"/>
            <w:vAlign w:val="bottom"/>
            <w:tcBorders>
              <w:bottom w:val="single" w:sz="8" w:color="CCEEFF"/>
            </w:tcBorders>
            <w:shd w:val="clear" w:color="auto" w:fill="CCEEFF"/>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w w:val="79"/>
              </w:rPr>
              <w:t>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1420" w:type="dxa"/>
            <w:vAlign w:val="bottom"/>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15,458</w:t>
            </w:r>
          </w:p>
        </w:tc>
        <w:tc>
          <w:tcPr>
            <w:tcW w:w="2040" w:type="dxa"/>
            <w:vAlign w:val="bottom"/>
            <w:gridSpan w:val="3"/>
          </w:tcPr>
          <w:p>
            <w:pPr>
              <w:ind w:left="1760"/>
              <w:spacing w:after="0"/>
              <w:rPr>
                <w:sz w:val="20"/>
                <w:szCs w:val="20"/>
                <w:color w:val="auto"/>
              </w:rPr>
            </w:pPr>
            <w:r>
              <w:rPr>
                <w:rFonts w:ascii="Arial" w:cs="Arial" w:eastAsia="Arial" w:hAnsi="Arial"/>
                <w:sz w:val="18"/>
                <w:szCs w:val="18"/>
                <w:color w:val="auto"/>
              </w:rPr>
              <w:t>4.9</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2.16</w:t>
            </w:r>
          </w:p>
        </w:tc>
      </w:tr>
    </w:tbl>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following table summarizes information about options expected to vest after December 31, 2019:</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Arial" w:cs="Arial" w:eastAsia="Arial" w:hAnsi="Arial"/>
                <w:sz w:val="16"/>
                <w:szCs w:val="16"/>
                <w:b w:val="1"/>
                <w:bCs w:val="1"/>
                <w:color w:val="auto"/>
                <w:w w:val="93"/>
              </w:rPr>
              <w:t>Options expected to vest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46"/>
        </w:trPr>
        <w:tc>
          <w:tcPr>
            <w:tcW w:w="1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182"/>
        </w:trPr>
        <w:tc>
          <w:tcPr>
            <w:tcW w:w="1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3"/>
        </w:trPr>
        <w:tc>
          <w:tcPr>
            <w:tcW w:w="1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 contractual life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r>
      <w:tr>
        <w:trPr>
          <w:trHeight w:val="210"/>
        </w:trPr>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Range price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Options</w:t>
            </w:r>
          </w:p>
        </w:tc>
        <w:tc>
          <w:tcPr>
            <w:tcW w:w="19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(years)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r>
      <w:tr>
        <w:trPr>
          <w:trHeight w:val="47"/>
        </w:trPr>
        <w:tc>
          <w:tcPr>
            <w:tcW w:w="15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3"/>
        </w:trPr>
        <w:tc>
          <w:tcPr>
            <w:tcW w:w="1520" w:type="dxa"/>
            <w:vAlign w:val="bottom"/>
            <w:tcBorders>
              <w:bottom w:val="single" w:sz="8" w:color="CCEEFF"/>
            </w:tcBorders>
            <w:shd w:val="clear" w:color="auto" w:fill="CCEEFF"/>
          </w:tcPr>
          <w:p>
            <w:pPr>
              <w:jc w:val="right"/>
              <w:ind w:right="1364"/>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562,064</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w w:val="79"/>
              </w:rPr>
              <w:t>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1520" w:type="dxa"/>
            <w:vAlign w:val="bottom"/>
          </w:tcPr>
          <w:p>
            <w:pPr>
              <w:jc w:val="right"/>
              <w:ind w:right="1364"/>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132,943</w:t>
            </w:r>
          </w:p>
        </w:tc>
        <w:tc>
          <w:tcPr>
            <w:tcW w:w="1960" w:type="dxa"/>
            <w:vAlign w:val="bottom"/>
            <w:gridSpan w:val="2"/>
          </w:tcPr>
          <w:p>
            <w:pPr>
              <w:ind w:left="1680"/>
              <w:spacing w:after="0"/>
              <w:rPr>
                <w:sz w:val="20"/>
                <w:szCs w:val="20"/>
                <w:color w:val="auto"/>
              </w:rPr>
            </w:pPr>
            <w:r>
              <w:rPr>
                <w:rFonts w:ascii="Arial" w:cs="Arial" w:eastAsia="Arial" w:hAnsi="Arial"/>
                <w:sz w:val="18"/>
                <w:szCs w:val="18"/>
                <w:color w:val="auto"/>
              </w:rPr>
              <w:t>4.9</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2.16</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Employee Benefit Plan</w:t>
      </w:r>
    </w:p>
    <w:p>
      <w:pPr>
        <w:spacing w:after="0" w:line="162"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years ended December 31, 2019 and 2018 did not contributed to the plan.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44"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In June 2019, the Company entered an operating lease for office space in Burlington, Massachusetts, which expires in April 30, 2020. The Company has the right to extend the operating lease on a month-to-month through August 31, 2020. In addition, the company leases two corporate apartments that can be used by employees who have traveled long distances in order to attend meetings in the corporate office in Burlington, MA. The lease of corporate apartments is on a month-to-month basis.</w:t>
      </w:r>
    </w:p>
    <w:p>
      <w:pPr>
        <w:spacing w:after="0" w:line="109" w:lineRule="exact"/>
        <w:rPr>
          <w:sz w:val="20"/>
          <w:szCs w:val="20"/>
          <w:color w:val="auto"/>
        </w:rPr>
      </w:pPr>
    </w:p>
    <w:p>
      <w:pPr>
        <w:ind w:left="460" w:right="939" w:firstLine="432"/>
        <w:spacing w:after="0" w:line="342" w:lineRule="auto"/>
        <w:rPr>
          <w:sz w:val="20"/>
          <w:szCs w:val="20"/>
          <w:color w:val="auto"/>
        </w:rPr>
      </w:pPr>
      <w:r>
        <w:rPr>
          <w:rFonts w:ascii="Arial" w:cs="Arial" w:eastAsia="Arial" w:hAnsi="Arial"/>
          <w:sz w:val="16"/>
          <w:szCs w:val="16"/>
          <w:color w:val="auto"/>
        </w:rPr>
        <w:t>The Company recognizes rent expense on a straight-line basis over the respective lease period. Rent expense was $53 and $10 for the years ended December 31, 2019 and 2018, respectively.</w:t>
      </w:r>
    </w:p>
    <w:p>
      <w:pPr>
        <w:spacing w:after="0" w:line="56" w:lineRule="exact"/>
        <w:rPr>
          <w:sz w:val="20"/>
          <w:szCs w:val="20"/>
          <w:color w:val="auto"/>
        </w:rPr>
      </w:pPr>
    </w:p>
    <w:p>
      <w:pPr>
        <w:jc w:val="both"/>
        <w:ind w:left="460" w:right="599" w:firstLine="432"/>
        <w:spacing w:after="0" w:line="277" w:lineRule="auto"/>
        <w:rPr>
          <w:sz w:val="20"/>
          <w:szCs w:val="20"/>
          <w:color w:val="auto"/>
        </w:rPr>
      </w:pPr>
      <w:r>
        <w:rPr>
          <w:rFonts w:ascii="Arial" w:cs="Arial" w:eastAsia="Arial" w:hAnsi="Arial"/>
          <w:sz w:val="18"/>
          <w:szCs w:val="18"/>
          <w:color w:val="auto"/>
        </w:rPr>
        <w:t>Future minimum lease commitments under operating leases as of December 31, 2019 are $30 until April 30, 2020.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44" w:lineRule="exact"/>
        <w:rPr>
          <w:sz w:val="20"/>
          <w:szCs w:val="20"/>
          <w:color w:val="auto"/>
        </w:rPr>
      </w:pPr>
    </w:p>
    <w:p>
      <w:pPr>
        <w:jc w:val="both"/>
        <w:ind w:left="460" w:right="619" w:firstLine="432"/>
        <w:spacing w:after="0" w:line="257" w:lineRule="auto"/>
        <w:rPr>
          <w:sz w:val="20"/>
          <w:szCs w:val="20"/>
          <w:color w:val="auto"/>
        </w:rPr>
      </w:pPr>
      <w:r>
        <w:rPr>
          <w:rFonts w:ascii="Arial" w:cs="Arial" w:eastAsia="Arial" w:hAnsi="Arial"/>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3" w:name="page124"/>
    <w:bookmarkEnd w:id="123"/>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 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During January 2020, the Company issued 55,000 shares of Series A Convertible Preferred Stock, $0.001 par value per share, for total consideration of $5,500,000. Shares of Series A Convertible Preferred Stock confer the same voting rights as the common stock and have preference rights in the event of liquidation and deemed liquidation. Shares of Series A Convertible Preferred Stock are convertible into common stock, at each holders’ option, or in their entirety (i) upon an Initial Public Offering of the Company, or (ii) consummation of an automatic conversion event.</w:t>
      </w:r>
    </w:p>
    <w:p>
      <w:pPr>
        <w:spacing w:after="0" w:line="111" w:lineRule="exact"/>
        <w:rPr>
          <w:sz w:val="20"/>
          <w:szCs w:val="20"/>
          <w:color w:val="auto"/>
        </w:rPr>
      </w:pPr>
    </w:p>
    <w:p>
      <w:pPr>
        <w:ind w:left="460" w:right="679" w:firstLine="432"/>
        <w:spacing w:after="0" w:line="342" w:lineRule="auto"/>
        <w:rPr>
          <w:sz w:val="20"/>
          <w:szCs w:val="20"/>
          <w:color w:val="auto"/>
        </w:rPr>
      </w:pPr>
      <w:r>
        <w:rPr>
          <w:rFonts w:ascii="Arial" w:cs="Arial" w:eastAsia="Arial" w:hAnsi="Arial"/>
          <w:sz w:val="16"/>
          <w:szCs w:val="16"/>
          <w:color w:val="auto"/>
        </w:rPr>
        <w:t>The holders of the Series A Convertible Preferred Stock have the right to receive dividends prior and in preference to any payment of any dividend on the common stock, at a rate of 7% per stock per annum.</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TriGrow Systems, Inc.</w:t>
      </w:r>
    </w:p>
    <w:p>
      <w:pPr>
        <w:spacing w:after="0" w:line="158" w:lineRule="exact"/>
        <w:rPr>
          <w:sz w:val="20"/>
          <w:szCs w:val="20"/>
          <w:color w:val="auto"/>
        </w:rPr>
      </w:pPr>
    </w:p>
    <w:p>
      <w:pPr>
        <w:ind w:left="460" w:right="899" w:firstLine="432"/>
        <w:spacing w:after="0" w:line="293" w:lineRule="auto"/>
        <w:rPr>
          <w:sz w:val="20"/>
          <w:szCs w:val="20"/>
          <w:color w:val="auto"/>
        </w:rPr>
      </w:pPr>
      <w:r>
        <w:rPr>
          <w:rFonts w:ascii="Arial" w:cs="Arial" w:eastAsia="Arial" w:hAnsi="Arial"/>
          <w:sz w:val="16"/>
          <w:szCs w:val="16"/>
          <w:color w:val="auto"/>
        </w:rPr>
        <w:t>On January 22, 2020, the Company acquired TriGrow Systems, Inc. (“TriGrow”), which became a wholly-owned subsidiary of the Company. TriGrow was a distributor of the Company’s automated, micro-climate, precision controlled vertical farming units solution for indoor grow. As part of the acquisition of TriGrow, the Company received TriGrow’s 75% interest in TriGrow Brands, LLC, an owner of portfolio cannabis consumer brands. In consideration of TriGrow’s shares, the Company issued to TriGrow’s shareholders 942,028 shares of the Company’s common stock, $0.001 par value per share.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of Authorized Shares</w:t>
      </w:r>
    </w:p>
    <w:p>
      <w:pPr>
        <w:spacing w:after="0" w:line="158" w:lineRule="exact"/>
        <w:rPr>
          <w:sz w:val="20"/>
          <w:szCs w:val="20"/>
          <w:color w:val="auto"/>
        </w:rPr>
      </w:pPr>
    </w:p>
    <w:p>
      <w:pPr>
        <w:jc w:val="both"/>
        <w:ind w:left="460" w:right="499" w:firstLine="432"/>
        <w:spacing w:after="0" w:line="340" w:lineRule="auto"/>
        <w:rPr>
          <w:sz w:val="20"/>
          <w:szCs w:val="20"/>
          <w:color w:val="auto"/>
        </w:rPr>
      </w:pPr>
      <w:r>
        <w:rPr>
          <w:rFonts w:ascii="Arial" w:cs="Arial" w:eastAsia="Arial" w:hAnsi="Arial"/>
          <w:sz w:val="15"/>
          <w:szCs w:val="15"/>
          <w:color w:val="auto"/>
        </w:rPr>
        <w:t>On January 6, 2020, the Company’s shareholders approved an increase to the number of authorized shares of capital stock that the Company shall have authority to issue to 53 million, consisting of: 50 million shares of common stock, $0.001 par value per share, and 3 million shares of preferred stock, $0.001 par value per share.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 Agreement</w:t>
      </w:r>
    </w:p>
    <w:p>
      <w:pPr>
        <w:spacing w:after="0" w:line="14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March 9, 2020, the Company entered into a distribution agreement with Enozo Technologies Inc. (“Enozo”), for an initial term of five years with auto renewal for successive one year periods unless earlier terminated. The agreement contains the following minimum purchases to retain distributor status as per the agreement, for the period from contract date until December 31, 2021 for $375, for the year ended December 31, 2022 for $750, for the year ended December 31, 2023 for $1,125 and may increase by 3% for the later years. A member of the board and the Company’s Chief Executive Officer both had ownership interests and were board members of Enozo.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AGRIFY CORPORATION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7"/>
              </w:rPr>
              <w:t>March 31,</w:t>
            </w:r>
          </w:p>
        </w:tc>
        <w:tc>
          <w:tcPr>
            <w:tcW w:w="12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Prepaid inventory</w:t>
            </w: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2,481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Intangible assets acquired through business combination, net</w:t>
            </w: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Capitalized website costs, net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gridSpan w:val="2"/>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8,260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3,227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5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b w:val="1"/>
                <w:bCs w:val="1"/>
                <w:color w:val="auto"/>
              </w:rPr>
              <w:t>Liabilities and Stockholders’ Equity (Deficit)</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870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2,807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4,032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14)</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 (Deficit)</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Common stock, 50,000,000 and 6,500,000 shares, $0.001 par value</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2"/>
              </w:rPr>
              <w:t>authorized as of March 31, 2020 and December 31, 2019, respectively;</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6,662,028 and 5,720,000 shares issued at March 31, 2020 and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December 31, 2019,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6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8"/>
              </w:rPr>
              <w:t>Preferred 2,895,000 and 0 shares, $0.001 par value authorized as of</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360"/>
              <w:spacing w:after="0"/>
              <w:rPr>
                <w:sz w:val="20"/>
                <w:szCs w:val="20"/>
                <w:color w:val="auto"/>
              </w:rPr>
            </w:pPr>
            <w:r>
              <w:rPr>
                <w:rFonts w:ascii="Arial" w:cs="Arial" w:eastAsia="Arial" w:hAnsi="Arial"/>
                <w:sz w:val="18"/>
                <w:szCs w:val="18"/>
                <w:color w:val="auto"/>
                <w:w w:val="92"/>
              </w:rPr>
              <w:t>March 31, 2020 and December 31, 2019, respectively; 0 shares issued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as of March 31, 2020 and December 31, 2019, respectively;</w:t>
            </w:r>
          </w:p>
        </w:tc>
        <w:tc>
          <w:tcPr>
            <w:tcW w:w="16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Preferred A stock 105,000 and 0 shares, $0.001 par value authorized as of</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6"/>
              </w:rPr>
              <w:t>March 31, 2020 and December 31, 2019, respectively; 60,000 and 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w w:val="92"/>
              </w:rPr>
              <w:t>shares issued at March 31, 2020 and December 31, 2019,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Subscription receivable</w:t>
            </w:r>
          </w:p>
        </w:tc>
        <w:tc>
          <w:tcPr>
            <w:tcW w:w="16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ind w:left="2780"/>
              <w:spacing w:after="0"/>
              <w:rPr>
                <w:sz w:val="20"/>
                <w:szCs w:val="20"/>
                <w:color w:val="auto"/>
              </w:rPr>
            </w:pPr>
            <w:r>
              <w:rPr>
                <w:rFonts w:ascii="Arial" w:cs="Arial" w:eastAsia="Arial" w:hAnsi="Arial"/>
                <w:sz w:val="18"/>
                <w:szCs w:val="18"/>
                <w:b w:val="1"/>
                <w:bCs w:val="1"/>
                <w:color w:val="auto"/>
                <w:w w:val="93"/>
              </w:rPr>
              <w:t>Total Stockholders’ Equity (Deficit)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56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(805</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8,260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3,227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5" w:name="page126"/>
    <w:bookmarkEnd w:id="125"/>
    <w:p>
      <w:pPr>
        <w:jc w:val="center"/>
        <w:ind w:left="460" w:right="459"/>
        <w:spacing w:after="0" w:line="266" w:lineRule="auto"/>
        <w:rPr>
          <w:sz w:val="20"/>
          <w:szCs w:val="20"/>
          <w:color w:val="auto"/>
        </w:rPr>
      </w:pPr>
      <w:r>
        <w:rPr>
          <w:rFonts w:ascii="Arial" w:cs="Arial" w:eastAsia="Arial" w:hAnsi="Arial"/>
          <w:sz w:val="18"/>
          <w:szCs w:val="18"/>
          <w:b w:val="1"/>
          <w:bCs w:val="1"/>
          <w:color w:val="auto"/>
        </w:rPr>
        <w:t>AGRIFY CORPORATION AND SUBSIDIARIES CONDENSED CONSOLIDATED STATEMENTS OF OPERATIONS (UNAUDITED)</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47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6"/>
                <w:szCs w:val="16"/>
                <w:b w:val="1"/>
                <w:bCs w:val="1"/>
                <w:color w:val="auto"/>
              </w:rPr>
              <w:t>March 31,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91"/>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84"/>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77"/>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7"/>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Interest (income) Expense, net</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Net loss before non-controlling interest</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3,444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3,413</w:t>
            </w:r>
          </w:p>
        </w:tc>
        <w:tc>
          <w:tcPr>
            <w:tcW w:w="52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6" w:name="page127"/>
    <w:bookmarkEnd w:id="126"/>
    <w:p>
      <w:pPr>
        <w:jc w:val="center"/>
        <w:ind w:left="460" w:right="479"/>
        <w:spacing w:after="0" w:line="263" w:lineRule="auto"/>
        <w:rPr>
          <w:sz w:val="20"/>
          <w:szCs w:val="20"/>
          <w:color w:val="auto"/>
        </w:rPr>
      </w:pPr>
      <w:r>
        <w:rPr>
          <w:rFonts w:ascii="Arial" w:cs="Arial" w:eastAsia="Arial" w:hAnsi="Arial"/>
          <w:sz w:val="18"/>
          <w:szCs w:val="18"/>
          <w:b w:val="1"/>
          <w:bCs w:val="1"/>
          <w:color w:val="auto"/>
        </w:rPr>
        <w:t>AGRIFY CORPORATION AND SUBSIDIARIES CONDENSED CONSOLIDATED STATEMENTS STOCKHOLDERS’ EQUITY FOR THE THREE MONTHS ENDED MARCH 31, 2019 and 2020 (UNAUDITED)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275"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14"/>
          </w:tcPr>
          <w:p>
            <w:pPr>
              <w:jc w:val="right"/>
              <w:ind w:right="88"/>
              <w:spacing w:after="0"/>
              <w:rPr>
                <w:sz w:val="20"/>
                <w:szCs w:val="20"/>
                <w:color w:val="auto"/>
              </w:rPr>
            </w:pPr>
            <w:r>
              <w:rPr>
                <w:rFonts w:ascii="Arial" w:cs="Arial" w:eastAsia="Arial" w:hAnsi="Arial"/>
                <w:sz w:val="14"/>
                <w:szCs w:val="14"/>
                <w:b w:val="1"/>
                <w:bCs w:val="1"/>
                <w:color w:val="auto"/>
                <w:w w:val="92"/>
              </w:rPr>
              <w:t>Three months ended March 31, 2019</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8"/>
            <w:vMerge w:val="restart"/>
          </w:tcPr>
          <w:p>
            <w:pPr>
              <w:ind w:left="80"/>
              <w:spacing w:after="0"/>
              <w:rPr>
                <w:sz w:val="20"/>
                <w:szCs w:val="20"/>
                <w:color w:val="auto"/>
              </w:rPr>
            </w:pPr>
            <w:r>
              <w:rPr>
                <w:rFonts w:ascii="Arial" w:cs="Arial" w:eastAsia="Arial" w:hAnsi="Arial"/>
                <w:sz w:val="14"/>
                <w:szCs w:val="14"/>
                <w:b w:val="1"/>
                <w:bCs w:val="1"/>
                <w:color w:val="auto"/>
              </w:rPr>
              <w:t>Preferred A</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tcPr>
          <w:p>
            <w:pPr>
              <w:jc w:val="center"/>
              <w:ind w:right="320"/>
              <w:spacing w:after="0" w:line="119"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gridSpan w:val="8"/>
            <w:vMerge w:val="continue"/>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6"/>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Stockholders’</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6"/>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8"/>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4"/>
            <w:vMerge w:val="restart"/>
          </w:tcPr>
          <w:p>
            <w:pPr>
              <w:jc w:val="center"/>
              <w:ind w:right="80"/>
              <w:spacing w:after="0" w:line="125"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4"/>
            <w:vMerge w:val="restart"/>
          </w:tcPr>
          <w:p>
            <w:pPr>
              <w:jc w:val="center"/>
              <w:ind w:right="320"/>
              <w:spacing w:after="0" w:line="125" w:lineRule="exact"/>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4"/>
            <w:vMerge w:val="restart"/>
          </w:tcPr>
          <w:p>
            <w:pPr>
              <w:jc w:val="center"/>
              <w:ind w:right="380"/>
              <w:spacing w:after="0" w:line="125" w:lineRule="exact"/>
              <w:rPr>
                <w:sz w:val="20"/>
                <w:szCs w:val="20"/>
                <w:color w:val="auto"/>
              </w:rPr>
            </w:pPr>
            <w:r>
              <w:rPr>
                <w:rFonts w:ascii="Arial" w:cs="Arial" w:eastAsia="Arial" w:hAnsi="Arial"/>
                <w:sz w:val="14"/>
                <w:szCs w:val="14"/>
                <w:b w:val="1"/>
                <w:bCs w:val="1"/>
                <w:color w:val="auto"/>
                <w:w w:val="93"/>
              </w:rPr>
              <w:t>Non-</w:t>
            </w:r>
          </w:p>
        </w:tc>
        <w:tc>
          <w:tcPr>
            <w:tcW w:w="840" w:type="dxa"/>
            <w:vAlign w:val="bottom"/>
            <w:gridSpan w:val="4"/>
            <w:vMerge w:val="restart"/>
          </w:tcPr>
          <w:p>
            <w:pPr>
              <w:jc w:val="center"/>
              <w:ind w:right="320"/>
              <w:spacing w:after="0" w:line="12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gridSpan w:val="4"/>
            <w:vMerge w:val="continue"/>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4"/>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16"/>
            <w:vMerge w:val="restart"/>
          </w:tcPr>
          <w:p>
            <w:pPr>
              <w:jc w:val="center"/>
              <w:ind w:right="60"/>
              <w:spacing w:after="0"/>
              <w:rPr>
                <w:sz w:val="20"/>
                <w:szCs w:val="20"/>
                <w:color w:val="auto"/>
              </w:rPr>
            </w:pPr>
            <w:r>
              <w:rPr>
                <w:rFonts w:ascii="Arial" w:cs="Arial" w:eastAsia="Arial" w:hAnsi="Arial"/>
                <w:sz w:val="14"/>
                <w:szCs w:val="14"/>
                <w:b w:val="1"/>
                <w:bCs w:val="1"/>
                <w:color w:val="auto"/>
                <w:w w:val="98"/>
              </w:rPr>
              <w:t>Shares  Amount Shares Amount</w:t>
            </w:r>
          </w:p>
        </w:tc>
        <w:tc>
          <w:tcPr>
            <w:tcW w:w="740" w:type="dxa"/>
            <w:vAlign w:val="bottom"/>
            <w:gridSpan w:val="4"/>
          </w:tcPr>
          <w:p>
            <w:pPr>
              <w:jc w:val="center"/>
              <w:ind w:right="100"/>
              <w:spacing w:after="0" w:line="147" w:lineRule="exact"/>
              <w:rPr>
                <w:sz w:val="20"/>
                <w:szCs w:val="20"/>
                <w:color w:val="auto"/>
              </w:rPr>
            </w:pPr>
            <w:r>
              <w:rPr>
                <w:rFonts w:ascii="Arial" w:cs="Arial" w:eastAsia="Arial" w:hAnsi="Arial"/>
                <w:sz w:val="14"/>
                <w:szCs w:val="14"/>
                <w:b w:val="1"/>
                <w:bCs w:val="1"/>
                <w:color w:val="auto"/>
              </w:rPr>
              <w:t>Paid-In</w:t>
            </w:r>
          </w:p>
        </w:tc>
        <w:tc>
          <w:tcPr>
            <w:tcW w:w="4380" w:type="dxa"/>
            <w:vAlign w:val="bottom"/>
            <w:gridSpan w:val="26"/>
          </w:tcPr>
          <w:p>
            <w:pPr>
              <w:spacing w:after="0" w:line="147" w:lineRule="exact"/>
              <w:rPr>
                <w:sz w:val="20"/>
                <w:szCs w:val="20"/>
                <w:color w:val="auto"/>
              </w:rPr>
            </w:pPr>
            <w:r>
              <w:rPr>
                <w:rFonts w:ascii="Arial" w:cs="Arial" w:eastAsia="Arial" w:hAnsi="Arial"/>
                <w:sz w:val="14"/>
                <w:szCs w:val="14"/>
                <w:b w:val="1"/>
                <w:bCs w:val="1"/>
                <w:color w:val="auto"/>
                <w:w w:val="99"/>
              </w:rPr>
              <w:t>Subscription Accumulated  attributable  controlling Stockholders’</w:t>
            </w: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16"/>
            <w:vMerge w:val="continue"/>
          </w:tcPr>
          <w:p>
            <w:pPr>
              <w:spacing w:after="0"/>
              <w:rPr>
                <w:sz w:val="16"/>
                <w:szCs w:val="16"/>
                <w:color w:val="auto"/>
              </w:rPr>
            </w:pPr>
          </w:p>
        </w:tc>
        <w:tc>
          <w:tcPr>
            <w:tcW w:w="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0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5"/>
              </w:rPr>
              <w:t>Receivable</w:t>
            </w:r>
          </w:p>
        </w:tc>
        <w:tc>
          <w:tcPr>
            <w:tcW w:w="880" w:type="dxa"/>
            <w:vAlign w:val="bottom"/>
            <w:gridSpan w:val="5"/>
          </w:tcPr>
          <w:p>
            <w:pPr>
              <w:jc w:val="right"/>
              <w:ind w:right="348"/>
              <w:spacing w:after="0"/>
              <w:rPr>
                <w:sz w:val="20"/>
                <w:szCs w:val="20"/>
                <w:color w:val="auto"/>
              </w:rPr>
            </w:pPr>
            <w:r>
              <w:rPr>
                <w:rFonts w:ascii="Arial" w:cs="Arial" w:eastAsia="Arial" w:hAnsi="Arial"/>
                <w:sz w:val="14"/>
                <w:szCs w:val="14"/>
                <w:b w:val="1"/>
                <w:bCs w:val="1"/>
                <w:color w:val="auto"/>
              </w:rPr>
              <w:t>Deficit</w:t>
            </w:r>
          </w:p>
        </w:tc>
        <w:tc>
          <w:tcPr>
            <w:tcW w:w="8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7"/>
              </w:rPr>
              <w:t>to Agrify</w:t>
            </w:r>
          </w:p>
        </w:tc>
        <w:tc>
          <w:tcPr>
            <w:tcW w:w="8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w w:val="97"/>
              </w:rPr>
              <w:t>January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1, 2019</w:t>
            </w: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w w:val="89"/>
              </w:rPr>
              <w:t>3,680,000</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center"/>
              <w:ind w:left="142"/>
              <w:spacing w:after="0"/>
              <w:rPr>
                <w:sz w:val="20"/>
                <w:szCs w:val="20"/>
                <w:color w:val="auto"/>
              </w:rPr>
            </w:pPr>
            <w:r>
              <w:rPr>
                <w:rFonts w:ascii="Arial" w:cs="Arial" w:eastAsia="Arial" w:hAnsi="Arial"/>
                <w:sz w:val="16"/>
                <w:szCs w:val="16"/>
                <w:color w:val="auto"/>
                <w:w w:val="89"/>
              </w:rPr>
              <w:t>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center"/>
              <w:ind w:left="220"/>
              <w:spacing w:after="0"/>
              <w:rPr>
                <w:sz w:val="20"/>
                <w:szCs w:val="20"/>
                <w:color w:val="auto"/>
              </w:rPr>
            </w:pPr>
            <w:r>
              <w:rPr>
                <w:rFonts w:ascii="Arial" w:cs="Arial" w:eastAsia="Arial" w:hAnsi="Arial"/>
                <w:sz w:val="16"/>
                <w:szCs w:val="16"/>
                <w:color w:val="auto"/>
                <w:w w:val="89"/>
              </w:rPr>
              <w:t>89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(1,851)</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(1,758)</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(1,758)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00" w:type="dxa"/>
            <w:vAlign w:val="bottom"/>
          </w:tcPr>
          <w:p>
            <w:pPr>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3"/>
          </w:tcPr>
          <w:p>
            <w:pPr>
              <w:ind w:left="34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March</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60" w:type="dxa"/>
            <w:vAlign w:val="bottom"/>
            <w:gridSpan w:val="5"/>
            <w:shd w:val="clear" w:color="auto" w:fill="CCEEFF"/>
          </w:tcPr>
          <w:p>
            <w:pPr>
              <w:ind w:left="180"/>
              <w:spacing w:after="0"/>
              <w:rPr>
                <w:sz w:val="20"/>
                <w:szCs w:val="20"/>
                <w:color w:val="auto"/>
              </w:rPr>
            </w:pPr>
            <w:r>
              <w:rPr>
                <w:rFonts w:ascii="Arial" w:cs="Arial" w:eastAsia="Arial" w:hAnsi="Arial"/>
                <w:sz w:val="16"/>
                <w:szCs w:val="16"/>
                <w:b w:val="1"/>
                <w:bCs w:val="1"/>
                <w:color w:val="auto"/>
                <w:w w:val="91"/>
              </w:rPr>
              <w:t>31, 201</w:t>
            </w:r>
            <w:r>
              <w:rPr>
                <w:rFonts w:ascii="Arial" w:cs="Arial" w:eastAsia="Arial" w:hAnsi="Arial"/>
                <w:sz w:val="16"/>
                <w:szCs w:val="16"/>
                <w:color w:val="auto"/>
                <w:w w:val="91"/>
              </w:rPr>
              <w:t>9 3,680,000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jc w:val="center"/>
              <w:ind w:left="142"/>
              <w:spacing w:after="0"/>
              <w:rPr>
                <w:sz w:val="20"/>
                <w:szCs w:val="20"/>
                <w:color w:val="auto"/>
              </w:rPr>
            </w:pPr>
            <w:r>
              <w:rPr>
                <w:rFonts w:ascii="Arial" w:cs="Arial" w:eastAsia="Arial" w:hAnsi="Arial"/>
                <w:sz w:val="16"/>
                <w:szCs w:val="16"/>
                <w:color w:val="auto"/>
                <w:w w:val="89"/>
              </w:rPr>
              <w:t>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gridSpan w:val="4"/>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center"/>
              <w:ind w:left="220"/>
              <w:spacing w:after="0"/>
              <w:rPr>
                <w:sz w:val="20"/>
                <w:szCs w:val="20"/>
                <w:color w:val="auto"/>
              </w:rPr>
            </w:pPr>
            <w:r>
              <w:rPr>
                <w:rFonts w:ascii="Arial" w:cs="Arial" w:eastAsia="Arial" w:hAnsi="Arial"/>
                <w:sz w:val="16"/>
                <w:szCs w:val="16"/>
                <w:color w:val="auto"/>
                <w:w w:val="89"/>
              </w:rPr>
              <w:t>89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(1,869)</w:t>
            </w: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(1,776)</w:t>
            </w:r>
          </w:p>
        </w:tc>
        <w:tc>
          <w:tcPr>
            <w:tcW w:w="10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(1,776)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20" w:type="dxa"/>
            <w:vAlign w:val="bottom"/>
            <w:gridSpan w:val="18"/>
          </w:tcPr>
          <w:p>
            <w:pPr>
              <w:jc w:val="right"/>
              <w:ind w:right="820"/>
              <w:spacing w:after="0"/>
              <w:rPr>
                <w:sz w:val="20"/>
                <w:szCs w:val="20"/>
                <w:color w:val="auto"/>
              </w:rPr>
            </w:pPr>
            <w:r>
              <w:rPr>
                <w:rFonts w:ascii="Arial" w:cs="Arial" w:eastAsia="Arial" w:hAnsi="Arial"/>
                <w:sz w:val="14"/>
                <w:szCs w:val="14"/>
                <w:b w:val="1"/>
                <w:bCs w:val="1"/>
                <w:color w:val="auto"/>
                <w:w w:val="98"/>
              </w:rPr>
              <w:t>Three months ended March 31, 2020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6"/>
              </w:rPr>
              <w:t>Preferred A</w:t>
            </w: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7"/>
            <w:vMerge w:val="continue"/>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60" w:type="dxa"/>
            <w:vAlign w:val="bottom"/>
            <w:gridSpan w:val="11"/>
            <w:vMerge w:val="restart"/>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7"/>
            <w:vMerge w:val="restart"/>
          </w:tcPr>
          <w:p>
            <w:pPr>
              <w:ind w:left="120"/>
              <w:spacing w:after="0"/>
              <w:rPr>
                <w:sz w:val="20"/>
                <w:szCs w:val="20"/>
                <w:color w:val="auto"/>
              </w:rPr>
            </w:pPr>
            <w:r>
              <w:rPr>
                <w:rFonts w:ascii="Arial" w:cs="Arial" w:eastAsia="Arial" w:hAnsi="Arial"/>
                <w:sz w:val="14"/>
                <w:szCs w:val="14"/>
                <w:b w:val="1"/>
                <w:bCs w:val="1"/>
                <w:color w:val="auto"/>
                <w:w w:val="93"/>
              </w:rPr>
              <w:t>Common Stock</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60" w:type="dxa"/>
            <w:vAlign w:val="bottom"/>
            <w:gridSpan w:val="11"/>
            <w:vMerge w:val="continue"/>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4"/>
            <w:vMerge w:val="restart"/>
          </w:tcPr>
          <w:p>
            <w:pPr>
              <w:jc w:val="center"/>
              <w:ind w:right="20"/>
              <w:spacing w:after="0" w:line="125" w:lineRule="exact"/>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4"/>
            <w:vMerge w:val="restart"/>
          </w:tcPr>
          <w:p>
            <w:pPr>
              <w:jc w:val="center"/>
              <w:spacing w:after="0" w:line="125" w:lineRule="exact"/>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4"/>
            <w:vMerge w:val="restart"/>
          </w:tcPr>
          <w:p>
            <w:pPr>
              <w:jc w:val="center"/>
              <w:ind w:right="60"/>
              <w:spacing w:after="0" w:line="125" w:lineRule="exact"/>
              <w:rPr>
                <w:sz w:val="20"/>
                <w:szCs w:val="20"/>
                <w:color w:val="auto"/>
              </w:rPr>
            </w:pPr>
            <w:r>
              <w:rPr>
                <w:rFonts w:ascii="Arial" w:cs="Arial" w:eastAsia="Arial" w:hAnsi="Arial"/>
                <w:sz w:val="14"/>
                <w:szCs w:val="14"/>
                <w:b w:val="1"/>
                <w:bCs w:val="1"/>
                <w:color w:val="auto"/>
                <w:w w:val="93"/>
              </w:rPr>
              <w:t>Non-</w:t>
            </w:r>
          </w:p>
        </w:tc>
        <w:tc>
          <w:tcPr>
            <w:tcW w:w="840" w:type="dxa"/>
            <w:vAlign w:val="bottom"/>
            <w:gridSpan w:val="4"/>
            <w:vMerge w:val="restart"/>
          </w:tcPr>
          <w:p>
            <w:pPr>
              <w:jc w:val="center"/>
              <w:ind w:right="60"/>
              <w:spacing w:after="0" w:line="12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gridSpan w:val="4"/>
            <w:vMerge w:val="continue"/>
          </w:tcPr>
          <w:p>
            <w:pPr>
              <w:spacing w:after="0"/>
              <w:rPr>
                <w:sz w:val="2"/>
                <w:szCs w:val="2"/>
                <w:color w:val="auto"/>
              </w:rPr>
            </w:pPr>
          </w:p>
        </w:tc>
        <w:tc>
          <w:tcPr>
            <w:tcW w:w="1680" w:type="dxa"/>
            <w:vAlign w:val="bottom"/>
            <w:gridSpan w:val="9"/>
            <w:vMerge w:val="restart"/>
          </w:tcPr>
          <w:p>
            <w:pPr>
              <w:jc w:val="right"/>
              <w:spacing w:after="0"/>
              <w:rPr>
                <w:sz w:val="20"/>
                <w:szCs w:val="20"/>
                <w:color w:val="auto"/>
              </w:rPr>
            </w:pPr>
            <w:r>
              <w:rPr>
                <w:rFonts w:ascii="Arial" w:cs="Arial" w:eastAsia="Arial" w:hAnsi="Arial"/>
                <w:sz w:val="14"/>
                <w:szCs w:val="14"/>
                <w:b w:val="1"/>
                <w:bCs w:val="1"/>
                <w:color w:val="auto"/>
                <w:w w:val="93"/>
              </w:rPr>
              <w:t>Subscription Accumulated</w:t>
            </w:r>
          </w:p>
        </w:tc>
        <w:tc>
          <w:tcPr>
            <w:tcW w:w="4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4"/>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50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89"/>
              </w:rPr>
              <w:t>Shares</w:t>
            </w:r>
          </w:p>
        </w:tc>
        <w:tc>
          <w:tcPr>
            <w:tcW w:w="5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700" w:type="dxa"/>
            <w:vAlign w:val="bottom"/>
            <w:gridSpan w:val="4"/>
          </w:tcPr>
          <w:p>
            <w:pPr>
              <w:jc w:val="center"/>
              <w:ind w:right="40"/>
              <w:spacing w:after="0" w:line="147" w:lineRule="exact"/>
              <w:rPr>
                <w:sz w:val="20"/>
                <w:szCs w:val="20"/>
                <w:color w:val="auto"/>
              </w:rPr>
            </w:pPr>
            <w:r>
              <w:rPr>
                <w:rFonts w:ascii="Arial" w:cs="Arial" w:eastAsia="Arial" w:hAnsi="Arial"/>
                <w:sz w:val="14"/>
                <w:szCs w:val="14"/>
                <w:b w:val="1"/>
                <w:bCs w:val="1"/>
                <w:color w:val="auto"/>
                <w:w w:val="98"/>
              </w:rPr>
              <w:t>Paid-In</w:t>
            </w:r>
          </w:p>
        </w:tc>
        <w:tc>
          <w:tcPr>
            <w:tcW w:w="1680" w:type="dxa"/>
            <w:vAlign w:val="bottom"/>
            <w:gridSpan w:val="9"/>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jc w:val="right"/>
              <w:ind w:right="20"/>
              <w:spacing w:after="0" w:line="147" w:lineRule="exact"/>
              <w:rPr>
                <w:sz w:val="20"/>
                <w:szCs w:val="20"/>
                <w:color w:val="auto"/>
              </w:rPr>
            </w:pPr>
            <w:r>
              <w:rPr>
                <w:rFonts w:ascii="Arial" w:cs="Arial" w:eastAsia="Arial" w:hAnsi="Arial"/>
                <w:sz w:val="14"/>
                <w:szCs w:val="14"/>
                <w:b w:val="1"/>
                <w:bCs w:val="1"/>
                <w:color w:val="auto"/>
                <w:w w:val="99"/>
              </w:rPr>
              <w:t>attributable</w:t>
            </w:r>
          </w:p>
        </w:tc>
        <w:tc>
          <w:tcPr>
            <w:tcW w:w="40" w:type="dxa"/>
            <w:vAlign w:val="bottom"/>
          </w:tcPr>
          <w:p>
            <w:pPr>
              <w:spacing w:after="0"/>
              <w:rPr>
                <w:sz w:val="12"/>
                <w:szCs w:val="12"/>
                <w:color w:val="auto"/>
              </w:rPr>
            </w:pPr>
          </w:p>
        </w:tc>
        <w:tc>
          <w:tcPr>
            <w:tcW w:w="1620" w:type="dxa"/>
            <w:vAlign w:val="bottom"/>
            <w:gridSpan w:val="9"/>
          </w:tcPr>
          <w:p>
            <w:pPr>
              <w:ind w:left="60"/>
              <w:spacing w:after="0" w:line="147" w:lineRule="exact"/>
              <w:rPr>
                <w:sz w:val="20"/>
                <w:szCs w:val="20"/>
                <w:color w:val="auto"/>
              </w:rPr>
            </w:pPr>
            <w:r>
              <w:rPr>
                <w:rFonts w:ascii="Arial" w:cs="Arial" w:eastAsia="Arial" w:hAnsi="Arial"/>
                <w:sz w:val="14"/>
                <w:szCs w:val="14"/>
                <w:b w:val="1"/>
                <w:bCs w:val="1"/>
                <w:color w:val="auto"/>
                <w:w w:val="91"/>
              </w:rPr>
              <w:t>controlling Stockholders’</w:t>
            </w: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4"/>
            <w:vMerge w:val="continue"/>
          </w:tcPr>
          <w:p>
            <w:pPr>
              <w:spacing w:after="0"/>
              <w:rPr>
                <w:sz w:val="16"/>
                <w:szCs w:val="16"/>
                <w:color w:val="auto"/>
              </w:rPr>
            </w:pPr>
          </w:p>
        </w:tc>
        <w:tc>
          <w:tcPr>
            <w:tcW w:w="50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gridSpan w:val="4"/>
            <w:vMerge w:val="continue"/>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6"/>
                <w:szCs w:val="16"/>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Receivable</w:t>
            </w:r>
          </w:p>
        </w:tc>
        <w:tc>
          <w:tcPr>
            <w:tcW w:w="60" w:type="dxa"/>
            <w:vAlign w:val="bottom"/>
          </w:tcPr>
          <w:p>
            <w:pPr>
              <w:spacing w:after="0"/>
              <w:rPr>
                <w:sz w:val="16"/>
                <w:szCs w:val="16"/>
                <w:color w:val="auto"/>
              </w:rPr>
            </w:pPr>
          </w:p>
        </w:tc>
        <w:tc>
          <w:tcPr>
            <w:tcW w:w="82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6"/>
                <w:szCs w:val="16"/>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to Agrify</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Interests</w:t>
            </w:r>
          </w:p>
        </w:tc>
        <w:tc>
          <w:tcPr>
            <w:tcW w:w="8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80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tcBorders>
              <w:left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4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January 1,</w:t>
            </w:r>
          </w:p>
        </w:tc>
        <w:tc>
          <w:tcPr>
            <w:tcW w:w="74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5,720,000</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6</w:t>
            </w:r>
          </w:p>
        </w:tc>
        <w:tc>
          <w:tcPr>
            <w:tcW w:w="56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0</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4,122</w:t>
            </w:r>
          </w:p>
        </w:tc>
        <w:tc>
          <w:tcPr>
            <w:tcW w:w="20" w:type="dxa"/>
            <w:vAlign w:val="bottom"/>
            <w:shd w:val="clear" w:color="auto" w:fill="CCEEFF"/>
          </w:tcPr>
          <w:p>
            <w:pPr>
              <w:spacing w:after="0"/>
              <w:rPr>
                <w:sz w:val="12"/>
                <w:szCs w:val="12"/>
                <w:color w:val="auto"/>
              </w:rPr>
            </w:pPr>
          </w:p>
        </w:tc>
        <w:tc>
          <w:tcPr>
            <w:tcW w:w="80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(40)</w:t>
            </w:r>
          </w:p>
        </w:tc>
        <w:tc>
          <w:tcPr>
            <w:tcW w:w="880" w:type="dxa"/>
            <w:vAlign w:val="bottom"/>
            <w:gridSpan w:val="5"/>
            <w:vMerge w:val="restart"/>
            <w:shd w:val="clear" w:color="auto" w:fill="CCEEFF"/>
          </w:tcPr>
          <w:p>
            <w:pPr>
              <w:ind w:left="340"/>
              <w:spacing w:after="0"/>
              <w:rPr>
                <w:sz w:val="20"/>
                <w:szCs w:val="20"/>
                <w:color w:val="auto"/>
              </w:rPr>
            </w:pPr>
            <w:r>
              <w:rPr>
                <w:rFonts w:ascii="Arial" w:cs="Arial" w:eastAsia="Arial" w:hAnsi="Arial"/>
                <w:sz w:val="16"/>
                <w:szCs w:val="16"/>
                <w:color w:val="auto"/>
              </w:rPr>
              <w:t>(4,893)</w:t>
            </w:r>
          </w:p>
        </w:tc>
        <w:tc>
          <w:tcPr>
            <w:tcW w:w="840" w:type="dxa"/>
            <w:vAlign w:val="bottom"/>
            <w:gridSpan w:val="5"/>
            <w:vMerge w:val="restart"/>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560" w:type="dxa"/>
            <w:vAlign w:val="bottom"/>
            <w:tcBorders>
              <w:bottom w:val="single" w:sz="8" w:color="CCEEFF"/>
            </w:tcBorders>
            <w:gridSpan w:val="5"/>
            <w:vMerge w:val="continue"/>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vMerge w:val="continue"/>
            <w:shd w:val="clear" w:color="auto" w:fill="CCEEFF"/>
          </w:tcPr>
          <w:p>
            <w:pPr>
              <w:spacing w:after="0"/>
              <w:rPr>
                <w:sz w:val="16"/>
                <w:szCs w:val="16"/>
                <w:color w:val="auto"/>
              </w:rPr>
            </w:pPr>
          </w:p>
        </w:tc>
        <w:tc>
          <w:tcPr>
            <w:tcW w:w="720" w:type="dxa"/>
            <w:vAlign w:val="bottom"/>
            <w:tcBorders>
              <w:bottom w:val="single" w:sz="8" w:color="CCEEFF"/>
            </w:tcBorders>
            <w:gridSpan w:val="4"/>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4"/>
            <w:vMerge w:val="continue"/>
            <w:shd w:val="clear" w:color="auto" w:fill="CCEEFF"/>
          </w:tcPr>
          <w:p>
            <w:pPr>
              <w:spacing w:after="0"/>
              <w:rPr>
                <w:sz w:val="16"/>
                <w:szCs w:val="16"/>
                <w:color w:val="auto"/>
              </w:rPr>
            </w:pPr>
          </w:p>
        </w:tc>
        <w:tc>
          <w:tcPr>
            <w:tcW w:w="880" w:type="dxa"/>
            <w:vAlign w:val="bottom"/>
            <w:tcBorders>
              <w:bottom w:val="single" w:sz="8" w:color="CCEEFF"/>
            </w:tcBorders>
            <w:gridSpan w:val="5"/>
            <w:vMerge w:val="continue"/>
            <w:shd w:val="clear" w:color="auto" w:fill="CCEEFF"/>
          </w:tcPr>
          <w:p>
            <w:pPr>
              <w:spacing w:after="0"/>
              <w:rPr>
                <w:sz w:val="16"/>
                <w:szCs w:val="16"/>
                <w:color w:val="auto"/>
              </w:rPr>
            </w:pPr>
          </w:p>
        </w:tc>
        <w:tc>
          <w:tcPr>
            <w:tcW w:w="840" w:type="dxa"/>
            <w:vAlign w:val="bottom"/>
            <w:tcBorders>
              <w:bottom w:val="single" w:sz="8" w:color="CCEEFF"/>
            </w:tcBorders>
            <w:gridSpan w:val="5"/>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4"/>
            <w:vMerge w:val="continue"/>
            <w:shd w:val="clear" w:color="auto" w:fill="CCEEFF"/>
          </w:tcPr>
          <w:p>
            <w:pPr>
              <w:spacing w:after="0"/>
              <w:rPr>
                <w:sz w:val="16"/>
                <w:szCs w:val="16"/>
                <w:color w:val="auto"/>
              </w:rPr>
            </w:pPr>
          </w:p>
        </w:tc>
        <w:tc>
          <w:tcPr>
            <w:tcW w:w="82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00" w:type="dxa"/>
            <w:vAlign w:val="bottom"/>
          </w:tcPr>
          <w:p>
            <w:pPr>
              <w:spacing w:after="0" w:line="130" w:lineRule="exact"/>
              <w:rPr>
                <w:sz w:val="20"/>
                <w:szCs w:val="20"/>
                <w:color w:val="auto"/>
              </w:rPr>
            </w:pPr>
            <w:r>
              <w:rPr>
                <w:rFonts w:ascii="Arial" w:cs="Arial" w:eastAsia="Arial" w:hAnsi="Arial"/>
                <w:sz w:val="14"/>
                <w:szCs w:val="14"/>
                <w:color w:val="auto"/>
              </w:rPr>
              <w:t>Stock based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61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5"/>
            <w:vMerge w:val="restart"/>
          </w:tcPr>
          <w:p>
            <w:pPr>
              <w:jc w:val="right"/>
              <w:ind w:right="60"/>
              <w:spacing w:after="0"/>
              <w:rPr>
                <w:sz w:val="20"/>
                <w:szCs w:val="20"/>
                <w:color w:val="auto"/>
              </w:rPr>
            </w:pPr>
            <w:r>
              <w:rPr>
                <w:rFonts w:ascii="Arial" w:cs="Arial" w:eastAsia="Arial" w:hAnsi="Arial"/>
                <w:sz w:val="16"/>
                <w:szCs w:val="16"/>
                <w:color w:val="auto"/>
              </w:rPr>
              <w:t>61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40" w:type="dxa"/>
            <w:vAlign w:val="bottom"/>
            <w:gridSpan w:val="8"/>
          </w:tcPr>
          <w:p>
            <w:pPr>
              <w:ind w:left="180"/>
              <w:spacing w:after="0"/>
              <w:rPr>
                <w:sz w:val="20"/>
                <w:szCs w:val="20"/>
                <w:color w:val="auto"/>
              </w:rPr>
            </w:pPr>
            <w:r>
              <w:rPr>
                <w:rFonts w:ascii="Arial" w:cs="Arial" w:eastAsia="Arial" w:hAnsi="Arial"/>
                <w:sz w:val="14"/>
                <w:szCs w:val="14"/>
                <w:color w:val="auto"/>
              </w:rPr>
              <w:t>compensation</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40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lef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w w:val="99"/>
              </w:rPr>
              <w:t>subscription</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4"/>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5"/>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right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0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Preferred A</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5"/>
            <w:vMerge w:val="restart"/>
          </w:tcPr>
          <w:p>
            <w:pPr>
              <w:jc w:val="right"/>
              <w:ind w:right="60"/>
              <w:spacing w:after="0"/>
              <w:rPr>
                <w:sz w:val="20"/>
                <w:szCs w:val="20"/>
                <w:color w:val="auto"/>
              </w:rPr>
            </w:pPr>
            <w:r>
              <w:rPr>
                <w:rFonts w:ascii="Arial" w:cs="Arial" w:eastAsia="Arial" w:hAnsi="Arial"/>
                <w:sz w:val="16"/>
                <w:szCs w:val="16"/>
                <w:color w:val="auto"/>
                <w:w w:val="98"/>
              </w:rPr>
              <w:t>60,000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4"/>
            <w:vMerge w:val="restart"/>
          </w:tcPr>
          <w:p>
            <w:pPr>
              <w:jc w:val="right"/>
              <w:spacing w:after="0"/>
              <w:rPr>
                <w:sz w:val="20"/>
                <w:szCs w:val="20"/>
                <w:color w:val="auto"/>
              </w:rPr>
            </w:pPr>
            <w:r>
              <w:rPr>
                <w:rFonts w:ascii="Arial" w:cs="Arial" w:eastAsia="Arial" w:hAnsi="Arial"/>
                <w:sz w:val="16"/>
                <w:szCs w:val="16"/>
                <w:color w:val="auto"/>
              </w:rPr>
              <w:t>6,000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5"/>
            <w:vMerge w:val="restart"/>
          </w:tcPr>
          <w:p>
            <w:pPr>
              <w:jc w:val="right"/>
              <w:ind w:right="60"/>
              <w:spacing w:after="0"/>
              <w:rPr>
                <w:sz w:val="20"/>
                <w:szCs w:val="20"/>
                <w:color w:val="auto"/>
              </w:rPr>
            </w:pPr>
            <w:r>
              <w:rPr>
                <w:rFonts w:ascii="Arial" w:cs="Arial" w:eastAsia="Arial" w:hAnsi="Arial"/>
                <w:sz w:val="16"/>
                <w:szCs w:val="16"/>
                <w:color w:val="auto"/>
              </w:rPr>
              <w:t>6,000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0" w:type="dxa"/>
            <w:vAlign w:val="bottom"/>
          </w:tcPr>
          <w:p>
            <w:pPr>
              <w:ind w:left="180"/>
              <w:spacing w:after="0"/>
              <w:rPr>
                <w:sz w:val="20"/>
                <w:szCs w:val="20"/>
                <w:color w:val="auto"/>
              </w:rPr>
            </w:pPr>
            <w:r>
              <w:rPr>
                <w:rFonts w:ascii="Arial" w:cs="Arial" w:eastAsia="Arial" w:hAnsi="Arial"/>
                <w:sz w:val="14"/>
                <w:szCs w:val="14"/>
                <w:color w:val="auto"/>
              </w:rPr>
              <w:t>Stock</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5"/>
            <w:vMerge w:val="continue"/>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Investment in</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Agrify</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lef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Valiant</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940" w:type="dxa"/>
            <w:vAlign w:val="bottom"/>
            <w:gridSpan w:val="3"/>
          </w:tcPr>
          <w:p>
            <w:pPr>
              <w:spacing w:after="0" w:line="130" w:lineRule="exact"/>
              <w:rPr>
                <w:sz w:val="20"/>
                <w:szCs w:val="20"/>
                <w:color w:val="auto"/>
              </w:rPr>
            </w:pPr>
            <w:r>
              <w:rPr>
                <w:rFonts w:ascii="Arial" w:cs="Arial" w:eastAsia="Arial" w:hAnsi="Arial"/>
                <w:sz w:val="14"/>
                <w:szCs w:val="14"/>
                <w:color w:val="auto"/>
              </w:rPr>
              <w:t>Acquisition of</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TriGrow</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4"/>
            <w:vMerge w:val="restart"/>
          </w:tcPr>
          <w:p>
            <w:pPr>
              <w:jc w:val="right"/>
              <w:spacing w:after="0"/>
              <w:rPr>
                <w:sz w:val="20"/>
                <w:szCs w:val="20"/>
                <w:color w:val="auto"/>
              </w:rPr>
            </w:pPr>
            <w:r>
              <w:rPr>
                <w:rFonts w:ascii="Arial" w:cs="Arial" w:eastAsia="Arial" w:hAnsi="Arial"/>
                <w:sz w:val="16"/>
                <w:szCs w:val="16"/>
                <w:color w:val="auto"/>
              </w:rPr>
              <w:t>942,028</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4"/>
            <w:vMerge w:val="restart"/>
          </w:tcPr>
          <w:p>
            <w:pPr>
              <w:jc w:val="right"/>
              <w:spacing w:after="0"/>
              <w:rPr>
                <w:sz w:val="20"/>
                <w:szCs w:val="20"/>
                <w:color w:val="auto"/>
              </w:rPr>
            </w:pPr>
            <w:r>
              <w:rPr>
                <w:rFonts w:ascii="Arial" w:cs="Arial" w:eastAsia="Arial" w:hAnsi="Arial"/>
                <w:sz w:val="16"/>
                <w:szCs w:val="16"/>
                <w:color w:val="auto"/>
              </w:rPr>
              <w:t>1,355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5"/>
            <w:vMerge w:val="restart"/>
          </w:tcPr>
          <w:p>
            <w:pPr>
              <w:jc w:val="right"/>
              <w:ind w:right="60"/>
              <w:spacing w:after="0"/>
              <w:rPr>
                <w:sz w:val="20"/>
                <w:szCs w:val="20"/>
                <w:color w:val="auto"/>
              </w:rPr>
            </w:pPr>
            <w:r>
              <w:rPr>
                <w:rFonts w:ascii="Arial" w:cs="Arial" w:eastAsia="Arial" w:hAnsi="Arial"/>
                <w:sz w:val="16"/>
                <w:szCs w:val="16"/>
                <w:color w:val="auto"/>
              </w:rPr>
              <w:t>1,356</w:t>
            </w:r>
          </w:p>
        </w:tc>
        <w:tc>
          <w:tcPr>
            <w:tcW w:w="660" w:type="dxa"/>
            <w:vAlign w:val="bottom"/>
            <w:gridSpan w:val="3"/>
            <w:vMerge w:val="restart"/>
          </w:tcPr>
          <w:p>
            <w:pPr>
              <w:jc w:val="right"/>
              <w:spacing w:after="0"/>
              <w:rPr>
                <w:sz w:val="20"/>
                <w:szCs w:val="20"/>
                <w:color w:val="auto"/>
              </w:rPr>
            </w:pPr>
            <w:r>
              <w:rPr>
                <w:rFonts w:ascii="Arial" w:cs="Arial" w:eastAsia="Arial" w:hAnsi="Arial"/>
                <w:sz w:val="16"/>
                <w:szCs w:val="16"/>
                <w:color w:val="auto"/>
              </w:rPr>
              <w:t>207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color w:val="auto"/>
              </w:rPr>
              <w:t>1,563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0" w:type="dxa"/>
            <w:vAlign w:val="bottom"/>
          </w:tcPr>
          <w:p>
            <w:pPr>
              <w:ind w:left="180"/>
              <w:spacing w:after="0"/>
              <w:rPr>
                <w:sz w:val="20"/>
                <w:szCs w:val="20"/>
                <w:color w:val="auto"/>
              </w:rPr>
            </w:pPr>
            <w:r>
              <w:rPr>
                <w:rFonts w:ascii="Arial" w:cs="Arial" w:eastAsia="Arial" w:hAnsi="Arial"/>
                <w:sz w:val="14"/>
                <w:szCs w:val="14"/>
                <w:color w:val="auto"/>
              </w:rPr>
              <w:t>Systems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5"/>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Net loss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5"/>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80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tcBorders>
              <w:right w:val="single" w:sz="8" w:color="CCEEFF"/>
            </w:tcBorders>
            <w:gridSpan w:val="3"/>
            <w:shd w:val="clear" w:color="auto" w:fill="CCEEFF"/>
          </w:tcPr>
          <w:p>
            <w:pPr>
              <w:ind w:left="280"/>
              <w:spacing w:after="0" w:line="95" w:lineRule="exact"/>
              <w:rPr>
                <w:sz w:val="20"/>
                <w:szCs w:val="20"/>
                <w:color w:val="auto"/>
              </w:rPr>
            </w:pPr>
            <w:r>
              <w:rPr>
                <w:rFonts w:ascii="Arial" w:cs="Arial" w:eastAsia="Arial" w:hAnsi="Arial"/>
                <w:sz w:val="10"/>
                <w:szCs w:val="10"/>
                <w:color w:val="auto"/>
              </w:rPr>
              <w:t>(3,413</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tcBorders>
              <w:right w:val="single" w:sz="8" w:color="CCEEFF"/>
            </w:tcBorders>
            <w:gridSpan w:val="3"/>
            <w:shd w:val="clear" w:color="auto" w:fill="CCEEFF"/>
          </w:tcPr>
          <w:p>
            <w:pPr>
              <w:jc w:val="right"/>
              <w:ind w:right="20"/>
              <w:spacing w:after="0" w:line="95" w:lineRule="exact"/>
              <w:rPr>
                <w:sz w:val="20"/>
                <w:szCs w:val="20"/>
                <w:color w:val="auto"/>
              </w:rPr>
            </w:pPr>
            <w:r>
              <w:rPr>
                <w:rFonts w:ascii="Arial" w:cs="Arial" w:eastAsia="Arial" w:hAnsi="Arial"/>
                <w:sz w:val="10"/>
                <w:szCs w:val="10"/>
                <w:color w:val="auto"/>
              </w:rPr>
              <w:t>(3,413</w:t>
            </w:r>
          </w:p>
        </w:tc>
        <w:tc>
          <w:tcPr>
            <w:tcW w:w="40" w:type="dxa"/>
            <w:vAlign w:val="bottom"/>
            <w:shd w:val="clear" w:color="auto" w:fill="CCEEFF"/>
          </w:tcPr>
          <w:p>
            <w:pPr>
              <w:spacing w:after="0"/>
              <w:rPr>
                <w:sz w:val="8"/>
                <w:szCs w:val="8"/>
                <w:color w:val="auto"/>
              </w:rPr>
            </w:pPr>
          </w:p>
        </w:tc>
        <w:tc>
          <w:tcPr>
            <w:tcW w:w="100" w:type="dxa"/>
            <w:vAlign w:val="bottom"/>
            <w:gridSpan w:val="2"/>
            <w:shd w:val="clear" w:color="auto" w:fill="CCEEFF"/>
          </w:tcPr>
          <w:p>
            <w:pPr>
              <w:spacing w:after="0"/>
              <w:rPr>
                <w:sz w:val="8"/>
                <w:szCs w:val="8"/>
                <w:color w:val="auto"/>
              </w:rPr>
            </w:pPr>
          </w:p>
        </w:tc>
        <w:tc>
          <w:tcPr>
            <w:tcW w:w="580" w:type="dxa"/>
            <w:vAlign w:val="bottom"/>
            <w:gridSpan w:val="2"/>
            <w:shd w:val="clear" w:color="auto" w:fill="CCEEFF"/>
          </w:tcPr>
          <w:p>
            <w:pPr>
              <w:jc w:val="right"/>
              <w:ind w:right="20"/>
              <w:spacing w:after="0" w:line="95" w:lineRule="exact"/>
              <w:rPr>
                <w:sz w:val="20"/>
                <w:szCs w:val="20"/>
                <w:color w:val="auto"/>
              </w:rPr>
            </w:pPr>
            <w:r>
              <w:rPr>
                <w:rFonts w:ascii="Arial" w:cs="Arial" w:eastAsia="Arial" w:hAnsi="Arial"/>
                <w:sz w:val="10"/>
                <w:szCs w:val="10"/>
                <w:color w:val="auto"/>
              </w:rPr>
              <w:t>(31</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3"/>
            <w:shd w:val="clear" w:color="auto" w:fill="CCEEFF"/>
          </w:tcPr>
          <w:p>
            <w:pPr>
              <w:jc w:val="right"/>
              <w:ind w:right="100"/>
              <w:spacing w:after="0" w:line="95" w:lineRule="exact"/>
              <w:rPr>
                <w:sz w:val="20"/>
                <w:szCs w:val="20"/>
                <w:color w:val="auto"/>
              </w:rPr>
            </w:pPr>
            <w:r>
              <w:rPr>
                <w:rFonts w:ascii="Arial" w:cs="Arial" w:eastAsia="Arial" w:hAnsi="Arial"/>
                <w:sz w:val="10"/>
                <w:szCs w:val="10"/>
                <w:color w:val="auto"/>
              </w:rPr>
              <w:t>(3,444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spacing w:after="0" w:line="126" w:lineRule="exact"/>
              <w:rPr>
                <w:sz w:val="20"/>
                <w:szCs w:val="20"/>
                <w:color w:val="auto"/>
              </w:rPr>
            </w:pPr>
            <w:r>
              <w:rPr>
                <w:rFonts w:ascii="Arial" w:cs="Arial" w:eastAsia="Arial" w:hAnsi="Arial"/>
                <w:sz w:val="14"/>
                <w:szCs w:val="14"/>
                <w:b w:val="1"/>
                <w:bCs w:val="1"/>
                <w:color w:val="auto"/>
                <w:w w:val="93"/>
              </w:rPr>
              <w:t>Balance March</w:t>
            </w: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940" w:type="dxa"/>
            <w:vAlign w:val="bottom"/>
            <w:gridSpan w:val="3"/>
            <w:vMerge w:val="continue"/>
          </w:tcPr>
          <w:p>
            <w:pPr>
              <w:spacing w:after="0"/>
              <w:rPr>
                <w:sz w:val="9"/>
                <w:szCs w:val="9"/>
                <w:color w:val="auto"/>
              </w:rPr>
            </w:pPr>
          </w:p>
        </w:tc>
        <w:tc>
          <w:tcPr>
            <w:tcW w:w="740" w:type="dxa"/>
            <w:vAlign w:val="bottom"/>
            <w:gridSpan w:val="4"/>
            <w:vMerge w:val="restart"/>
          </w:tcPr>
          <w:p>
            <w:pPr>
              <w:jc w:val="right"/>
              <w:spacing w:after="0"/>
              <w:rPr>
                <w:sz w:val="20"/>
                <w:szCs w:val="20"/>
                <w:color w:val="auto"/>
              </w:rPr>
            </w:pPr>
            <w:r>
              <w:rPr>
                <w:rFonts w:ascii="Arial" w:cs="Arial" w:eastAsia="Arial" w:hAnsi="Arial"/>
                <w:sz w:val="16"/>
                <w:szCs w:val="16"/>
                <w:color w:val="auto"/>
              </w:rPr>
              <w:t>6,662,028</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6"/>
            <w:vMerge w:val="restart"/>
          </w:tcPr>
          <w:p>
            <w:pPr>
              <w:jc w:val="right"/>
              <w:ind w:right="60"/>
              <w:spacing w:after="0"/>
              <w:rPr>
                <w:sz w:val="20"/>
                <w:szCs w:val="20"/>
                <w:color w:val="auto"/>
              </w:rPr>
            </w:pPr>
            <w:r>
              <w:rPr>
                <w:rFonts w:ascii="Arial" w:cs="Arial" w:eastAsia="Arial" w:hAnsi="Arial"/>
                <w:sz w:val="16"/>
                <w:szCs w:val="16"/>
                <w:color w:val="auto"/>
                <w:w w:val="93"/>
              </w:rPr>
              <w:t>7 60,000</w:t>
            </w: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5"/>
            <w:vMerge w:val="restart"/>
          </w:tcPr>
          <w:p>
            <w:pPr>
              <w:jc w:val="right"/>
              <w:ind w:right="20"/>
              <w:spacing w:after="0"/>
              <w:rPr>
                <w:sz w:val="20"/>
                <w:szCs w:val="20"/>
                <w:color w:val="auto"/>
              </w:rPr>
            </w:pPr>
            <w:r>
              <w:rPr>
                <w:rFonts w:ascii="Arial" w:cs="Arial" w:eastAsia="Arial" w:hAnsi="Arial"/>
                <w:sz w:val="16"/>
                <w:szCs w:val="16"/>
                <w:color w:val="auto"/>
              </w:rPr>
              <w:t>11,538</w:t>
            </w:r>
          </w:p>
        </w:tc>
        <w:tc>
          <w:tcPr>
            <w:tcW w:w="20" w:type="dxa"/>
            <w:vAlign w:val="bottom"/>
          </w:tcPr>
          <w:p>
            <w:pPr>
              <w:spacing w:after="0"/>
              <w:rPr>
                <w:sz w:val="9"/>
                <w:szCs w:val="9"/>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5"/>
            <w:vMerge w:val="restart"/>
          </w:tcPr>
          <w:p>
            <w:pPr>
              <w:jc w:val="right"/>
              <w:ind w:right="8"/>
              <w:spacing w:after="0"/>
              <w:rPr>
                <w:sz w:val="20"/>
                <w:szCs w:val="20"/>
                <w:color w:val="auto"/>
              </w:rPr>
            </w:pPr>
            <w:r>
              <w:rPr>
                <w:rFonts w:ascii="Arial" w:cs="Arial" w:eastAsia="Arial" w:hAnsi="Arial"/>
                <w:sz w:val="16"/>
                <w:szCs w:val="16"/>
                <w:color w:val="auto"/>
              </w:rPr>
              <w:t>)</w:t>
            </w:r>
          </w:p>
        </w:tc>
        <w:tc>
          <w:tcPr>
            <w:tcW w:w="840" w:type="dxa"/>
            <w:vAlign w:val="bottom"/>
            <w:gridSpan w:val="5"/>
            <w:vMerge w:val="restart"/>
          </w:tcPr>
          <w:p>
            <w:pPr>
              <w:jc w:val="right"/>
              <w:ind w:right="60"/>
              <w:spacing w:after="0"/>
              <w:rPr>
                <w:sz w:val="20"/>
                <w:szCs w:val="20"/>
                <w:color w:val="auto"/>
              </w:rPr>
            </w:pPr>
            <w:r>
              <w:rPr>
                <w:rFonts w:ascii="Arial" w:cs="Arial" w:eastAsia="Arial" w:hAnsi="Arial"/>
                <w:sz w:val="16"/>
                <w:szCs w:val="16"/>
                <w:color w:val="auto"/>
              </w:rPr>
              <w:t>3,239</w:t>
            </w:r>
          </w:p>
        </w:tc>
        <w:tc>
          <w:tcPr>
            <w:tcW w:w="660" w:type="dxa"/>
            <w:vAlign w:val="bottom"/>
            <w:gridSpan w:val="3"/>
            <w:vMerge w:val="restart"/>
          </w:tcPr>
          <w:p>
            <w:pPr>
              <w:jc w:val="right"/>
              <w:spacing w:after="0"/>
              <w:rPr>
                <w:sz w:val="20"/>
                <w:szCs w:val="20"/>
                <w:color w:val="auto"/>
              </w:rPr>
            </w:pPr>
            <w:r>
              <w:rPr>
                <w:rFonts w:ascii="Arial" w:cs="Arial" w:eastAsia="Arial" w:hAnsi="Arial"/>
                <w:sz w:val="16"/>
                <w:szCs w:val="16"/>
                <w:color w:val="auto"/>
              </w:rPr>
              <w:t>216</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color w:val="auto"/>
              </w:rPr>
              <w:t>3,455</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31, 2020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6"/>
            <w:vMerge w:val="continue"/>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74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880" w:type="dxa"/>
            <w:vAlign w:val="bottom"/>
            <w:gridSpan w:val="5"/>
            <w:vMerge w:val="continue"/>
          </w:tcPr>
          <w:p>
            <w:pPr>
              <w:spacing w:after="0"/>
              <w:rPr>
                <w:sz w:val="10"/>
                <w:szCs w:val="10"/>
                <w:color w:val="auto"/>
              </w:rPr>
            </w:pPr>
          </w:p>
        </w:tc>
        <w:tc>
          <w:tcPr>
            <w:tcW w:w="840" w:type="dxa"/>
            <w:vAlign w:val="bottom"/>
            <w:gridSpan w:val="5"/>
            <w:vMerge w:val="continue"/>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6"/>
            <w:vMerge w:val="continue"/>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880" w:type="dxa"/>
            <w:vAlign w:val="bottom"/>
            <w:gridSpan w:val="5"/>
          </w:tcPr>
          <w:p>
            <w:pPr>
              <w:ind w:left="340"/>
              <w:spacing w:after="0" w:line="81" w:lineRule="exact"/>
              <w:rPr>
                <w:sz w:val="20"/>
                <w:szCs w:val="20"/>
                <w:color w:val="auto"/>
              </w:rPr>
            </w:pPr>
            <w:r>
              <w:rPr>
                <w:rFonts w:ascii="Arial" w:cs="Arial" w:eastAsia="Arial" w:hAnsi="Arial"/>
                <w:sz w:val="9"/>
                <w:szCs w:val="9"/>
                <w:color w:val="auto"/>
              </w:rPr>
              <w:t>(8,306</w:t>
            </w:r>
          </w:p>
        </w:tc>
        <w:tc>
          <w:tcPr>
            <w:tcW w:w="840" w:type="dxa"/>
            <w:vAlign w:val="bottom"/>
            <w:gridSpan w:val="5"/>
            <w:vMerge w:val="continue"/>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7" w:name="page128"/>
    <w:bookmarkEnd w:id="127"/>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CONDENSED CONSOLIDATED STATEMENTS OF CASH FLOWS (UNAUDITED)</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6"/>
          </w:tcPr>
          <w:p>
            <w:pPr>
              <w:jc w:val="right"/>
              <w:ind w:right="361"/>
              <w:spacing w:after="0"/>
              <w:rPr>
                <w:sz w:val="20"/>
                <w:szCs w:val="20"/>
                <w:color w:val="auto"/>
              </w:rPr>
            </w:pPr>
            <w:r>
              <w:rPr>
                <w:rFonts w:ascii="Arial" w:cs="Arial" w:eastAsia="Arial" w:hAnsi="Arial"/>
                <w:sz w:val="16"/>
                <w:szCs w:val="16"/>
                <w:b w:val="1"/>
                <w:bCs w:val="1"/>
                <w:color w:val="auto"/>
                <w:w w:val="99"/>
              </w:rPr>
              <w:t>Three months ended</w:t>
            </w:r>
          </w:p>
        </w:tc>
      </w:tr>
      <w:tr>
        <w:trPr>
          <w:trHeight w:val="210"/>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6"/>
                <w:szCs w:val="16"/>
                <w:b w:val="1"/>
                <w:bCs w:val="1"/>
                <w:color w:val="auto"/>
              </w:rPr>
              <w:t>March 31,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5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576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jc w:val="right"/>
              <w:ind w:right="170"/>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Pr>
          <w:p>
            <w:pPr>
              <w:spacing w:after="0"/>
              <w:rPr>
                <w:sz w:val="20"/>
                <w:szCs w:val="20"/>
                <w:color w:val="auto"/>
              </w:rPr>
            </w:pPr>
          </w:p>
        </w:tc>
      </w:tr>
      <w:tr>
        <w:trPr>
          <w:trHeight w:val="46"/>
        </w:trPr>
        <w:tc>
          <w:tcPr>
            <w:tcW w:w="5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18"/>
                <w:szCs w:val="18"/>
                <w:color w:val="auto"/>
              </w:rPr>
              <w:t>Net loss attributable to Agrify Corporation</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(3,413)</w:t>
            </w:r>
          </w:p>
        </w:tc>
        <w:tc>
          <w:tcPr>
            <w:tcW w:w="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(18)</w:t>
            </w:r>
          </w:p>
        </w:tc>
      </w:tr>
      <w:tr>
        <w:trPr>
          <w:trHeight w:val="40"/>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5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Adjustments to reconcile net loss attributable to Agrify Corporation to net cash</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1"/>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used in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0"/>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in connection with the issuance of stock options</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Non-cash interest expense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11</w:t>
            </w:r>
          </w:p>
        </w:tc>
      </w:tr>
      <w:tr>
        <w:trPr>
          <w:trHeight w:val="40"/>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disposal of fixed assets</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Loss attributable to non- controlling interests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1"/>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(105)</w:t>
            </w:r>
          </w:p>
        </w:tc>
      </w:tr>
      <w:tr>
        <w:trPr>
          <w:trHeight w:val="40"/>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(1,250)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542</w:t>
            </w: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Prepaid expenses and other receivables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0"/>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(193)</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w:t>
            </w: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1"/>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891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(484)</w:t>
            </w:r>
          </w:p>
        </w:tc>
      </w:tr>
      <w:tr>
        <w:trPr>
          <w:trHeight w:val="237"/>
        </w:trPr>
        <w:tc>
          <w:tcPr>
            <w:tcW w:w="5760" w:type="dxa"/>
            <w:vAlign w:val="bottom"/>
          </w:tcPr>
          <w:p>
            <w:pPr>
              <w:ind w:left="3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5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57"/>
        </w:trPr>
        <w:tc>
          <w:tcPr>
            <w:tcW w:w="5760" w:type="dxa"/>
            <w:vAlign w:val="bottom"/>
          </w:tcPr>
          <w:p>
            <w:pPr>
              <w:spacing w:after="0"/>
              <w:rPr>
                <w:sz w:val="20"/>
                <w:szCs w:val="20"/>
                <w:color w:val="auto"/>
              </w:rPr>
            </w:pPr>
            <w:r>
              <w:rPr>
                <w:rFonts w:ascii="Arial" w:cs="Arial" w:eastAsia="Arial" w:hAnsi="Arial"/>
                <w:sz w:val="18"/>
                <w:szCs w:val="18"/>
                <w:color w:val="auto"/>
              </w:rPr>
              <w:t>Cash paid for business combination, net of cash acquired</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(1,096)</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5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77"/>
        </w:trPr>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18"/>
                <w:szCs w:val="18"/>
                <w:color w:val="auto"/>
              </w:rPr>
              <w:t>Proceeds from issuance of Preferred A Stock</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0"/>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 in Valiant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57"/>
        </w:trPr>
        <w:tc>
          <w:tcPr>
            <w:tcW w:w="576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5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6,080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77"/>
        </w:trPr>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1,005</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(79)</w:t>
            </w:r>
          </w:p>
        </w:tc>
      </w:tr>
      <w:tr>
        <w:trPr>
          <w:trHeight w:val="283"/>
        </w:trPr>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4"/>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Beginning of Year</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85</w:t>
            </w:r>
          </w:p>
        </w:tc>
      </w:tr>
      <w:tr>
        <w:trPr>
          <w:trHeight w:val="277"/>
        </w:trPr>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End of Year</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0"/>
        </w:trPr>
        <w:tc>
          <w:tcPr>
            <w:tcW w:w="586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2"/>
        </w:trPr>
        <w:tc>
          <w:tcPr>
            <w:tcW w:w="7360" w:type="dxa"/>
            <w:vAlign w:val="bottom"/>
            <w:gridSpan w:val="7"/>
          </w:tcPr>
          <w:p>
            <w:pPr>
              <w:ind w:left="900"/>
              <w:spacing w:after="0"/>
              <w:rPr>
                <w:sz w:val="20"/>
                <w:szCs w:val="20"/>
                <w:color w:val="auto"/>
              </w:rPr>
            </w:pPr>
            <w:r>
              <w:rPr>
                <w:rFonts w:ascii="Arial" w:cs="Arial" w:eastAsia="Arial" w:hAnsi="Arial"/>
                <w:sz w:val="18"/>
                <w:szCs w:val="18"/>
                <w:color w:val="auto"/>
                <w:w w:val="91"/>
              </w:rPr>
              <w:t>The accompanying notes are an integral part of these consolidated financial statements.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1"/>
        </w:trPr>
        <w:tc>
          <w:tcPr>
            <w:tcW w:w="576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F-23</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28" w:name="page129"/>
    <w:bookmarkEnd w:id="128"/>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Description of Business</w:t>
      </w:r>
    </w:p>
    <w:p>
      <w:pPr>
        <w:spacing w:after="0" w:line="162"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07" w:lineRule="exact"/>
        <w:rPr>
          <w:sz w:val="20"/>
          <w:szCs w:val="20"/>
          <w:color w:val="auto"/>
        </w:rPr>
      </w:pPr>
    </w:p>
    <w:p>
      <w:pPr>
        <w:jc w:val="both"/>
        <w:ind w:left="460" w:right="759" w:firstLine="432"/>
        <w:spacing w:after="0" w:line="263" w:lineRule="auto"/>
        <w:rPr>
          <w:sz w:val="20"/>
          <w:szCs w:val="20"/>
          <w:color w:val="auto"/>
        </w:rPr>
      </w:pPr>
      <w:r>
        <w:rPr>
          <w:rFonts w:ascii="Arial" w:cs="Arial" w:eastAsia="Arial" w:hAnsi="Arial"/>
          <w:sz w:val="18"/>
          <w:szCs w:val="18"/>
          <w:color w:val="auto"/>
        </w:rPr>
        <w:t>The Company has two wholly owned subsidiaries, AGM Service Corp LLC.; Agrify Finance LLC.; it holds 50% of Teejan Podponics International LLC (“TPI”) since December 2018 and it holds 60% of Agrify Valiant LLC, formed in December 2019.</w:t>
      </w:r>
    </w:p>
    <w:p>
      <w:pPr>
        <w:spacing w:after="0" w:line="116"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On January 22, 2020, the Company acquired TriGrow Systems, Inc. (“TriGrow”), which became a wholly-owned subsidiary of the Company. TriGrow was the sole distributor of the Company’s automated, micro-climate, precision controlled vertical farming units solution for indoor grow. As part of the acquisition of TriGrow, the Company received TriGrow’s 75% interest in TriGrow Brands, LLC., an owner of portfolio cannabis consumer brands.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Coronavirus pandemic (“COVID-19”)</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07" w:lineRule="exact"/>
        <w:rPr>
          <w:sz w:val="20"/>
          <w:szCs w:val="20"/>
          <w:color w:val="auto"/>
        </w:rPr>
      </w:pPr>
    </w:p>
    <w:p>
      <w:pPr>
        <w:ind w:left="460" w:right="559" w:firstLine="432"/>
        <w:spacing w:after="0" w:line="253" w:lineRule="auto"/>
        <w:rPr>
          <w:sz w:val="20"/>
          <w:szCs w:val="20"/>
          <w:color w:val="auto"/>
        </w:rPr>
      </w:pPr>
      <w:r>
        <w:rPr>
          <w:rFonts w:ascii="Arial" w:cs="Arial" w:eastAsia="Arial" w:hAnsi="Arial"/>
          <w:sz w:val="18"/>
          <w:szCs w:val="18"/>
          <w:color w:val="auto"/>
        </w:rPr>
        <w:t>To date, although all of the Company’s operations are operating, COVID-19 has caused some disruptions to the Company’s business. However, the extent to which COVID-19 and the related global economic crisis, affect the Company’s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The Company continues to service its customers amid uncertainty and disruption linked to COVID-19 and is actively managing its business to respond to the impact.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Preparation of Condensed Consolidated Financial Statements</w:t>
      </w:r>
    </w:p>
    <w:p>
      <w:pPr>
        <w:spacing w:after="0" w:line="162"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The condensed consolidated financial statements included herein have been prepared in accordance with accounting principles generally accepted in the United States of America (“GAAP”) and on the same basis as the audited consolidated financial statements included in our Annual Report on Form 10-K for the year ended December 31, 2019 filed with the U.S. Securities and Exchange Commission (“SEC”), except for the recently adopted accounting pronouncements described below. The condensed consolidated statements of operations, stockholders’ equity, and cash flows for the periods ended March 31, 2020 and 2019, and the condensed consolidated balance sheet as of March 31, 2020, are not audited but reflect all adjustments that are of a normal recurring nature and that are considered necessary for a fair presentation of the results for the periods shown. The condensed consolidated balance sheet as of December 31, 2019 is derived from the audited consolidated financial statements presented in our Annual Report on Form 10-K for the year ended December 31, 2019. Certain information and disclosures normally included in annual consolidated financial statements have been omitted pursuant to the rules and regulations of the SEC. Because the condensed consolidated interim financial statements do not include all</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9" w:name="page130"/>
    <w:bookmarkEnd w:id="129"/>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539"/>
        <w:spacing w:after="0" w:line="259" w:lineRule="auto"/>
        <w:rPr>
          <w:sz w:val="20"/>
          <w:szCs w:val="20"/>
          <w:color w:val="auto"/>
        </w:rPr>
      </w:pPr>
      <w:r>
        <w:rPr>
          <w:rFonts w:ascii="Arial" w:cs="Arial" w:eastAsia="Arial" w:hAnsi="Arial"/>
          <w:sz w:val="18"/>
          <w:szCs w:val="18"/>
          <w:color w:val="auto"/>
        </w:rPr>
        <w:t>of the information and disclosures required by GAAP for a complete set of financial statements, they should be read in conjunction with the audited consolidated financial statements and notes included in our Annual Report on Form 10-K for the year ended December 31, 2019 filed with the SEC. The results for interim periods are not necessarily indicative of a full year’s results.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Principles of Consolidation</w:t>
      </w:r>
    </w:p>
    <w:p>
      <w:pPr>
        <w:spacing w:after="0" w:line="162" w:lineRule="exact"/>
        <w:rPr>
          <w:sz w:val="20"/>
          <w:szCs w:val="20"/>
          <w:color w:val="auto"/>
        </w:rPr>
      </w:pPr>
    </w:p>
    <w:p>
      <w:pPr>
        <w:ind w:left="460" w:right="699" w:firstLine="432"/>
        <w:spacing w:after="0" w:line="254" w:lineRule="auto"/>
        <w:rPr>
          <w:sz w:val="20"/>
          <w:szCs w:val="20"/>
          <w:color w:val="auto"/>
        </w:rPr>
      </w:pPr>
      <w:r>
        <w:rPr>
          <w:rFonts w:ascii="Arial" w:cs="Arial" w:eastAsia="Arial" w:hAnsi="Arial"/>
          <w:sz w:val="18"/>
          <w:szCs w:val="18"/>
          <w:color w:val="auto"/>
        </w:rPr>
        <w:t>The accompanying condensed consolidated financial statements include the accounts of Agrify Inc., its wholly owned or otherwise controlled subsidiaries. Noncontrolling interests in less than wholly owned subsidiaries are reflected within stockholders’ equity on our condensed consolidated balance sheet, but separately from our stockholders’ equity. The investment in 50% of the shares of TPI is treated as equity investment as the Company cannot exercise significant influence. We include the results of operations of acquired companies from the date of acquisition. All significant intercompany transactions and balances are eliminated.</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Going Concern</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These unaudited condensed consolidated financial statements are presented on the basis that the Company will continue as a going concern. The going concern concept contemplates the realization of assets and satisfaction of liabilities in the normal course of business. No adjustment has been made to the carrying amount and classification of the Company’s assets and the carrying amount of its liabilities based on the going concern uncertainty. As reflected in the accompanying unaudited condensed consolidated financial statements, the Company had a net loss attributable to Agrify Inc. common shareholders of $3,444 for the three months ended March 31, 2020. The net cash used in operating activities was $3,920 for the three months ended March 31, 2020.</w:t>
      </w:r>
    </w:p>
    <w:p>
      <w:pPr>
        <w:spacing w:after="0" w:line="111"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Additionally, the Company had an accumulated deficit of $8,306 at March 31, 2020. These factors raise substantial doubt about the Company’s ability to continue as a going concern for a period of twelve months from the issuance date of this report. Management cannot provide assurance that the Company will ultimately achieve profitable operations or become cash flow positive, or raise additional debt and/or equity capital. The Company is seeking to raise capital through additional debt and/or equity financings to fund its operations in the future. Although the Company has historically raised capital from product sales and proceeds from sales of common and preferred shares (including proceeds from convertible debt, which converted into common stock), there is no assurance that it will be able to continue to do so. If the Company is unable to raise additional capital or secure additional lending in the near future, management expects that the Company will need to curtail its operations. These unaudited condensed consolidated financial statements do not include any adjustments related to the recoverability and classification of assets or the amounts and classification of liabilities that might be necessary should the Company be unable to continue as a going concern.</w:t>
      </w:r>
    </w:p>
    <w:p>
      <w:pPr>
        <w:spacing w:after="0" w:line="100"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Over the last several months the Company and its advisors have been evaluating numerous opportunities and relationships to increase shareholder value. The Company expects to realize revenue through its efforts, if successful, to sell wholesale and retail products to third parties. However, as the Company is in a start-up phase, in a new business venture, in a rapidly evolving industry, many of its costs and challenges are new and unknown. In order to fund the Company’s activities, the Company will need to raise additional capital either through the issuance of equity and/or the issuance of debt. During the first four months of 2020, the Company raised a total of $10,000 by issuing its Preferred A stock ($6,000 in the first quarter of 2020 and $4,000 in April 2020).The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0" w:name="page131"/>
    <w:bookmarkEnd w:id="130"/>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and its Subsidiaries, fiscal year ends on December 31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Cash and cash equivalents consist principally of cash and deposits with maturities of three months or less as March 31, 2020 and December 31, 2019.</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162"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primarily consist of cash and accounts receivable. The Company places its cash with financial institutions in the United States. The cash balances are insured by the FDIC up to $250 per depositor with unlimited insurance for funds in noninterest-bearing transaction accounts through March 31, 2020. At times, the amounts in these accounts may exceed the federally insured limits.</w:t>
      </w:r>
    </w:p>
    <w:p>
      <w:pPr>
        <w:spacing w:after="0" w:line="107" w:lineRule="exact"/>
        <w:rPr>
          <w:sz w:val="20"/>
          <w:szCs w:val="20"/>
          <w:color w:val="auto"/>
        </w:rPr>
      </w:pPr>
    </w:p>
    <w:p>
      <w:pPr>
        <w:ind w:left="460" w:right="839" w:firstLine="432"/>
        <w:spacing w:after="0" w:line="263" w:lineRule="auto"/>
        <w:rPr>
          <w:sz w:val="20"/>
          <w:szCs w:val="20"/>
          <w:color w:val="auto"/>
        </w:rPr>
      </w:pPr>
      <w:r>
        <w:rPr>
          <w:rFonts w:ascii="Arial" w:cs="Arial" w:eastAsia="Arial" w:hAnsi="Arial"/>
          <w:sz w:val="18"/>
          <w:szCs w:val="18"/>
          <w:color w:val="auto"/>
        </w:rPr>
        <w:t>The Company has certain customers whose revenue individually represented 10% or more of the Company’s total revenue, or whose accounts receivable balances individually represent 10% or more of the Company’s total accounts receivable, as follows:</w:t>
      </w:r>
    </w:p>
    <w:p>
      <w:pPr>
        <w:spacing w:after="0" w:line="116"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For the three months ended March 31, 2020 and 2019, one customer accounted for 84.4% and 100% (TriGrow — then the sole distributor of Agrify) of revenue, respectively. At March 31, 2020, three customers accounted for 75.0% of accounts receivable.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The Company’s financial instruments consist of cash, accounts receivable, accounts payable and accrued expenses. The estimated fair value of the accounts receivable and accounts payable approximates their carrying value due to the short-term nature of these instruments.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1" w:name="page132"/>
    <w:bookmarkEnd w:id="131"/>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generate revenue from the following sources: (1) equipment sales and (2) services sales. We sell our equipment and services to customers under a combination of a contract and purchase order.</w:t>
      </w:r>
    </w:p>
    <w:p>
      <w:pPr>
        <w:spacing w:after="0" w:line="79" w:lineRule="exact"/>
        <w:rPr>
          <w:sz w:val="20"/>
          <w:szCs w:val="20"/>
          <w:color w:val="auto"/>
        </w:rPr>
      </w:pPr>
    </w:p>
    <w:p>
      <w:pPr>
        <w:ind w:left="460" w:right="639" w:firstLine="432"/>
        <w:spacing w:after="0" w:line="289" w:lineRule="auto"/>
        <w:rPr>
          <w:sz w:val="20"/>
          <w:szCs w:val="20"/>
          <w:color w:val="auto"/>
        </w:rPr>
      </w:pPr>
      <w:r>
        <w:rPr>
          <w:rFonts w:ascii="Arial" w:cs="Arial" w:eastAsia="Arial" w:hAnsi="Arial"/>
          <w:sz w:val="16"/>
          <w:szCs w:val="16"/>
          <w:color w:val="auto"/>
        </w:rPr>
        <w:t>Equipment revenue includes sales from proprietary products designed and engineered by the Company such as vertical farming units, container farms,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99"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80" w:lineRule="exact"/>
        <w:rPr>
          <w:sz w:val="20"/>
          <w:szCs w:val="20"/>
          <w:color w:val="auto"/>
        </w:rPr>
      </w:pPr>
    </w:p>
    <w:p>
      <w:pPr>
        <w:ind w:left="460" w:right="1019" w:firstLine="432"/>
        <w:spacing w:after="0" w:line="259"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19" w:lineRule="exact"/>
        <w:rPr>
          <w:sz w:val="20"/>
          <w:szCs w:val="20"/>
          <w:color w:val="auto"/>
        </w:rPr>
      </w:pPr>
    </w:p>
    <w:p>
      <w:pPr>
        <w:jc w:val="both"/>
        <w:ind w:left="460" w:right="499" w:firstLine="432"/>
        <w:spacing w:after="0" w:line="263" w:lineRule="auto"/>
        <w:rPr>
          <w:sz w:val="20"/>
          <w:szCs w:val="20"/>
          <w:color w:val="auto"/>
        </w:rPr>
      </w:pPr>
      <w:r>
        <w:rPr>
          <w:rFonts w:ascii="Arial" w:cs="Arial" w:eastAsia="Arial" w:hAnsi="Arial"/>
          <w:sz w:val="18"/>
          <w:szCs w:val="18"/>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w:t>
      </w:r>
    </w:p>
    <w:p>
      <w:pPr>
        <w:spacing w:after="0" w:line="116"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We enter contracts that can include various combinations of equipment and services, which are generally capable of being distinct and accounted for as separate performance obligations.</w:t>
      </w:r>
    </w:p>
    <w:p>
      <w:pPr>
        <w:spacing w:after="0" w:line="89"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19"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i w:val="1"/>
          <w:iCs w:val="1"/>
          <w:color w:val="auto"/>
        </w:rPr>
        <w:t xml:space="preserve">Other Policies and Judgments — </w:t>
      </w:r>
      <w:r>
        <w:rPr>
          <w:rFonts w:ascii="Arial" w:cs="Arial" w:eastAsia="Arial" w:hAnsi="Arial"/>
          <w:sz w:val="16"/>
          <w:szCs w:val="16"/>
          <w:color w:val="auto"/>
        </w:rPr>
        <w:t>The Company has elected to treat shipping and handling activities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97"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i w:val="1"/>
          <w:iCs w:val="1"/>
          <w:color w:val="auto"/>
        </w:rPr>
        <w:t xml:space="preserve">Disaggregation of Revenue — </w:t>
      </w:r>
      <w:r>
        <w:rPr>
          <w:rFonts w:ascii="Arial" w:cs="Arial" w:eastAsia="Arial" w:hAnsi="Arial"/>
          <w:sz w:val="18"/>
          <w:szCs w:val="18"/>
          <w:color w:val="auto"/>
        </w:rPr>
        <w:t>The following table provides revenue disaggregated by timing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w:t>
      </w:r>
    </w:p>
    <w:p>
      <w:pPr>
        <w:spacing w:after="0" w:line="130" w:lineRule="exact"/>
        <w:rPr>
          <w:sz w:val="20"/>
          <w:szCs w:val="20"/>
          <w:color w:val="auto"/>
        </w:rPr>
      </w:pPr>
    </w:p>
    <w:p>
      <w:pPr>
        <w:ind w:left="65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69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33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6"/>
        </w:trPr>
        <w:tc>
          <w:tcPr>
            <w:tcW w:w="2980" w:type="dxa"/>
            <w:vAlign w:val="bottom"/>
            <w:tcBorders>
              <w:bottom w:val="single" w:sz="8" w:color="CCEEFF"/>
            </w:tcBorders>
          </w:tcPr>
          <w:p>
            <w:pPr>
              <w:spacing w:after="0"/>
              <w:rPr>
                <w:sz w:val="4"/>
                <w:szCs w:val="4"/>
                <w:color w:val="auto"/>
              </w:rPr>
            </w:pPr>
          </w:p>
        </w:tc>
        <w:tc>
          <w:tcPr>
            <w:tcW w:w="26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Transferred at a point in time</w:t>
            </w:r>
          </w:p>
        </w:tc>
        <w:tc>
          <w:tcPr>
            <w:tcW w:w="2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1,013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r>
      <w:tr>
        <w:trPr>
          <w:trHeight w:val="256"/>
        </w:trPr>
        <w:tc>
          <w:tcPr>
            <w:tcW w:w="2980" w:type="dxa"/>
            <w:vAlign w:val="bottom"/>
          </w:tcPr>
          <w:p>
            <w:pPr>
              <w:spacing w:after="0"/>
              <w:rPr>
                <w:sz w:val="20"/>
                <w:szCs w:val="20"/>
                <w:color w:val="auto"/>
              </w:rPr>
            </w:pPr>
            <w:r>
              <w:rPr>
                <w:rFonts w:ascii="Arial" w:cs="Arial" w:eastAsia="Arial" w:hAnsi="Arial"/>
                <w:sz w:val="18"/>
                <w:szCs w:val="18"/>
                <w:color w:val="auto"/>
              </w:rPr>
              <w:t>Transferred over time</w:t>
            </w:r>
          </w:p>
        </w:tc>
        <w:tc>
          <w:tcPr>
            <w:tcW w:w="2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298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980" w:type="dxa"/>
            <w:vAlign w:val="bottom"/>
            <w:shd w:val="clear" w:color="auto" w:fill="CCEEFF"/>
          </w:tcPr>
          <w:p>
            <w:pPr>
              <w:spacing w:after="0"/>
              <w:rPr>
                <w:sz w:val="21"/>
                <w:szCs w:val="21"/>
                <w:color w:val="auto"/>
              </w:rPr>
            </w:pPr>
          </w:p>
        </w:tc>
        <w:tc>
          <w:tcPr>
            <w:tcW w:w="336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1,013</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29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right"/>
              <w:ind w:right="2030"/>
              <w:spacing w:after="0"/>
              <w:rPr>
                <w:sz w:val="20"/>
                <w:szCs w:val="20"/>
                <w:color w:val="auto"/>
              </w:rPr>
            </w:pPr>
            <w:r>
              <w:rPr>
                <w:rFonts w:ascii="Arial" w:cs="Arial" w:eastAsia="Arial" w:hAnsi="Arial"/>
                <w:sz w:val="18"/>
                <w:szCs w:val="18"/>
                <w:color w:val="auto"/>
              </w:rPr>
              <w:t>F-27</w:t>
            </w: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32" w:name="page133"/>
    <w:bookmarkEnd w:id="132"/>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 The Company receives payment from customers based on specified terms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13"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25"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March 31, 2020, the Company has no product warranty accrual given the Company’s de minimis historical financial warranty experience.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0"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March 31, 2020, and December 31, 2019, tax years 2016 through 2017 remain open for IRS audit. The Company has received no notice of audit from the IRS for any of the open tax years.</w:t>
      </w:r>
    </w:p>
    <w:p>
      <w:pPr>
        <w:spacing w:after="0" w:line="109"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3" w:name="page134"/>
    <w:bookmarkEnd w:id="133"/>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As of January 1, 2018 the Company has no NOLs. There was no Federal income tax expense for the years ended December 31, 2019 and 2018 due to the Company’s net losses. The Company has not yet filed its 2018 and 2019 Federal and State tax returns.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Costs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expenses research and development costs as incurred.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Shipping and Handling Charges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14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In June 2016, the Financial Accounting Standards Board (“FASB”) issued Accounting Standard Update (“ASU”) No. 2016-13, Financial Instruments — Credit Losses (Topic 326) — Measurement of Credit Losses on Financial Instruments. This new standard requires entities to measure expected credit losses for certain financial assets held at the reporting date using a current expected credit loss model, which is based on historical experience, adjusted for current conditions and reasonable and supportable forecasts. The Company’s financial instruments within the scope of this guidance primarily includes accounts receivable. The adoption of ASU 2016-13 had no impact on the Company’s consolidated financial position.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Accounts Receivables</w:t>
      </w:r>
    </w:p>
    <w:p>
      <w:pPr>
        <w:spacing w:after="0" w:line="162"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March 31, 2020 and December 31, 2019 are $240 and $0, respectively. No allowance for doubtful accounts was deemed necessary as of March 31, 2020 and December 31, 2019. There was no bad debt expense for the three months ended March 31, 2020 and 2019, respectively.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Prepaid Expenses and Other Receivables</w:t>
      </w:r>
    </w:p>
    <w:p>
      <w:pPr>
        <w:spacing w:after="0" w:line="162"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Prepaid Expenses and Other Receivables consisted of the following as of March 31, 2020 and December 31, 2019:</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March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Prepaid software</w:t>
            </w:r>
          </w:p>
        </w:tc>
        <w:tc>
          <w:tcPr>
            <w:tcW w:w="16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professional fees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Prepaid Inventory</w:t>
      </w:r>
    </w:p>
    <w:p>
      <w:pPr>
        <w:spacing w:after="0" w:line="162" w:lineRule="exact"/>
        <w:rPr>
          <w:sz w:val="20"/>
          <w:szCs w:val="20"/>
          <w:color w:val="auto"/>
        </w:rPr>
      </w:pPr>
    </w:p>
    <w:p>
      <w:pPr>
        <w:jc w:val="both"/>
        <w:ind w:left="460" w:right="519" w:firstLine="432"/>
        <w:spacing w:after="0" w:line="259" w:lineRule="auto"/>
        <w:rPr>
          <w:sz w:val="20"/>
          <w:szCs w:val="20"/>
          <w:color w:val="auto"/>
        </w:rPr>
      </w:pPr>
      <w:r>
        <w:rPr>
          <w:rFonts w:ascii="Arial" w:cs="Arial" w:eastAsia="Arial" w:hAnsi="Arial"/>
          <w:sz w:val="18"/>
          <w:szCs w:val="18"/>
          <w:color w:val="auto"/>
        </w:rPr>
        <w:t>As of March 31, 2020, and December 31, 2019, prepaid inventory were $3,840 and $2,481, respectively. The Company’s standard payment terms with suppliers require to make payments in advance of delivery of the Company’s products. The prepaid inventory are short-term, non-bearing interest that are applied to the purchase of products once it is delivered.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4" w:name="page135"/>
    <w:bookmarkEnd w:id="134"/>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Property and Equipment, Net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Property and equipment, net consisted of the following as of March 31, 2020 and December 31, 2019:</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March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Furniture and fixture</w:t>
            </w: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Vehicle</w:t>
            </w: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Depreciation expense for the three months ended March 31, 2020 and 2019 was $19 and $0, respectively.</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Capitalized website costs, net</w:t>
      </w:r>
    </w:p>
    <w:p>
      <w:pPr>
        <w:spacing w:after="0" w:line="162"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Investments in the Company’s website are amortized over their estimated useful lives of 3 years. As of March 31, 2020 and December 31, 2019, amortizable website costs were $143, and accumulated amortization was $17 and $7, respectively. Amortization expense was $10 and $0 for the three months ended March 31, 2020 and 2019, respectively.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Intangible Assets and Goodwill</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breakdown of acquisition-related intangible assets as of March 31, 2020 was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Customer</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1"/>
              </w:rPr>
              <w:t>Brand Rights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relationships</w:t>
            </w:r>
          </w:p>
        </w:tc>
        <w:tc>
          <w:tcPr>
            <w:tcW w:w="2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March 31, 2020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Net</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912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1,745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539" w:firstLine="432"/>
        <w:spacing w:after="0" w:line="277" w:lineRule="auto"/>
        <w:rPr>
          <w:sz w:val="20"/>
          <w:szCs w:val="20"/>
          <w:color w:val="auto"/>
        </w:rPr>
      </w:pPr>
      <w:r>
        <w:rPr>
          <w:rFonts w:ascii="Arial" w:cs="Arial" w:eastAsia="Arial" w:hAnsi="Arial"/>
          <w:sz w:val="18"/>
          <w:szCs w:val="18"/>
          <w:color w:val="auto"/>
        </w:rPr>
        <w:t>There were $0 acquisition related intangibles as of December 31, 2019. Amortization expenses amounted to $35 and $0 for the three months ended March 31, 2020 and 2019, respectively.</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Estimated future amortization expense on finite-lived acquisition-related intangible assets is as follows: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thousands)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20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6"/>
                <w:szCs w:val="16"/>
                <w:b w:val="1"/>
                <w:bCs w:val="1"/>
                <w:color w:val="auto"/>
              </w:rPr>
              <w:t>Amount</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 (remainder of year)</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56"/>
        </w:trPr>
        <w:tc>
          <w:tcPr>
            <w:tcW w:w="686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1,745</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There was $0 goodwill activity since the acquisition date of January 22, 2020 (see note 11) to March 31,</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5" w:name="page136"/>
    <w:bookmarkEnd w:id="135"/>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Accrued Expenses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Accrued expenses consisted of the following as of March 31, 2020 and December 31, 2019:</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March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2019</w:t>
            </w:r>
          </w:p>
        </w:tc>
      </w:tr>
      <w:tr>
        <w:trPr>
          <w:trHeight w:val="46"/>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16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 accrued expense</w:t>
            </w:r>
          </w:p>
        </w:tc>
        <w:tc>
          <w:tcPr>
            <w:tcW w:w="16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Business Combination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 of TriGrow</w:t>
      </w:r>
    </w:p>
    <w:p>
      <w:pPr>
        <w:spacing w:after="0" w:line="162"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On January 22, 2020, the Company completed the acquisition of all outstanding shares of TriGrow. TriGrow is an integrator and distributor of the Company’s premium indoor grow solutions for the indoor controlled agriculture marketplace. As part of the acquisition, the Company received TriGrow’s 75% interest in TriGrow Brands, LLC., a licensor and marketing supporter of established portfolio of consumer brands that utilize the Company’s growing technology. In consideration of TriGrow’s shares, the Company issued to TriGrow’s shareholders 942,028 shares of Agrify common stock and assumed an obligation to invest $1,140 in a form of a profit interest investment.</w:t>
      </w:r>
    </w:p>
    <w:p>
      <w:pPr>
        <w:spacing w:after="0" w:line="114"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As part of the acquisition of TriGrow, the Company made available 192,251 shares of its common stock for issuance to certain executives of TriGrow upon TriGrow’s and/or the Company’s receipt of $10 million of accumulative purchase orders for TriGrow and/or the Company’s equipment, products, and services, for the period from November 21, 2019 through June 30, 2020 as a result of the efforts of the TriGrow executives. Such common stock of the Company is to be distributed by the Company to certain executives of the surviving corporation responsible for achievement of such milestone, in the Company’s sole discretion. The Company concluded the earn-out, if materialized, will be considered as post combination services. Additionally, the Company concluded that the value associated with the earn out to be de minimis. No earn out was earned through March 31, 2020.</w:t>
      </w:r>
    </w:p>
    <w:p>
      <w:pPr>
        <w:spacing w:after="0" w:line="113"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The purchase price for this business combination was allocated to the tangible and intangible assets acquired and liabilities assumed based on their estimated fair values on the acquisition date, with the remaining unallocated purchase price recorded as goodwill. The fair value assigned to identifiable intangible assets acquired was determined primarily by using the income approach, which discounts expected future cash flows to present value using estimates and assumptions determined by the Company.</w:t>
      </w:r>
    </w:p>
    <w:p>
      <w:pPr>
        <w:spacing w:after="0" w:line="94"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Transaction and related costs, consisting primarily of professional fees, directly related to the acquisition, totaled $45 for the three months ended March 31, 2020. All transaction and related costs were expensed as incurred and are included in selling, general and administrative expenses.</w:t>
      </w:r>
    </w:p>
    <w:p>
      <w:pPr>
        <w:spacing w:after="0" w:line="103"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purchase price allocation for the business combination has been prepared on a preliminary basis and changes to the allocation may occur as additional information becomes available during the respective measurement period (up to one year from the acquisition date). Fair value still under review include values assigned to identifiable intangible assets and goodwill.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6" w:name="page137"/>
    <w:bookmarkEnd w:id="136"/>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11 — Business Combination </w:t>
      </w:r>
      <w:r>
        <w:rPr>
          <w:rFonts w:ascii="Arial" w:cs="Arial" w:eastAsia="Arial" w:hAnsi="Arial"/>
          <w:sz w:val="18"/>
          <w:szCs w:val="18"/>
          <w:color w:val="auto"/>
        </w:rPr>
        <w:t>(cont.)</w:t>
      </w:r>
    </w:p>
    <w:p>
      <w:pPr>
        <w:spacing w:after="0" w:line="189"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100330</wp:posOffset>
            </wp:positionV>
            <wp:extent cx="514350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Components of Purchase Price:</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Obligation to invest cash in profit interest</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1,140</w:t>
            </w:r>
          </w:p>
        </w:tc>
      </w:tr>
      <w:tr>
        <w:trPr>
          <w:trHeight w:val="41"/>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consideration</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57"/>
        </w:trPr>
        <w:tc>
          <w:tcPr>
            <w:tcW w:w="686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2,703</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1"/>
        </w:trPr>
        <w:tc>
          <w:tcPr>
            <w:tcW w:w="6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Allocation of Purchase Price:</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83"/>
        </w:trPr>
        <w:tc>
          <w:tcPr>
            <w:tcW w:w="6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tangible assets:</w:t>
            </w: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37"/>
        </w:trPr>
        <w:tc>
          <w:tcPr>
            <w:tcW w:w="6860" w:type="dxa"/>
            <w:vAlign w:val="bottom"/>
          </w:tcPr>
          <w:p>
            <w:pPr>
              <w:spacing w:after="0"/>
              <w:rPr>
                <w:sz w:val="20"/>
                <w:szCs w:val="20"/>
                <w:color w:val="auto"/>
              </w:rPr>
            </w:pPr>
            <w:r>
              <w:rPr>
                <w:rFonts w:ascii="Arial" w:cs="Arial" w:eastAsia="Arial" w:hAnsi="Arial"/>
                <w:sz w:val="18"/>
                <w:szCs w:val="18"/>
                <w:b w:val="1"/>
                <w:bCs w:val="1"/>
                <w:color w:val="auto"/>
              </w:rPr>
              <w:t>Identifiable intangible assets:</w:t>
            </w: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41"/>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Brand rights</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identifiable intangible assets</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37"/>
        </w:trPr>
        <w:tc>
          <w:tcPr>
            <w:tcW w:w="686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 allocation</w:t>
            </w:r>
          </w:p>
        </w:tc>
        <w:tc>
          <w:tcPr>
            <w:tcW w:w="460" w:type="dxa"/>
            <w:vAlign w:val="bottom"/>
            <w:tcBorders>
              <w:bottom w:val="single" w:sz="8" w:color="CCEEFF"/>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r>
      <w:tr>
        <w:trPr>
          <w:trHeight w:val="20"/>
        </w:trPr>
        <w:tc>
          <w:tcPr>
            <w:tcW w:w="6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161"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Brand rights and Customer relationships were assigned estimated useful lives of ten years and nine years, respectively, the weighted average of which is approximately 9.5 years.</w:t>
      </w:r>
    </w:p>
    <w:p>
      <w:pPr>
        <w:spacing w:after="0" w:line="103" w:lineRule="exact"/>
        <w:rPr>
          <w:sz w:val="20"/>
          <w:szCs w:val="20"/>
          <w:color w:val="auto"/>
        </w:rPr>
      </w:pPr>
    </w:p>
    <w:p>
      <w:pPr>
        <w:ind w:left="460" w:right="939" w:firstLine="432"/>
        <w:spacing w:after="0" w:line="308" w:lineRule="auto"/>
        <w:rPr>
          <w:sz w:val="20"/>
          <w:szCs w:val="20"/>
          <w:color w:val="auto"/>
        </w:rPr>
      </w:pPr>
      <w:r>
        <w:rPr>
          <w:rFonts w:ascii="Arial" w:cs="Arial" w:eastAsia="Arial" w:hAnsi="Arial"/>
          <w:sz w:val="17"/>
          <w:szCs w:val="17"/>
          <w:color w:val="auto"/>
        </w:rPr>
        <w:t>The amount of revenue of TriGrow included in the Company’s condensed consolidated statement of operations from the acquisition date of January 22, 2020 to March 31, 2020 was $855.</w:t>
      </w:r>
    </w:p>
    <w:p>
      <w:pPr>
        <w:spacing w:after="0" w:line="65" w:lineRule="exact"/>
        <w:rPr>
          <w:sz w:val="20"/>
          <w:szCs w:val="20"/>
          <w:color w:val="auto"/>
        </w:rPr>
      </w:pPr>
    </w:p>
    <w:p>
      <w:pPr>
        <w:ind w:left="460" w:right="839" w:firstLine="432"/>
        <w:spacing w:after="0" w:line="308" w:lineRule="auto"/>
        <w:rPr>
          <w:sz w:val="20"/>
          <w:szCs w:val="20"/>
          <w:color w:val="auto"/>
        </w:rPr>
      </w:pPr>
      <w:r>
        <w:rPr>
          <w:rFonts w:ascii="Arial" w:cs="Arial" w:eastAsia="Arial" w:hAnsi="Arial"/>
          <w:sz w:val="17"/>
          <w:szCs w:val="17"/>
          <w:color w:val="auto"/>
        </w:rPr>
        <w:t>The following pro forma financial information summarizes the combined results of operations for the Company and TriGrow, as though the acquisition of TriGrow occurred on January 1, 2019.</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unaudited pro forma financial information was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w:t>
            </w:r>
          </w:p>
        </w:tc>
        <w:tc>
          <w:tcPr>
            <w:tcW w:w="42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Net loss before non-controlling interest</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3,562</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3,532</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pro forma financial information for all periods presented above has been calculated after adjusting the results of TriGrow to reflect the business combination accounting effects resulting from this acquisition,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11" w:lineRule="exact"/>
        <w:rPr>
          <w:sz w:val="20"/>
          <w:szCs w:val="20"/>
          <w:color w:val="auto"/>
        </w:rPr>
      </w:pPr>
    </w:p>
    <w:p>
      <w:pPr>
        <w:ind w:left="460" w:right="559" w:firstLine="432"/>
        <w:spacing w:after="0" w:line="308" w:lineRule="auto"/>
        <w:rPr>
          <w:sz w:val="20"/>
          <w:szCs w:val="20"/>
          <w:color w:val="auto"/>
        </w:rPr>
      </w:pPr>
      <w:r>
        <w:rPr>
          <w:rFonts w:ascii="Arial" w:cs="Arial" w:eastAsia="Arial" w:hAnsi="Arial"/>
          <w:sz w:val="17"/>
          <w:szCs w:val="17"/>
          <w:color w:val="auto"/>
        </w:rPr>
        <w:t>The pro forma financial information is for informational purposes only and is not indicative of the results of operations that would have been achieved if the acquisition had taken place on January 1, 2019.</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Method Investments</w:t>
      </w:r>
    </w:p>
    <w:p>
      <w:pPr>
        <w:spacing w:after="0" w:line="162"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An assessment of whether or not the Company (as a holder of 50% of TPI) has the power to direct activities that most significantly impact TPI’s economic performance and to identify the party that obtains the majority of the benefits of the investment was performed as of March 31, 2020 and December 31, 2019, and will be performed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7" w:name="page138"/>
    <w:bookmarkEnd w:id="137"/>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11 — Business Combination </w:t>
      </w:r>
      <w:r>
        <w:rPr>
          <w:rFonts w:ascii="Arial" w:cs="Arial" w:eastAsia="Arial" w:hAnsi="Arial"/>
          <w:sz w:val="18"/>
          <w:szCs w:val="18"/>
          <w:color w:val="auto"/>
        </w:rPr>
        <w:t>(cont.)</w:t>
      </w:r>
    </w:p>
    <w:p>
      <w:pPr>
        <w:spacing w:after="0" w:line="189" w:lineRule="exact"/>
        <w:rPr>
          <w:sz w:val="20"/>
          <w:szCs w:val="20"/>
          <w:color w:val="auto"/>
        </w:rPr>
      </w:pPr>
    </w:p>
    <w:p>
      <w:pPr>
        <w:ind w:left="460" w:right="519"/>
        <w:spacing w:after="0" w:line="301" w:lineRule="auto"/>
        <w:rPr>
          <w:sz w:val="20"/>
          <w:szCs w:val="20"/>
          <w:color w:val="auto"/>
        </w:rPr>
      </w:pPr>
      <w:r>
        <w:rPr>
          <w:rFonts w:ascii="Arial" w:cs="Arial" w:eastAsia="Arial" w:hAnsi="Arial"/>
          <w:sz w:val="16"/>
          <w:szCs w:val="16"/>
          <w:color w:val="auto"/>
        </w:rPr>
        <w:t>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carrying value of the Company’s investment in TPI was $0 as of March 31, 2020 and December 31,</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2019. The Company did not recognize revenue from TPI for the three months ended March 31, 2020 and 2019.</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 Capital Structure</w:t>
      </w:r>
    </w:p>
    <w:p>
      <w:pPr>
        <w:spacing w:after="0" w:line="162"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On January 9, 2020, the Company increased its authorized number of shares to 53,000,000, consisting of: 50,000,000 shares of common stock, par value $0.001 per share and 3,000,000 shares of preferred stock, par value $0.001 per share. At that time, it also designated 100,000 shares of the 3,000,000 authorized shares of preferred stock, par value $0.001 per share, as Series A Convertible Preferred Stock (“Series A”).</w:t>
      </w:r>
    </w:p>
    <w:p>
      <w:pPr>
        <w:spacing w:after="0" w:line="76"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During the first quarter of 2020, the Company issued an aggregate of 60,000 shares of Series A for an aggregate purchase price of $6,000. Contemporaneously with the issuance of Series A, the Company and each respective investor entered into a Registration Rights Agreement and Subscription Agreement whereby the Company has agreed to use its commercially reasonably efforts as soon as reasonably practical to register such shares of common stock issuable upon conversion of the Series A pursuant to a registration statement and each respective investor agreed that it will lock-up any preferred stock or common stock held immediately prior to the effectiveness of the registration statement for the Company’s IPO for 180 days.</w:t>
      </w:r>
    </w:p>
    <w:p>
      <w:pPr>
        <w:spacing w:after="0" w:line="99"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On March 19, 2020, the Company increased the number of shares designated as Series A from 100,000 shares to 105,000 shares.</w:t>
      </w:r>
    </w:p>
    <w:p>
      <w:pPr>
        <w:spacing w:after="0" w:line="103"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Series A is senior to any shares of common stock of the Company par value $0.001 per share (the “common stock”), and each other class or series of capital stock of the Company hereafter created (together with the common stock, the “Junior Stock”) Holders of Series A stock are entitled to receive, in preference to any dividend paid or declared and set aside for any junior stock, dividend at per share price equal to the Series A original issue price at an annual rate equal to 7% compounded annually. Series A Stock holder will be entitled to cast the number of votes, rounded down to the nearest whole number, equal to the number of votes that would be attributable to the shares of common stock issuable upon conversion of such shares of Series A, assuming conversion on the date applicable to the vote. In the event of a liquidation, dissolution or winding up of the Company, each share of Series A will be entitled to a payment as set forth in the Company’s Certificate of Designation. The Series A is convertible, at any time after issuance, into common stock of the Company at the election of the holder into an amount of shares equal to (i) the product of the Series A original price plus unpaid dividends on the shares being converted, multiplied by the number of Series A shares being converted, divided by (ii) a conversion price of $7.43 per share ($70M divided by 9,420,288), subject to adjustment.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Subscriptions Receivable</w:t>
      </w:r>
    </w:p>
    <w:p>
      <w:pPr>
        <w:spacing w:after="0" w:line="148" w:lineRule="exact"/>
        <w:rPr>
          <w:sz w:val="20"/>
          <w:szCs w:val="20"/>
          <w:color w:val="auto"/>
        </w:rPr>
      </w:pPr>
    </w:p>
    <w:p>
      <w:pPr>
        <w:jc w:val="both"/>
        <w:ind w:left="460" w:right="599" w:firstLine="432"/>
        <w:spacing w:after="0" w:line="311" w:lineRule="auto"/>
        <w:rPr>
          <w:sz w:val="20"/>
          <w:szCs w:val="20"/>
          <w:color w:val="auto"/>
        </w:rPr>
      </w:pPr>
      <w:r>
        <w:rPr>
          <w:rFonts w:ascii="Arial" w:cs="Arial" w:eastAsia="Arial" w:hAnsi="Arial"/>
          <w:sz w:val="16"/>
          <w:szCs w:val="16"/>
          <w:color w:val="auto"/>
        </w:rPr>
        <w:t>At December 31, 2019, the Company recorded a stock subscription receivable in the amount of $40. The Stock subscription receivable is in connection with the issuance of common stock in June 2019 and represents 20,408 shares of common stock. The outstanding balance of stock subscription was paid during January 2020.</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Option Plan</w:t>
      </w:r>
    </w:p>
    <w:p>
      <w:pPr>
        <w:spacing w:after="0" w:line="162" w:lineRule="exact"/>
        <w:rPr>
          <w:sz w:val="20"/>
          <w:szCs w:val="20"/>
          <w:color w:val="auto"/>
        </w:rPr>
      </w:pPr>
    </w:p>
    <w:p>
      <w:pPr>
        <w:ind w:left="460" w:right="539" w:firstLine="432"/>
        <w:spacing w:after="0" w:line="340" w:lineRule="auto"/>
        <w:rPr>
          <w:sz w:val="20"/>
          <w:szCs w:val="20"/>
          <w:color w:val="auto"/>
        </w:rPr>
      </w:pPr>
      <w:r>
        <w:rPr>
          <w:rFonts w:ascii="Arial" w:cs="Arial" w:eastAsia="Arial" w:hAnsi="Arial"/>
          <w:sz w:val="15"/>
          <w:szCs w:val="15"/>
          <w:color w:val="auto"/>
        </w:rPr>
        <w:t>On June 4, 2019, the Company adopted its 2019 Stock Plan allowing the issuance of 2,758,260 shares. During December 2019 the Company granted 779,990 options to various employees and consultants. As of March 31, 2020 and December 31, 2019, there were 1,978,270 shares available to be granted under these plans.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8" w:name="page139"/>
    <w:bookmarkEnd w:id="138"/>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12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The Company’s stock option compensation expense was $61 and $0 for the three months ended March 31, 2020 and 2019, respectively, and there was $784 of total unrecognized compensation cost related to unvested options granted under the Company’s options plans as of March 31, 2020. This stock option expense will be recognized through December 2029.</w:t>
      </w:r>
    </w:p>
    <w:p>
      <w:pPr>
        <w:spacing w:after="0" w:line="119" w:lineRule="exact"/>
        <w:rPr>
          <w:sz w:val="20"/>
          <w:szCs w:val="20"/>
          <w:color w:val="auto"/>
        </w:rPr>
      </w:pPr>
    </w:p>
    <w:p>
      <w:pPr>
        <w:ind w:left="460" w:right="559" w:firstLine="432"/>
        <w:spacing w:after="0" w:line="308" w:lineRule="auto"/>
        <w:rPr>
          <w:sz w:val="20"/>
          <w:szCs w:val="20"/>
          <w:color w:val="auto"/>
        </w:rPr>
      </w:pPr>
      <w:r>
        <w:rPr>
          <w:rFonts w:ascii="Arial" w:cs="Arial" w:eastAsia="Arial" w:hAnsi="Arial"/>
          <w:sz w:val="17"/>
          <w:szCs w:val="17"/>
          <w:color w:val="auto"/>
        </w:rPr>
        <w:t>The following table presents option activity under the Company’s stock option plans for the three months ended March 31, 2020 (no outstanding options for the three months ended March 31, 2019):</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Weighted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7"/>
                <w:szCs w:val="17"/>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0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exercise</w:t>
            </w:r>
          </w:p>
        </w:tc>
        <w:tc>
          <w:tcPr>
            <w:tcW w:w="120" w:type="dxa"/>
            <w:vAlign w:val="bottom"/>
          </w:tcPr>
          <w:p>
            <w:pPr>
              <w:spacing w:after="0"/>
              <w:rPr>
                <w:sz w:val="17"/>
                <w:szCs w:val="17"/>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b w:val="1"/>
                <w:bCs w:val="1"/>
                <w:color w:val="auto"/>
                <w:w w:val="93"/>
              </w:rPr>
              <w:t>Intrinsic</w:t>
            </w:r>
          </w:p>
        </w:tc>
      </w:tr>
      <w:tr>
        <w:trPr>
          <w:trHeight w:val="210"/>
        </w:trPr>
        <w:tc>
          <w:tcPr>
            <w:tcW w:w="50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price</w:t>
            </w:r>
          </w:p>
        </w:tc>
        <w:tc>
          <w:tcPr>
            <w:tcW w:w="120" w:type="dxa"/>
            <w:vAlign w:val="bottom"/>
          </w:tcPr>
          <w:p>
            <w:pPr>
              <w:spacing w:after="0"/>
              <w:rPr>
                <w:sz w:val="18"/>
                <w:szCs w:val="18"/>
                <w:color w:val="auto"/>
              </w:rPr>
            </w:pPr>
          </w:p>
        </w:tc>
        <w:tc>
          <w:tcPr>
            <w:tcW w:w="940" w:type="dxa"/>
            <w:vAlign w:val="bottom"/>
          </w:tcPr>
          <w:p>
            <w:pPr>
              <w:jc w:val="center"/>
              <w:ind w:right="35"/>
              <w:spacing w:after="0"/>
              <w:rPr>
                <w:sz w:val="20"/>
                <w:szCs w:val="20"/>
                <w:color w:val="auto"/>
              </w:rPr>
            </w:pPr>
            <w:r>
              <w:rPr>
                <w:rFonts w:ascii="Arial" w:cs="Arial" w:eastAsia="Arial" w:hAnsi="Arial"/>
                <w:sz w:val="16"/>
                <w:szCs w:val="16"/>
                <w:b w:val="1"/>
                <w:bCs w:val="1"/>
                <w:color w:val="auto"/>
                <w:w w:val="92"/>
              </w:rPr>
              <w:t>value</w:t>
            </w:r>
          </w:p>
        </w:tc>
      </w:tr>
      <w:tr>
        <w:trPr>
          <w:trHeight w:val="47"/>
        </w:trPr>
        <w:tc>
          <w:tcPr>
            <w:tcW w:w="50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3"/>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2020</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779,990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0"/>
        </w:trPr>
        <w:tc>
          <w:tcPr>
            <w:tcW w:w="5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Cancelled or expired</w:t>
            </w:r>
          </w:p>
        </w:tc>
        <w:tc>
          <w:tcPr>
            <w:tcW w:w="920" w:type="dxa"/>
            <w:vAlign w:val="bottom"/>
          </w:tcPr>
          <w:p>
            <w:pPr>
              <w:jc w:val="right"/>
              <w:spacing w:after="0"/>
              <w:rPr>
                <w:sz w:val="20"/>
                <w:szCs w:val="20"/>
                <w:color w:val="auto"/>
              </w:rPr>
            </w:pPr>
            <w:r>
              <w:rPr>
                <w:rFonts w:ascii="Arial" w:cs="Arial" w:eastAsia="Arial" w:hAnsi="Arial"/>
                <w:sz w:val="18"/>
                <w:szCs w:val="18"/>
                <w:color w:val="auto"/>
              </w:rPr>
              <w:t>(30,199)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0"/>
        </w:trPr>
        <w:tc>
          <w:tcPr>
            <w:tcW w:w="5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3"/>
        </w:trPr>
        <w:tc>
          <w:tcPr>
            <w:tcW w:w="50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Options outstanding at March 31, 2020</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749,791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r>
      <w:tr>
        <w:trPr>
          <w:trHeight w:val="41"/>
        </w:trPr>
        <w:tc>
          <w:tcPr>
            <w:tcW w:w="5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3"/>
        </w:trPr>
        <w:tc>
          <w:tcPr>
            <w:tcW w:w="50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Options vested and exercisable as of March 31, 2020</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126,560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0"/>
        </w:trPr>
        <w:tc>
          <w:tcPr>
            <w:tcW w:w="5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3"/>
        </w:trPr>
        <w:tc>
          <w:tcPr>
            <w:tcW w:w="50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Weighted average fair value of options granted in 2019</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summarizes information about options vested and exercisable at March 31, 2020:</w:t>
      </w:r>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b w:val="1"/>
                <w:bCs w:val="1"/>
                <w:color w:val="auto"/>
                <w:w w:val="91"/>
              </w:rPr>
              <w:t>Options vested and exercisable</w:t>
            </w: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140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93"/>
              </w:rPr>
              <w:t>Range</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w w:val="90"/>
              </w:rPr>
              <w:t>Weighted average</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remaining contractual</w:t>
            </w: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640" w:type="dxa"/>
            <w:vAlign w:val="bottom"/>
          </w:tcPr>
          <w:p>
            <w:pPr>
              <w:spacing w:after="0"/>
              <w:rPr>
                <w:sz w:val="8"/>
                <w:szCs w:val="8"/>
                <w:color w:val="auto"/>
              </w:rPr>
            </w:pPr>
          </w:p>
        </w:tc>
        <w:tc>
          <w:tcPr>
            <w:tcW w:w="1400" w:type="dxa"/>
            <w:vAlign w:val="bottom"/>
            <w:gridSpan w:val="2"/>
            <w:vMerge w:val="restart"/>
          </w:tcPr>
          <w:p>
            <w:pPr>
              <w:jc w:val="center"/>
              <w:ind w:right="840"/>
              <w:spacing w:after="0" w:line="149" w:lineRule="exact"/>
              <w:rPr>
                <w:sz w:val="20"/>
                <w:szCs w:val="20"/>
                <w:color w:val="auto"/>
              </w:rPr>
            </w:pPr>
            <w:r>
              <w:rPr>
                <w:rFonts w:ascii="Arial" w:cs="Arial" w:eastAsia="Arial" w:hAnsi="Arial"/>
                <w:sz w:val="14"/>
                <w:szCs w:val="14"/>
                <w:b w:val="1"/>
                <w:bCs w:val="1"/>
                <w:color w:val="auto"/>
                <w:w w:val="95"/>
              </w:rPr>
              <w:t>price</w:t>
            </w:r>
          </w:p>
        </w:tc>
        <w:tc>
          <w:tcPr>
            <w:tcW w:w="20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Number of</w:t>
            </w:r>
          </w:p>
        </w:tc>
        <w:tc>
          <w:tcPr>
            <w:tcW w:w="2000" w:type="dxa"/>
            <w:vAlign w:val="bottom"/>
            <w:gridSpan w:val="2"/>
            <w:vMerge w:val="continue"/>
          </w:tcPr>
          <w:p>
            <w:pPr>
              <w:spacing w:after="0"/>
              <w:rPr>
                <w:sz w:val="8"/>
                <w:szCs w:val="8"/>
                <w:color w:val="auto"/>
              </w:rPr>
            </w:pPr>
          </w:p>
        </w:tc>
        <w:tc>
          <w:tcPr>
            <w:tcW w:w="2040" w:type="dxa"/>
            <w:vAlign w:val="bottom"/>
            <w:gridSpan w:val="2"/>
            <w:vMerge w:val="restart"/>
          </w:tcPr>
          <w:p>
            <w:pPr>
              <w:jc w:val="right"/>
              <w:ind w:right="390"/>
              <w:spacing w:after="0" w:line="149"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45"/>
        </w:trPr>
        <w:tc>
          <w:tcPr>
            <w:tcW w:w="640" w:type="dxa"/>
            <w:vAlign w:val="bottom"/>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2020" w:type="dxa"/>
            <w:vAlign w:val="bottom"/>
            <w:gridSpan w:val="2"/>
            <w:vMerge w:val="continue"/>
          </w:tcPr>
          <w:p>
            <w:pPr>
              <w:spacing w:after="0"/>
              <w:rPr>
                <w:sz w:val="3"/>
                <w:szCs w:val="3"/>
                <w:color w:val="auto"/>
              </w:rPr>
            </w:pPr>
          </w:p>
        </w:tc>
        <w:tc>
          <w:tcPr>
            <w:tcW w:w="20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life (years)</w:t>
            </w:r>
          </w:p>
        </w:tc>
        <w:tc>
          <w:tcPr>
            <w:tcW w:w="20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1280" w:type="dxa"/>
            <w:vAlign w:val="bottom"/>
          </w:tcPr>
          <w:p>
            <w:pPr>
              <w:jc w:val="center"/>
              <w:ind w:right="62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options</w:t>
            </w:r>
          </w:p>
        </w:tc>
        <w:tc>
          <w:tcPr>
            <w:tcW w:w="2000" w:type="dxa"/>
            <w:vAlign w:val="bottom"/>
            <w:gridSpan w:val="2"/>
            <w:vMerge w:val="continue"/>
          </w:tcPr>
          <w:p>
            <w:pPr>
              <w:spacing w:after="0"/>
              <w:rPr>
                <w:sz w:val="16"/>
                <w:szCs w:val="16"/>
                <w:color w:val="auto"/>
              </w:rPr>
            </w:pPr>
          </w:p>
        </w:tc>
        <w:tc>
          <w:tcPr>
            <w:tcW w:w="204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5"/>
        </w:trPr>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401"/>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rPr>
              <w:t>101,827</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9.7</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401"/>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920" w:type="dxa"/>
            <w:vAlign w:val="bottom"/>
          </w:tcPr>
          <w:p>
            <w:pPr>
              <w:jc w:val="right"/>
              <w:ind w:right="639"/>
              <w:spacing w:after="0"/>
              <w:rPr>
                <w:sz w:val="20"/>
                <w:szCs w:val="20"/>
                <w:color w:val="auto"/>
              </w:rPr>
            </w:pPr>
            <w:r>
              <w:rPr>
                <w:rFonts w:ascii="Arial" w:cs="Arial" w:eastAsia="Arial" w:hAnsi="Arial"/>
                <w:sz w:val="18"/>
                <w:szCs w:val="18"/>
                <w:color w:val="auto"/>
              </w:rPr>
              <w:t>24,733</w:t>
            </w:r>
          </w:p>
        </w:tc>
        <w:tc>
          <w:tcPr>
            <w:tcW w:w="1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80" w:type="dxa"/>
            <w:vAlign w:val="bottom"/>
          </w:tcPr>
          <w:p>
            <w:pPr>
              <w:spacing w:after="0"/>
              <w:rPr>
                <w:sz w:val="21"/>
                <w:szCs w:val="21"/>
                <w:color w:val="auto"/>
              </w:rPr>
            </w:pPr>
          </w:p>
        </w:tc>
        <w:tc>
          <w:tcPr>
            <w:tcW w:w="90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information about options expected to vest after March 31, 2020:</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ind w:left="160"/>
              <w:spacing w:after="0"/>
              <w:rPr>
                <w:sz w:val="20"/>
                <w:szCs w:val="20"/>
                <w:color w:val="auto"/>
              </w:rPr>
            </w:pPr>
            <w:r>
              <w:rPr>
                <w:rFonts w:ascii="Arial" w:cs="Arial" w:eastAsia="Arial" w:hAnsi="Arial"/>
                <w:sz w:val="16"/>
                <w:szCs w:val="16"/>
                <w:b w:val="1"/>
                <w:bCs w:val="1"/>
                <w:color w:val="auto"/>
                <w:w w:val="95"/>
              </w:rPr>
              <w:t>Options expected to vest</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40" w:type="dxa"/>
            <w:vAlign w:val="bottom"/>
            <w:gridSpan w:val="3"/>
            <w:vMerge w:val="restart"/>
          </w:tcPr>
          <w:p>
            <w:pPr>
              <w:jc w:val="center"/>
              <w:ind w:right="200"/>
              <w:spacing w:after="0"/>
              <w:rPr>
                <w:sz w:val="20"/>
                <w:szCs w:val="20"/>
                <w:color w:val="auto"/>
              </w:rPr>
            </w:pPr>
            <w:r>
              <w:rPr>
                <w:rFonts w:ascii="Arial" w:cs="Arial" w:eastAsia="Arial" w:hAnsi="Arial"/>
                <w:sz w:val="16"/>
                <w:szCs w:val="16"/>
                <w:b w:val="1"/>
                <w:bCs w:val="1"/>
                <w:color w:val="auto"/>
                <w:w w:val="89"/>
              </w:rPr>
              <w:t>Range</w:t>
            </w: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40" w:type="dxa"/>
            <w:vAlign w:val="bottom"/>
            <w:gridSpan w:val="3"/>
            <w:vMerge w:val="continue"/>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w w:val="90"/>
              </w:rPr>
              <w:t>Weighted average</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8"/>
              </w:rPr>
              <w:t>price</w:t>
            </w:r>
          </w:p>
        </w:tc>
        <w:tc>
          <w:tcPr>
            <w:tcW w:w="2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2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remaining contractual</w:t>
            </w:r>
          </w:p>
        </w:tc>
        <w:tc>
          <w:tcPr>
            <w:tcW w:w="2040" w:type="dxa"/>
            <w:vAlign w:val="bottom"/>
            <w:gridSpan w:val="2"/>
          </w:tcPr>
          <w:p>
            <w:pPr>
              <w:ind w:left="380"/>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0"/>
        </w:trPr>
        <w:tc>
          <w:tcPr>
            <w:tcW w:w="980" w:type="dxa"/>
            <w:vAlign w:val="bottom"/>
          </w:tcPr>
          <w:p>
            <w:pPr>
              <w:jc w:val="center"/>
              <w:ind w:left="755"/>
              <w:spacing w:after="0"/>
              <w:rPr>
                <w:sz w:val="20"/>
                <w:szCs w:val="20"/>
                <w:color w:val="auto"/>
              </w:rPr>
            </w:pPr>
            <w:r>
              <w:rPr>
                <w:rFonts w:ascii="Arial" w:cs="Arial" w:eastAsia="Arial" w:hAnsi="Arial"/>
                <w:sz w:val="16"/>
                <w:szCs w:val="16"/>
                <w:b w:val="1"/>
                <w:bCs w:val="1"/>
                <w:color w:val="auto"/>
                <w:w w:val="98"/>
              </w:rPr>
              <w:t>($</w:t>
            </w:r>
          </w:p>
        </w:tc>
        <w:tc>
          <w:tcPr>
            <w:tcW w:w="940" w:type="dxa"/>
            <w:vAlign w:val="bottom"/>
          </w:tcPr>
          <w:p>
            <w:pPr>
              <w:jc w:val="right"/>
              <w:ind w:right="827"/>
              <w:spacing w:after="0"/>
              <w:rPr>
                <w:sz w:val="20"/>
                <w:szCs w:val="20"/>
                <w:color w:val="auto"/>
              </w:rPr>
            </w:pPr>
            <w:r>
              <w:rPr>
                <w:rFonts w:ascii="Arial" w:cs="Arial" w:eastAsia="Arial" w:hAnsi="Arial"/>
                <w:sz w:val="8"/>
                <w:szCs w:val="8"/>
                <w:b w:val="1"/>
                <w:bCs w:val="1"/>
                <w:color w:val="auto"/>
                <w:w w:val="73"/>
              </w:rPr>
              <w:t>)</w:t>
            </w:r>
          </w:p>
        </w:tc>
        <w:tc>
          <w:tcPr>
            <w:tcW w:w="12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options</w:t>
            </w: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life (years)</w:t>
            </w:r>
          </w:p>
        </w:tc>
        <w:tc>
          <w:tcPr>
            <w:tcW w:w="2040" w:type="dxa"/>
            <w:vAlign w:val="bottom"/>
            <w:gridSpan w:val="2"/>
          </w:tcPr>
          <w:p>
            <w:pPr>
              <w:ind w:left="560"/>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47"/>
        </w:trPr>
        <w:tc>
          <w:tcPr>
            <w:tcW w:w="9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98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407"/>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499,563</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9.7</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980" w:type="dxa"/>
            <w:vAlign w:val="bottom"/>
          </w:tcPr>
          <w:p>
            <w:pPr>
              <w:jc w:val="right"/>
              <w:ind w:right="31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407"/>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123,668</w:t>
            </w:r>
          </w:p>
        </w:tc>
        <w:tc>
          <w:tcPr>
            <w:tcW w:w="1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80" w:type="dxa"/>
            <w:vAlign w:val="bottom"/>
          </w:tcPr>
          <w:p>
            <w:pPr>
              <w:spacing w:after="0"/>
              <w:rPr>
                <w:sz w:val="21"/>
                <w:szCs w:val="21"/>
                <w:color w:val="auto"/>
              </w:rPr>
            </w:pPr>
          </w:p>
        </w:tc>
        <w:tc>
          <w:tcPr>
            <w:tcW w:w="900" w:type="dxa"/>
            <w:vAlign w:val="bottom"/>
          </w:tcPr>
          <w:p>
            <w:pPr>
              <w:ind w:left="5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 Employee Benefit Plan</w:t>
      </w:r>
    </w:p>
    <w:p>
      <w:pPr>
        <w:spacing w:after="0" w:line="148"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the three months ended March 31, 2020 and 2019 did not contributed to the plan.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9" w:name="page140"/>
    <w:bookmarkEnd w:id="139"/>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58"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In June 2019, the Company entered an operating lease for office space in Burlington, Massachusetts, which expires on April 30, 2020. The Company has the right to extend the operating lease on a month-to-month through August 31, 2020. The Company elected to terminate the lease on July 14, 2020.</w:t>
      </w:r>
    </w:p>
    <w:p>
      <w:pPr>
        <w:spacing w:after="0" w:line="68"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The Company uses two apartments for the use of its personnel while attending meeting in the corporate office in Burlington, MA. One of the apartments is leased by the Chief Executive Officer and a shareholder of the Company. The Company pays the monthly liability directly to the Company that owns the apartment complex. The monthly rent for each apartment is approximately $3.5 and the annual lease that was set to expire in January 2021 was terminated and will end in August 2020.</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Rent expense was $43 and $0 for the three months ended March 31, 2020 and 2019, respectively.</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Future minimum lease commitments for the Burlington office under operating leases as of March 31,</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2020 are $8 for the month ended April 30, 2020.</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44" w:lineRule="exact"/>
        <w:rPr>
          <w:sz w:val="20"/>
          <w:szCs w:val="20"/>
          <w:color w:val="auto"/>
        </w:rPr>
      </w:pPr>
    </w:p>
    <w:p>
      <w:pPr>
        <w:jc w:val="both"/>
        <w:ind w:left="460" w:right="619" w:firstLine="432"/>
        <w:spacing w:after="0" w:line="257" w:lineRule="auto"/>
        <w:rPr>
          <w:sz w:val="20"/>
          <w:szCs w:val="20"/>
          <w:color w:val="auto"/>
        </w:rPr>
      </w:pPr>
      <w:r>
        <w:rPr>
          <w:rFonts w:ascii="Arial" w:cs="Arial" w:eastAsia="Arial" w:hAnsi="Arial"/>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15 — 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5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During April 2020, the Company issued 4,000 Series A Convertible Preferred Stock, $0.001 par value, for total consideration of $4,000,000.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 of Stock Options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May 2020, the Company cancelled all the options that were granted in December 2019.</w:t>
      </w:r>
    </w:p>
    <w:p>
      <w:pPr>
        <w:spacing w:after="0" w:line="144"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On May 6, 2020, the Company granted to its employees, directors and officers 749,123 options to purchase shares of common stock. The options will expire 10 years from the date of grant and have an exercise price per share of $1.44. 445,313 of the stock options were fully vested on the grant date and the remaining stock options vest in equal monthly installments monthly over 24 months thereafter. In addition, the Company granted its employees, directors and officers 1,817,700 options to purchase shares of common stock. The options will expire 10 years from the date of grant and have an exercise price per share of $1.44. 25% of the options vest 12 months following issuance and the balance vests in 36 equal monthly installments thereafter.</w:t>
      </w:r>
    </w:p>
    <w:p>
      <w:pPr>
        <w:spacing w:after="0" w:line="99"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On July 20, 2020, the Company granted to its employees, directors and officers 333,940 options to purchase shares of common stock. The options will expire 10 years from the date of grant and have an exercise price per share of $1.44. 25% of the options vest 12 months following issuance and the balance vests in 36 equal monthly installments thereafter.</w:t>
      </w:r>
    </w:p>
    <w:p>
      <w:pPr>
        <w:spacing w:after="0" w:line="119"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On August 10, 2020, the Company’s board of directors approved grants to its directors of 24,300 options to purchase shares of common stock. The options will expire 10 years from the date of grant and have an exercise price per share of $1.44. 25% of the options vest 12 months following issuance and the balance vests in 36 equal monthly installments thereafter.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0" w:name="page141"/>
    <w:bookmarkEnd w:id="140"/>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15 — Subsequent Events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Paycheck Protection Program Loan under the Coronavirus Aid, Relief, and Economic Security Act</w:t>
      </w:r>
    </w:p>
    <w:p>
      <w:pPr>
        <w:spacing w:after="0" w:line="169"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On May 7, 2020, the Company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Company received total proceeds of $779 from the unsecured PPP Loan. The PPP Loan is scheduled to mature on May 7, 2022 and has an interest rate of 1.00% per annum and is subject to the terms and conditions applicable to loans administered by the U.S. Small Business Administration under the CARES Act. The PPP Loan may be prepaid by the Company at any time prior to its maturity with no prepayment penalties.</w:t>
      </w:r>
    </w:p>
    <w:p>
      <w:pPr>
        <w:spacing w:after="0" w:line="111"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the Company during the eight-week period after the loan origination for certain purposes, including payroll costs, rent payments on certain leases and certain qualified utility payments, provided that, among other things, at least 75% of the loan amount is used for eligible payroll costs, the employer maintaining or rehiring employees and maintaining salaries at certain level. In accordance with the requirements of the CARES Act and the PPP, the Company intends to use the proceeds from the PPP Loan primarily for payroll costs. There can be no assurance that the Company will be granted forgiveness of the PPP Loan in whole or in part. Assuming the principal amount is not forgiven, the payment schedule would consist of 18 monthly consecutive payments of $44 each, beginning December 7, 2020 with a final payment due on May 7, 2022 for all principal and accrued interest not yet paid.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Harbor Mountain Holdings LLC</w:t>
      </w:r>
    </w:p>
    <w:p>
      <w:pPr>
        <w:spacing w:after="0" w:line="158"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In July 2020, the Company acquired all the outstanding shares of Harbor Mountain Holdings LLC (“HMH”), located in the Atlanta, GA area, that has been producing and assembling many of the Company’s products. The acquisition of HMH will include the issuance of Agrify’s equity at a value of up to $100 based on achievement of production milestones and assuming lease liabilities for existing equipment and premises.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1" w:name="page142"/>
    <w:bookmarkEnd w:id="141"/>
    <w:p>
      <w:pPr>
        <w:ind w:left="460" w:right="519" w:firstLine="432"/>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1202690</wp:posOffset>
            </wp:positionH>
            <wp:positionV relativeFrom="page">
              <wp:posOffset>363220</wp:posOffset>
            </wp:positionV>
            <wp:extent cx="514350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405765</wp:posOffset>
            </wp:positionV>
            <wp:extent cx="514350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t>Through and including , 2020 (the 25</w:t>
      </w:r>
      <w:r>
        <w:rPr>
          <w:rFonts w:ascii="Arial" w:cs="Arial" w:eastAsia="Arial" w:hAnsi="Arial"/>
          <w:sz w:val="19"/>
          <w:szCs w:val="19"/>
          <w:color w:val="auto"/>
          <w:vertAlign w:val="superscript"/>
        </w:rPr>
        <w:t>th</w:t>
      </w:r>
      <w:r>
        <w:rPr>
          <w:rFonts w:ascii="Arial" w:cs="Arial" w:eastAsia="Arial" w:hAnsi="Arial"/>
          <w:sz w:val="17"/>
          <w:szCs w:val="17"/>
          <w:b w:val="1"/>
          <w:bCs w:val="1"/>
          <w:color w:val="auto"/>
        </w:rPr>
        <w:t xml:space="preserve"> day after the date of this prospectus), all dealers effecting transactions in these securities, whether or not participating in this offering, may be required to deliver a prospectus. This requirement is in addition to a dealers’ obligation to deliver a prospectus when acting as an underwriter and with respect to an unsold allotment or membership.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60"/>
        <w:spacing w:after="0"/>
        <w:rPr>
          <w:sz w:val="20"/>
          <w:szCs w:val="20"/>
          <w:color w:val="auto"/>
        </w:rPr>
      </w:pPr>
      <w:r>
        <w:rPr>
          <w:rFonts w:ascii="Arial" w:cs="Arial" w:eastAsia="Arial" w:hAnsi="Arial"/>
          <w:sz w:val="29"/>
          <w:szCs w:val="29"/>
          <w:b w:val="1"/>
          <w:bCs w:val="1"/>
          <w:color w:val="auto"/>
        </w:rPr>
        <w:t>___________ Shares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708660</wp:posOffset>
            </wp:positionV>
            <wp:extent cx="2966085" cy="8572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96608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w:t>
      </w:r>
    </w:p>
    <w:p>
      <w:pPr>
        <w:spacing w:after="0" w:line="13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Maxim Group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560" w:hanging="722"/>
        <w:spacing w:after="0"/>
        <w:tabs>
          <w:tab w:leader="none" w:pos="45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542290</wp:posOffset>
            </wp:positionV>
            <wp:extent cx="514350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585470</wp:posOffset>
            </wp:positionV>
            <wp:extent cx="514350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859790</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377" w:right="1440"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following table sets forth the various expenses, all of which will be borne by the registrant, in connection with the sale and distribution of the securities being registered, other than the underwriting discounts and commissions. All amounts shown are estimates except for the SEC registration fee and the FINRA filing fee.</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50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FINRA fees</w:t>
            </w:r>
          </w:p>
        </w:tc>
        <w:tc>
          <w:tcPr>
            <w:tcW w:w="3500" w:type="dxa"/>
            <w:vAlign w:val="bottom"/>
          </w:tcPr>
          <w:p>
            <w:pPr>
              <w:jc w:val="right"/>
              <w:ind w:right="1070"/>
              <w:spacing w:after="0"/>
              <w:rPr>
                <w:sz w:val="20"/>
                <w:szCs w:val="20"/>
                <w:color w:val="auto"/>
              </w:rPr>
            </w:pPr>
            <w:r>
              <w:rPr>
                <w:rFonts w:ascii="Arial" w:cs="Arial" w:eastAsia="Arial" w:hAnsi="Arial"/>
                <w:sz w:val="18"/>
                <w:szCs w:val="18"/>
                <w:color w:val="auto"/>
              </w:rPr>
              <w:t>$</w:t>
            </w:r>
          </w:p>
        </w:tc>
      </w:tr>
      <w:tr>
        <w:trPr>
          <w:trHeight w:val="41"/>
        </w:trPr>
        <w:tc>
          <w:tcPr>
            <w:tcW w:w="4600" w:type="dxa"/>
            <w:vAlign w:val="bottom"/>
          </w:tcPr>
          <w:p>
            <w:pPr>
              <w:spacing w:after="0"/>
              <w:rPr>
                <w:sz w:val="3"/>
                <w:szCs w:val="3"/>
                <w:color w:val="auto"/>
              </w:rPr>
            </w:pPr>
          </w:p>
        </w:tc>
        <w:tc>
          <w:tcPr>
            <w:tcW w:w="3500" w:type="dxa"/>
            <w:vAlign w:val="bottom"/>
          </w:tcPr>
          <w:p>
            <w:pPr>
              <w:spacing w:after="0"/>
              <w:rPr>
                <w:sz w:val="3"/>
                <w:szCs w:val="3"/>
                <w:color w:val="auto"/>
              </w:rPr>
            </w:pPr>
          </w:p>
        </w:tc>
      </w:t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50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500" w:type="dxa"/>
            <w:vAlign w:val="bottom"/>
          </w:tcPr>
          <w:p>
            <w:pPr>
              <w:jc w:val="right"/>
              <w:ind w:right="1070"/>
              <w:spacing w:after="0"/>
              <w:rPr>
                <w:sz w:val="20"/>
                <w:szCs w:val="20"/>
                <w:color w:val="auto"/>
              </w:rPr>
            </w:pPr>
            <w:r>
              <w:rPr>
                <w:rFonts w:ascii="Arial" w:cs="Arial" w:eastAsia="Arial" w:hAnsi="Arial"/>
                <w:sz w:val="18"/>
                <w:szCs w:val="18"/>
                <w:color w:val="auto"/>
              </w:rPr>
              <w:t>$</w:t>
            </w:r>
          </w:p>
        </w:tc>
      </w:tr>
      <w:tr>
        <w:trPr>
          <w:trHeight w:val="40"/>
        </w:trPr>
        <w:tc>
          <w:tcPr>
            <w:tcW w:w="4600" w:type="dxa"/>
            <w:vAlign w:val="bottom"/>
          </w:tcPr>
          <w:p>
            <w:pPr>
              <w:spacing w:after="0"/>
              <w:rPr>
                <w:sz w:val="3"/>
                <w:szCs w:val="3"/>
                <w:color w:val="auto"/>
              </w:rPr>
            </w:pPr>
          </w:p>
        </w:tc>
        <w:tc>
          <w:tcPr>
            <w:tcW w:w="3500" w:type="dxa"/>
            <w:vAlign w:val="bottom"/>
          </w:tcPr>
          <w:p>
            <w:pPr>
              <w:spacing w:after="0"/>
              <w:rPr>
                <w:sz w:val="3"/>
                <w:szCs w:val="3"/>
                <w:color w:val="auto"/>
              </w:rPr>
            </w:pPr>
          </w:p>
        </w:tc>
      </w:t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50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Miscellaneous</w:t>
            </w:r>
          </w:p>
        </w:tc>
        <w:tc>
          <w:tcPr>
            <w:tcW w:w="3500" w:type="dxa"/>
            <w:vAlign w:val="bottom"/>
          </w:tcPr>
          <w:p>
            <w:pPr>
              <w:jc w:val="right"/>
              <w:ind w:right="1070"/>
              <w:spacing w:after="0"/>
              <w:rPr>
                <w:sz w:val="20"/>
                <w:szCs w:val="20"/>
                <w:color w:val="auto"/>
              </w:rPr>
            </w:pPr>
            <w:r>
              <w:rPr>
                <w:rFonts w:ascii="Arial" w:cs="Arial" w:eastAsia="Arial" w:hAnsi="Arial"/>
                <w:sz w:val="18"/>
                <w:szCs w:val="18"/>
                <w:color w:val="auto"/>
              </w:rPr>
              <w:t>$</w:t>
            </w:r>
          </w:p>
        </w:tc>
      </w:tr>
      <w:tr>
        <w:trPr>
          <w:trHeight w:val="40"/>
        </w:trPr>
        <w:tc>
          <w:tcPr>
            <w:tcW w:w="4600" w:type="dxa"/>
            <w:vAlign w:val="bottom"/>
          </w:tcPr>
          <w:p>
            <w:pPr>
              <w:spacing w:after="0"/>
              <w:rPr>
                <w:sz w:val="3"/>
                <w:szCs w:val="3"/>
                <w:color w:val="auto"/>
              </w:rPr>
            </w:pPr>
          </w:p>
        </w:tc>
        <w:tc>
          <w:tcPr>
            <w:tcW w:w="3500" w:type="dxa"/>
            <w:vAlign w:val="bottom"/>
          </w:tcPr>
          <w:p>
            <w:pPr>
              <w:spacing w:after="0"/>
              <w:rPr>
                <w:sz w:val="3"/>
                <w:szCs w:val="3"/>
                <w:color w:val="auto"/>
              </w:rPr>
            </w:pPr>
          </w:p>
        </w:tc>
      </w:t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50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r>
      <w:tr>
        <w:trPr>
          <w:trHeight w:val="251"/>
        </w:trPr>
        <w:tc>
          <w:tcPr>
            <w:tcW w:w="4600" w:type="dxa"/>
            <w:vAlign w:val="bottom"/>
          </w:tcPr>
          <w:p>
            <w:pPr>
              <w:spacing w:after="0"/>
              <w:rPr>
                <w:sz w:val="20"/>
                <w:szCs w:val="20"/>
                <w:color w:val="auto"/>
              </w:rPr>
            </w:pPr>
            <w:r>
              <w:rPr>
                <w:rFonts w:ascii="Arial" w:cs="Arial" w:eastAsia="Arial" w:hAnsi="Arial"/>
                <w:sz w:val="16"/>
                <w:szCs w:val="16"/>
                <w:color w:val="auto"/>
              </w:rPr>
              <w:t>____________</w:t>
            </w:r>
          </w:p>
        </w:tc>
        <w:tc>
          <w:tcPr>
            <w:tcW w:w="3500" w:type="dxa"/>
            <w:vAlign w:val="bottom"/>
          </w:tcPr>
          <w:p>
            <w:pPr>
              <w:spacing w:after="0"/>
              <w:rPr>
                <w:sz w:val="21"/>
                <w:szCs w:val="21"/>
                <w:color w:val="auto"/>
              </w:rPr>
            </w:pPr>
          </w:p>
        </w:tc>
      </w:tr>
    </w:tbl>
    <w:p>
      <w:pPr>
        <w:spacing w:after="0" w:line="77" w:lineRule="exact"/>
        <w:rPr>
          <w:sz w:val="20"/>
          <w:szCs w:val="20"/>
          <w:color w:val="auto"/>
        </w:rPr>
      </w:pPr>
    </w:p>
    <w:p>
      <w:pPr>
        <w:ind w:left="860" w:hanging="406"/>
        <w:spacing w:after="0"/>
        <w:tabs>
          <w:tab w:leader="none" w:pos="8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be provided by amendment.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We are a Nevada corporation and generally governed by the Nevada Private Corporations Code, Title 78 of the Nevada Revised Statutes, or NRS.</w:t>
      </w:r>
    </w:p>
    <w:p>
      <w:pPr>
        <w:spacing w:after="0" w:line="76"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82" w:lineRule="exact"/>
        <w:rPr>
          <w:sz w:val="20"/>
          <w:szCs w:val="20"/>
          <w:color w:val="auto"/>
        </w:rPr>
      </w:pPr>
    </w:p>
    <w:p>
      <w:pPr>
        <w:ind w:left="460" w:right="559" w:firstLine="432"/>
        <w:spacing w:after="0" w:line="268" w:lineRule="auto"/>
        <w:rPr>
          <w:sz w:val="20"/>
          <w:szCs w:val="20"/>
          <w:color w:val="auto"/>
        </w:rPr>
      </w:pPr>
      <w:r>
        <w:rPr>
          <w:rFonts w:ascii="Arial" w:cs="Arial" w:eastAsia="Arial" w:hAnsi="Arial"/>
          <w:sz w:val="17"/>
          <w:szCs w:val="17"/>
          <w:color w:val="auto"/>
        </w:rPr>
        <w:t>Section 78.7502 of the NRS permits a company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 Section 78.7502 of the NRS requires a corporation to indemnify a director or officer that has been successful on the merits or otherwise in defense of any action or suit. 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 and requires a corporation to indemnify its officers and directors if they have been successful on the merits or otherwise in defense of any claim, issue, or matter resulting from their service as a director or officer.</w:t>
      </w:r>
    </w:p>
    <w:p>
      <w:pPr>
        <w:spacing w:after="0" w:line="76"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Section 78.751 of the NRS permits a Nevada company to indemnify its officers and directors against expenses incurred by them in defending a civil or criminal action, suit, or proceeding as they are incurred and in advance of final disposition thereof, upon determination by the stockholders, the disinterested board members, or by independent legal counsel. If so provided in the corporation’s articles of incorporation, bylaws, or other agreement, Section 78.751 of the NRS requires a corporation to advance expenses as incurred upon receipt of an undertaking by or on behalf of the officer or director to repay the amount if it is ultimately determined by a court of competent jurisdiction that such officer or director is not entitled to be indemnified by the company. Section 78.751 of the NRS further permits the company to grant its directors and officers additional rights of indemnification under its articles of incorporation, bylaws, or other agreement.</w:t>
      </w:r>
    </w:p>
    <w:p>
      <w:pPr>
        <w:spacing w:after="0" w:line="72"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3" w:name="page144"/>
    <w:bookmarkEnd w:id="143"/>
    <w:p>
      <w:pPr>
        <w:ind w:left="460" w:right="539" w:firstLine="432"/>
        <w:spacing w:after="0" w:line="253" w:lineRule="auto"/>
        <w:rPr>
          <w:sz w:val="20"/>
          <w:szCs w:val="20"/>
          <w:color w:val="auto"/>
        </w:rPr>
      </w:pPr>
      <w:r>
        <w:rPr>
          <w:rFonts w:ascii="Arial" w:cs="Arial" w:eastAsia="Arial" w:hAnsi="Arial"/>
          <w:sz w:val="18"/>
          <w:szCs w:val="18"/>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provide shall advance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115"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At the present time, there is no pending litigation or proceeding involving a director, officer, employee, or other agent of ours in which indemnification would be required or permitted. We are not aware of any threatened litigation or proceeding that may result in a claim for such indemnification.</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The information below lists all of the securities sold by us during the past three years which were not registered under the Securities Act:</w:t>
      </w:r>
    </w:p>
    <w:p>
      <w:pPr>
        <w:spacing w:after="0" w:line="62"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In January 2020, the Company issued an aggregate of 942,028 shares of its common stock to the TriGrow shareholders in connection with the merger with TriGrow.</w:t>
      </w:r>
    </w:p>
    <w:p>
      <w:pPr>
        <w:spacing w:after="0" w:line="62" w:lineRule="exact"/>
        <w:rPr>
          <w:sz w:val="20"/>
          <w:szCs w:val="20"/>
          <w:color w:val="auto"/>
        </w:rPr>
      </w:pPr>
    </w:p>
    <w:p>
      <w:pPr>
        <w:jc w:val="both"/>
        <w:ind w:left="460" w:right="559" w:firstLine="432"/>
        <w:spacing w:after="0" w:line="342" w:lineRule="auto"/>
        <w:rPr>
          <w:sz w:val="20"/>
          <w:szCs w:val="20"/>
          <w:color w:val="auto"/>
        </w:rPr>
      </w:pPr>
      <w:r>
        <w:rPr>
          <w:rFonts w:ascii="Arial" w:cs="Arial" w:eastAsia="Arial" w:hAnsi="Arial"/>
          <w:sz w:val="16"/>
          <w:szCs w:val="16"/>
          <w:color w:val="auto"/>
        </w:rPr>
        <w:t>In January and April 2020, the Company issued an aggregate of 100,000 shares of the Company’s Series A Convertible Preferred Stock, which shares shall convert into common stock upon the closing of this offering.</w:t>
      </w:r>
    </w:p>
    <w:p>
      <w:pPr>
        <w:spacing w:after="0" w:line="16" w:lineRule="exact"/>
        <w:rPr>
          <w:sz w:val="20"/>
          <w:szCs w:val="20"/>
          <w:color w:val="auto"/>
        </w:rPr>
      </w:pPr>
    </w:p>
    <w:p>
      <w:pPr>
        <w:ind w:left="460" w:right="1139" w:firstLine="432"/>
        <w:spacing w:after="0" w:line="277" w:lineRule="auto"/>
        <w:rPr>
          <w:sz w:val="20"/>
          <w:szCs w:val="20"/>
          <w:color w:val="auto"/>
        </w:rPr>
      </w:pPr>
      <w:r>
        <w:rPr>
          <w:rFonts w:ascii="Arial" w:cs="Arial" w:eastAsia="Arial" w:hAnsi="Arial"/>
          <w:sz w:val="18"/>
          <w:szCs w:val="18"/>
          <w:color w:val="auto"/>
        </w:rPr>
        <w:t>In December 2019 and May 2020, the Company issued stock options to purchase an aggregate of 2,734,886 shares of its common stock.</w:t>
      </w:r>
    </w:p>
    <w:p>
      <w:pPr>
        <w:spacing w:after="0" w:line="62"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For each of the transactions referred to above, we relied upon an exemption from registration afforded by Section 4(2) of the Securities Act and Rule 506 of Regulation D promulgated thereunder, which exempt transactions by an issuer not involving any public offering.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The following exhibits are filed as part of this Registration Statement:</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800" w:type="dxa"/>
            <w:vAlign w:val="bottom"/>
          </w:tcPr>
          <w:p>
            <w:pPr>
              <w:spacing w:after="0"/>
              <w:rPr>
                <w:sz w:val="20"/>
                <w:szCs w:val="20"/>
                <w:color w:val="auto"/>
              </w:rPr>
            </w:pPr>
            <w:r>
              <w:rPr>
                <w:rFonts w:ascii="Arial" w:cs="Arial" w:eastAsia="Arial" w:hAnsi="Arial"/>
                <w:sz w:val="16"/>
                <w:szCs w:val="16"/>
                <w:b w:val="1"/>
                <w:bCs w:val="1"/>
                <w:color w:val="auto"/>
                <w:w w:val="93"/>
              </w:rPr>
              <w:t>Exhibit No.</w:t>
            </w:r>
          </w:p>
        </w:tc>
        <w:tc>
          <w:tcPr>
            <w:tcW w:w="80" w:type="dxa"/>
            <w:vAlign w:val="bottom"/>
          </w:tcPr>
          <w:p>
            <w:pPr>
              <w:spacing w:after="0"/>
              <w:rPr>
                <w:sz w:val="18"/>
                <w:szCs w:val="18"/>
                <w:color w:val="auto"/>
              </w:rPr>
            </w:pPr>
          </w:p>
        </w:tc>
        <w:tc>
          <w:tcPr>
            <w:tcW w:w="7220" w:type="dxa"/>
            <w:vAlign w:val="bottom"/>
          </w:tcPr>
          <w:p>
            <w:pPr>
              <w:ind w:left="3200"/>
              <w:spacing w:after="0"/>
              <w:rPr>
                <w:sz w:val="20"/>
                <w:szCs w:val="20"/>
                <w:color w:val="auto"/>
              </w:rPr>
            </w:pPr>
            <w:r>
              <w:rPr>
                <w:rFonts w:ascii="Arial" w:cs="Arial" w:eastAsia="Arial" w:hAnsi="Arial"/>
                <w:sz w:val="16"/>
                <w:szCs w:val="16"/>
                <w:b w:val="1"/>
                <w:bCs w:val="1"/>
                <w:color w:val="auto"/>
              </w:rPr>
              <w:t>Description</w:t>
            </w:r>
          </w:p>
        </w:tc>
      </w:tr>
      <w:tr>
        <w:trPr>
          <w:trHeight w:val="47"/>
        </w:trPr>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20" w:type="dxa"/>
            <w:vAlign w:val="bottom"/>
            <w:tcBorders>
              <w:bottom w:val="single" w:sz="8" w:color="auto"/>
            </w:tcBorders>
          </w:tcPr>
          <w:p>
            <w:pPr>
              <w:spacing w:after="0"/>
              <w:rPr>
                <w:sz w:val="4"/>
                <w:szCs w:val="4"/>
                <w:color w:val="auto"/>
              </w:rPr>
            </w:pPr>
          </w:p>
        </w:tc>
      </w:tr>
      <w:tr>
        <w:trPr>
          <w:trHeight w:val="243"/>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rPr>
              <w:t>Articles of Incorporation of the Registrant, as amended*</w:t>
            </w:r>
          </w:p>
        </w:tc>
      </w:tr>
      <w:tr>
        <w:trPr>
          <w:trHeight w:val="53"/>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20" w:type="dxa"/>
            <w:vAlign w:val="bottom"/>
          </w:tcPr>
          <w:p>
            <w:pPr>
              <w:spacing w:after="0"/>
              <w:rPr>
                <w:sz w:val="4"/>
                <w:szCs w:val="4"/>
                <w:color w:val="auto"/>
              </w:rPr>
            </w:pPr>
          </w:p>
        </w:tc>
      </w:tr>
      <w:tr>
        <w:trPr>
          <w:trHeight w:val="263"/>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3.2</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Bylaws of the Registrant*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rPr>
              <w:t>Form of Common Stock Certificate*</w:t>
            </w:r>
          </w:p>
        </w:tc>
      </w:tr>
      <w:tr>
        <w:trPr>
          <w:trHeight w:val="53"/>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20" w:type="dxa"/>
            <w:vAlign w:val="bottom"/>
          </w:tcPr>
          <w:p>
            <w:pPr>
              <w:spacing w:after="0"/>
              <w:rPr>
                <w:sz w:val="4"/>
                <w:szCs w:val="4"/>
                <w:color w:val="auto"/>
              </w:rPr>
            </w:pPr>
          </w:p>
        </w:tc>
      </w:tr>
      <w:tr>
        <w:trPr>
          <w:trHeight w:val="264"/>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4.2</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Form of Underwriter Warrant*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5.1</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rPr>
              <w:t>Opinion of Loeb &amp; Loeb LLP regarding legality*</w:t>
            </w:r>
          </w:p>
        </w:tc>
      </w:tr>
      <w:tr>
        <w:trPr>
          <w:trHeight w:val="53"/>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20" w:type="dxa"/>
            <w:vAlign w:val="bottom"/>
          </w:tcPr>
          <w:p>
            <w:pPr>
              <w:spacing w:after="0"/>
              <w:rPr>
                <w:sz w:val="4"/>
                <w:szCs w:val="4"/>
                <w:color w:val="auto"/>
              </w:rPr>
            </w:pPr>
          </w:p>
        </w:tc>
      </w:tr>
      <w:tr>
        <w:trPr>
          <w:trHeight w:val="202"/>
        </w:trPr>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730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98"/>
              </w:rPr>
              <w:t>Agreement and Plan of Merger dated January 22, 2020 between the Company and TriGrow</w:t>
            </w:r>
          </w:p>
        </w:tc>
      </w:tr>
      <w:tr>
        <w:trPr>
          <w:trHeight w:val="251"/>
        </w:trPr>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Systems, Inc.*</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w w:val="97"/>
              </w:rPr>
              <w:t>Distributor Agreement dated May 2, 2019 between the Company and Sonneteck TJ Co. Ltd.*</w:t>
            </w:r>
          </w:p>
        </w:tc>
      </w:tr>
      <w:tr>
        <w:trPr>
          <w:trHeight w:val="53"/>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20" w:type="dxa"/>
            <w:vAlign w:val="bottom"/>
          </w:tcPr>
          <w:p>
            <w:pPr>
              <w:spacing w:after="0"/>
              <w:rPr>
                <w:sz w:val="4"/>
                <w:szCs w:val="4"/>
                <w:color w:val="auto"/>
              </w:rPr>
            </w:pPr>
          </w:p>
        </w:tc>
      </w:tr>
      <w:tr>
        <w:trPr>
          <w:trHeight w:val="264"/>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10.3</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4"/>
              </w:rPr>
              <w:t>Distribution Agreement dated June 7, 2019 between the Company and Bluezone Products, Inc.*</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w w:val="92"/>
              </w:rPr>
              <w:t>Distribution Agreement dated March 9, 2020 between the Company and Enozo Technologies Inc.*</w:t>
            </w:r>
          </w:p>
        </w:tc>
      </w:tr>
      <w:tr>
        <w:trPr>
          <w:trHeight w:val="53"/>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20" w:type="dxa"/>
            <w:vAlign w:val="bottom"/>
          </w:tcPr>
          <w:p>
            <w:pPr>
              <w:spacing w:after="0"/>
              <w:rPr>
                <w:sz w:val="4"/>
                <w:szCs w:val="4"/>
                <w:color w:val="auto"/>
              </w:rPr>
            </w:pPr>
          </w:p>
        </w:tc>
      </w:tr>
      <w:tr>
        <w:trPr>
          <w:trHeight w:val="263"/>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10.5</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Purchase Agreement dated July 28, 2020 between the Company and 4D Bios Inc.*</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10.6</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rPr>
              <w:t>Employment Agreement of Raymond Chang*</w:t>
            </w:r>
          </w:p>
        </w:tc>
      </w:tr>
      <w:tr>
        <w:trPr>
          <w:trHeight w:val="53"/>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20" w:type="dxa"/>
            <w:vAlign w:val="bottom"/>
          </w:tcPr>
          <w:p>
            <w:pPr>
              <w:spacing w:after="0"/>
              <w:rPr>
                <w:sz w:val="4"/>
                <w:szCs w:val="4"/>
                <w:color w:val="auto"/>
              </w:rPr>
            </w:pPr>
          </w:p>
        </w:tc>
      </w:tr>
      <w:tr>
        <w:trPr>
          <w:trHeight w:val="263"/>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10.7</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Employment Agreement of Niv Krikov*</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10.8</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rPr>
              <w:t>Employment Agreement of Matthew Liotta*</w:t>
            </w:r>
          </w:p>
        </w:tc>
      </w:tr>
      <w:tr>
        <w:trPr>
          <w:trHeight w:val="53"/>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20" w:type="dxa"/>
            <w:vAlign w:val="bottom"/>
          </w:tcPr>
          <w:p>
            <w:pPr>
              <w:spacing w:after="0"/>
              <w:rPr>
                <w:sz w:val="4"/>
                <w:szCs w:val="4"/>
                <w:color w:val="auto"/>
              </w:rPr>
            </w:pPr>
          </w:p>
        </w:tc>
      </w:tr>
      <w:tr>
        <w:trPr>
          <w:trHeight w:val="264"/>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10.9</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Employment Agreement of Robert Harrison*</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10.10</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rPr>
              <w:t>2020 Omnibus Equity Incentive Plan*</w:t>
            </w:r>
          </w:p>
        </w:tc>
      </w:tr>
      <w:tr>
        <w:trPr>
          <w:trHeight w:val="53"/>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20" w:type="dxa"/>
            <w:vAlign w:val="bottom"/>
          </w:tcPr>
          <w:p>
            <w:pPr>
              <w:spacing w:after="0"/>
              <w:rPr>
                <w:sz w:val="4"/>
                <w:szCs w:val="4"/>
                <w:color w:val="auto"/>
              </w:rPr>
            </w:pPr>
          </w:p>
        </w:tc>
      </w:tr>
      <w:tr>
        <w:trPr>
          <w:trHeight w:val="264"/>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14.1</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Code of Ethics of Agrify Corporation Applicable To Directors, Officers And Employees*</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21.1</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rPr>
              <w:t>Subsidiaries of the Registrant*</w:t>
            </w:r>
          </w:p>
        </w:tc>
      </w:tr>
      <w:tr>
        <w:trPr>
          <w:trHeight w:val="53"/>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20" w:type="dxa"/>
            <w:vAlign w:val="bottom"/>
          </w:tcPr>
          <w:p>
            <w:pPr>
              <w:spacing w:after="0"/>
              <w:rPr>
                <w:sz w:val="4"/>
                <w:szCs w:val="4"/>
                <w:color w:val="auto"/>
              </w:rPr>
            </w:pPr>
          </w:p>
        </w:tc>
      </w:tr>
      <w:tr>
        <w:trPr>
          <w:trHeight w:val="264"/>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23.1</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Consent of Marcum LLP, independent registered public accounting firm*</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23.2</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rPr>
              <w:t>Consent of Loeb &amp; Loeb LLP (included in Exhibit 5.1)*</w:t>
            </w:r>
          </w:p>
        </w:tc>
      </w:tr>
      <w:tr>
        <w:trPr>
          <w:trHeight w:val="53"/>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20" w:type="dxa"/>
            <w:vAlign w:val="bottom"/>
          </w:tcPr>
          <w:p>
            <w:pPr>
              <w:spacing w:after="0"/>
              <w:rPr>
                <w:sz w:val="4"/>
                <w:szCs w:val="4"/>
                <w:color w:val="auto"/>
              </w:rPr>
            </w:pPr>
          </w:p>
        </w:tc>
      </w:tr>
      <w:tr>
        <w:trPr>
          <w:trHeight w:val="230"/>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24.1</w:t>
            </w:r>
          </w:p>
        </w:tc>
        <w:tc>
          <w:tcPr>
            <w:tcW w:w="7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Power of Attorney (included on signature page)*</w:t>
            </w:r>
          </w:p>
        </w:tc>
      </w:tr>
      <w:tr>
        <w:trPr>
          <w:trHeight w:val="53"/>
        </w:trPr>
        <w:tc>
          <w:tcPr>
            <w:tcW w:w="8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20" w:type="dxa"/>
            <w:vAlign w:val="bottom"/>
            <w:shd w:val="clear" w:color="auto" w:fill="CCEEFF"/>
          </w:tcPr>
          <w:p>
            <w:pPr>
              <w:spacing w:after="0"/>
              <w:rPr>
                <w:sz w:val="4"/>
                <w:szCs w:val="4"/>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be filed by amendment.</w:t>
      </w:r>
    </w:p>
    <w:p>
      <w:pPr>
        <w:sectPr>
          <w:pgSz w:w="11900" w:h="16838" w:orient="portrait"/>
          <w:cols w:equalWidth="0" w:num="1">
            <w:col w:w="9019"/>
          </w:cols>
          <w:pgMar w:left="1440" w:top="274" w:right="1440"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4" w:name="page145"/>
    <w:bookmarkEnd w:id="144"/>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162"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3"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undersigned registrant hereby undertakes that:</w:t>
      </w:r>
    </w:p>
    <w:p>
      <w:pPr>
        <w:spacing w:after="0" w:line="158" w:lineRule="exact"/>
        <w:rPr>
          <w:sz w:val="20"/>
          <w:szCs w:val="20"/>
          <w:color w:val="auto"/>
        </w:rPr>
      </w:pPr>
    </w:p>
    <w:p>
      <w:pPr>
        <w:ind w:left="1320" w:right="619" w:hanging="434"/>
        <w:spacing w:after="0" w:line="257" w:lineRule="auto"/>
        <w:tabs>
          <w:tab w:leader="none" w:pos="1278"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6" w:lineRule="exact"/>
        <w:rPr>
          <w:rFonts w:ascii="Arial" w:cs="Arial" w:eastAsia="Arial" w:hAnsi="Arial"/>
          <w:sz w:val="18"/>
          <w:szCs w:val="18"/>
          <w:color w:val="auto"/>
        </w:rPr>
      </w:pPr>
    </w:p>
    <w:p>
      <w:pPr>
        <w:ind w:left="1320" w:right="699" w:hanging="434"/>
        <w:spacing w:after="0" w:line="259" w:lineRule="auto"/>
        <w:tabs>
          <w:tab w:leader="none" w:pos="1278"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460" w:right="679" w:firstLine="432"/>
        <w:spacing w:after="0" w:line="287"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S-1 and has duly caused this registration statement or amendment thereto to be signed on its behalf by the undersigned, thereunto duly</w:t>
      </w:r>
    </w:p>
    <w:p>
      <w:pPr>
        <w:spacing w:after="0" w:line="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w w:val="98"/>
              </w:rPr>
              <w:t>authorized, in Burlington, Massachusetts, on</w:t>
            </w:r>
          </w:p>
        </w:tc>
        <w:tc>
          <w:tcPr>
            <w:tcW w:w="78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14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AGRIFY CORPORATION</w:t>
      </w:r>
    </w:p>
    <w:p>
      <w:pPr>
        <w:spacing w:after="0" w:line="8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w:t>
      </w:r>
    </w:p>
    <w:p>
      <w:pPr>
        <w:spacing w:after="0" w:line="7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Name: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-121920</wp:posOffset>
            </wp:positionV>
            <wp:extent cx="24174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7" w:lineRule="exact"/>
        <w:rPr>
          <w:sz w:val="20"/>
          <w:szCs w:val="20"/>
          <w:color w:val="auto"/>
        </w:rPr>
      </w:pPr>
    </w:p>
    <w:p>
      <w:pPr>
        <w:ind w:left="4160"/>
        <w:spacing w:after="0"/>
        <w:tabs>
          <w:tab w:leader="none" w:pos="4720" w:val="left"/>
        </w:tabs>
        <w:rPr>
          <w:sz w:val="20"/>
          <w:szCs w:val="20"/>
          <w:color w:val="auto"/>
        </w:rPr>
      </w:pPr>
      <w:r>
        <w:rPr>
          <w:rFonts w:ascii="Arial" w:cs="Arial" w:eastAsia="Arial" w:hAnsi="Arial"/>
          <w:sz w:val="17"/>
          <w:szCs w:val="17"/>
          <w:color w:val="auto"/>
        </w:rPr>
        <w:t>Title:</w:t>
        <w:tab/>
        <w:t>Chief Executive Officer (principal executive officer)</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2"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KNOWN ALL MEN BY THESE PRESENTS, that each person whose signature appears below constitutes and appoints Raymond Chang and Niv Krikov his true and lawful attorney-in-fact, with full power of substitution and resubstitution for him and in his name, place and stead, in any and all capacities to sign any and all amendments (including post-effective amendments) to this registration statement (and to any registration statement filed pursuant to Rule 462 under the Securities Act of 1933, as amended),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97"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80" w:type="dxa"/>
            <w:vAlign w:val="bottom"/>
          </w:tcPr>
          <w:p>
            <w:pPr>
              <w:spacing w:after="0"/>
              <w:rPr>
                <w:sz w:val="20"/>
                <w:szCs w:val="20"/>
                <w:color w:val="auto"/>
              </w:rPr>
            </w:pPr>
            <w:r>
              <w:rPr>
                <w:rFonts w:ascii="Arial" w:cs="Arial" w:eastAsia="Arial" w:hAnsi="Arial"/>
                <w:sz w:val="16"/>
                <w:szCs w:val="16"/>
                <w:b w:val="1"/>
                <w:bCs w:val="1"/>
                <w:color w:val="auto"/>
              </w:rPr>
              <w:t>Signature</w:t>
            </w:r>
          </w:p>
        </w:tc>
        <w:tc>
          <w:tcPr>
            <w:tcW w:w="120" w:type="dxa"/>
            <w:vAlign w:val="bottom"/>
          </w:tcPr>
          <w:p>
            <w:pPr>
              <w:spacing w:after="0"/>
              <w:rPr>
                <w:sz w:val="18"/>
                <w:szCs w:val="18"/>
                <w:color w:val="auto"/>
              </w:rPr>
            </w:pPr>
          </w:p>
        </w:tc>
        <w:tc>
          <w:tcPr>
            <w:tcW w:w="3840" w:type="dxa"/>
            <w:vAlign w:val="bottom"/>
            <w:gridSpan w:val="2"/>
          </w:tcPr>
          <w:p>
            <w:pPr>
              <w:ind w:left="1700"/>
              <w:spacing w:after="0"/>
              <w:rPr>
                <w:sz w:val="20"/>
                <w:szCs w:val="20"/>
                <w:color w:val="auto"/>
              </w:rPr>
            </w:pPr>
            <w:r>
              <w:rPr>
                <w:rFonts w:ascii="Arial" w:cs="Arial" w:eastAsia="Arial" w:hAnsi="Arial"/>
                <w:sz w:val="16"/>
                <w:szCs w:val="16"/>
                <w:b w:val="1"/>
                <w:bCs w:val="1"/>
                <w:color w:val="auto"/>
              </w:rPr>
              <w:t>Title</w:t>
            </w:r>
          </w:p>
        </w:tc>
        <w:tc>
          <w:tcPr>
            <w:tcW w:w="1860" w:type="dxa"/>
            <w:vAlign w:val="bottom"/>
          </w:tcPr>
          <w:p>
            <w:pPr>
              <w:jc w:val="right"/>
              <w:ind w:right="691"/>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47"/>
        </w:trPr>
        <w:tc>
          <w:tcPr>
            <w:tcW w:w="2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1860" w:type="dxa"/>
            <w:vAlign w:val="bottom"/>
          </w:tcPr>
          <w:p>
            <w:pPr>
              <w:jc w:val="right"/>
              <w:ind w:right="451"/>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54"/>
        </w:trPr>
        <w:tc>
          <w:tcPr>
            <w:tcW w:w="228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(principal executive officer)</w:t>
            </w: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Raymond Chang</w:t>
            </w:r>
          </w:p>
        </w:tc>
        <w:tc>
          <w:tcPr>
            <w:tcW w:w="120" w:type="dxa"/>
            <w:vAlign w:val="bottom"/>
            <w:vMerge w:val="continue"/>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860" w:type="dxa"/>
            <w:vAlign w:val="bottom"/>
          </w:tcPr>
          <w:p>
            <w:pPr>
              <w:jc w:val="right"/>
              <w:ind w:right="451"/>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54"/>
        </w:trPr>
        <w:tc>
          <w:tcPr>
            <w:tcW w:w="228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(principal financial and accounting officer)</w:t>
            </w: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Niv Krikov</w:t>
            </w:r>
          </w:p>
        </w:tc>
        <w:tc>
          <w:tcPr>
            <w:tcW w:w="120" w:type="dxa"/>
            <w:vAlign w:val="bottom"/>
            <w:vMerge w:val="continue"/>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jc w:val="right"/>
              <w:ind w:right="451"/>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54"/>
        </w:trPr>
        <w:tc>
          <w:tcPr>
            <w:tcW w:w="2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Matthew Liotta</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jc w:val="right"/>
              <w:ind w:right="451"/>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54"/>
        </w:trPr>
        <w:tc>
          <w:tcPr>
            <w:tcW w:w="2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Thomas Massie</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jc w:val="right"/>
              <w:ind w:right="451"/>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54"/>
        </w:trPr>
        <w:tc>
          <w:tcPr>
            <w:tcW w:w="2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Guichao Hua</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jc w:val="right"/>
              <w:ind w:right="451"/>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54"/>
        </w:trPr>
        <w:tc>
          <w:tcPr>
            <w:tcW w:w="2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Krishnan Varier</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decimal"/>
      <w:start w:val="1"/>
    </w:lvl>
  </w:abstractNum>
  <w:abstractNum w:abstractNumId="1">
    <w:nsid w:val="22221A70"/>
    <w:multiLevelType w:val="hybridMultilevel"/>
    <w:lvl w:ilvl="0">
      <w:lvlJc w:val="left"/>
      <w:lvlText w:val="(%1)"/>
      <w:numFmt w:val="decimal"/>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1)"/>
      <w:numFmt w:val="decimal"/>
      <w:start w:val="1"/>
    </w:lvl>
    <w:lvl w:ilvl="1">
      <w:lvlJc w:val="left"/>
      <w:lvlText w:val="•"/>
      <w:numFmt w:val="bullet"/>
      <w:start w:val="1"/>
    </w:lvl>
  </w:abstractNum>
  <w:abstractNum w:abstractNumId="10">
    <w:nsid w:val="77465F01"/>
    <w:multiLevelType w:val="hybridMultilevel"/>
    <w:lvl w:ilvl="0">
      <w:lvlJc w:val="left"/>
      <w:lvlText w:val="•"/>
      <w:numFmt w:val="bullet"/>
      <w:start w:val="1"/>
    </w:lvl>
    <w:lvl w:ilvl="1">
      <w:lvlJc w:val="left"/>
      <w:lvlText w:val="(%2)"/>
      <w:numFmt w:val="lowerRoman"/>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lowerLetter"/>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1)"/>
      <w:numFmt w:val="lowerRoman"/>
      <w:start w:val="10"/>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2"/>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
      <w:numFmt w:val="bullet"/>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2020-12-28T00:10:52Z</dcterms:created>
  <dcterms:modified xsi:type="dcterms:W3CDTF">2020-12-28T00:10:52Z</dcterms:modified>
</cp:coreProperties>
</file>