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5930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5930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Kovler Benjamin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2220 HICKS ROAD</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210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RYTHM,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RYM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4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11/03/2025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125"/>
        <w:spacing w:after="0"/>
        <w:rPr>
          <w:sz w:val="20"/>
          <w:szCs w:val="20"/>
          <w:color w:val="auto"/>
        </w:rPr>
      </w:pPr>
      <w:r>
        <w:rPr>
          <w:rFonts w:ascii="Times New Roman" w:cs="Times New Roman" w:eastAsia="Times New Roman" w:hAnsi="Times New Roman"/>
          <w:sz w:val="17"/>
          <w:szCs w:val="17"/>
          <w:color w:val="0000FF"/>
        </w:rPr>
        <w:t>Interim CEO</w:t>
      </w:r>
    </w:p>
    <w:p>
      <w:pPr>
        <w:spacing w:after="0" w:line="46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47"/>
        </w:trPr>
        <w:tc>
          <w:tcPr>
            <w:tcW w:w="40" w:type="dxa"/>
            <w:vAlign w:val="bottom"/>
          </w:tcPr>
          <w:p>
            <w:pPr>
              <w:spacing w:after="0"/>
              <w:rPr>
                <w:sz w:val="4"/>
                <w:szCs w:val="4"/>
                <w:color w:val="auto"/>
              </w:rPr>
            </w:pPr>
          </w:p>
        </w:tc>
        <w:tc>
          <w:tcPr>
            <w:tcW w:w="364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3680" w:type="dxa"/>
            <w:vAlign w:val="bottom"/>
            <w:tcBorders>
              <w:top w:val="single" w:sz="8" w:color="2C2C2C"/>
              <w:bottom w:val="single" w:sz="8" w:color="2C2C2C"/>
            </w:tcBorders>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440" w:type="dxa"/>
            <w:vAlign w:val="bottom"/>
            <w:tcBorders>
              <w:top w:val="single" w:sz="8" w:color="2C2C2C"/>
              <w:bottom w:val="single" w:sz="8" w:color="2C2C2C"/>
            </w:tcBorders>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64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80" w:type="dxa"/>
            <w:vAlign w:val="bottom"/>
            <w:vMerge w:val="continue"/>
          </w:tcPr>
          <w:p>
            <w:pPr>
              <w:spacing w:after="0" w:line="20" w:lineRule="exact"/>
              <w:rPr>
                <w:sz w:val="1"/>
                <w:szCs w:val="1"/>
                <w:color w:val="auto"/>
              </w:rPr>
            </w:pPr>
          </w:p>
        </w:tc>
        <w:tc>
          <w:tcPr>
            <w:tcW w:w="3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368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80" w:type="dxa"/>
            <w:vAlign w:val="bottom"/>
          </w:tcPr>
          <w:p>
            <w:pPr>
              <w:spacing w:after="0"/>
              <w:rPr>
                <w:sz w:val="11"/>
                <w:szCs w:val="11"/>
                <w:color w:val="auto"/>
              </w:rPr>
            </w:pPr>
          </w:p>
        </w:tc>
        <w:tc>
          <w:tcPr>
            <w:tcW w:w="3680" w:type="dxa"/>
            <w:vAlign w:val="bottom"/>
            <w:vMerge w:val="continue"/>
          </w:tcPr>
          <w:p>
            <w:pPr>
              <w:spacing w:after="0"/>
              <w:rPr>
                <w:sz w:val="11"/>
                <w:szCs w:val="11"/>
                <w:color w:val="auto"/>
              </w:rPr>
            </w:pPr>
          </w:p>
        </w:tc>
        <w:tc>
          <w:tcPr>
            <w:tcW w:w="3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6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3440" w:type="dxa"/>
            <w:vAlign w:val="bottom"/>
            <w:vMerge w:val="restart"/>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30"/>
        </w:trPr>
        <w:tc>
          <w:tcPr>
            <w:tcW w:w="40" w:type="dxa"/>
            <w:vAlign w:val="bottom"/>
          </w:tcPr>
          <w:p>
            <w:pPr>
              <w:spacing w:after="0"/>
              <w:rPr>
                <w:sz w:val="2"/>
                <w:szCs w:val="2"/>
                <w:color w:val="auto"/>
              </w:rPr>
            </w:pPr>
          </w:p>
        </w:tc>
        <w:tc>
          <w:tcPr>
            <w:tcW w:w="36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80" w:type="dxa"/>
            <w:vAlign w:val="bottom"/>
          </w:tcPr>
          <w:p>
            <w:pPr>
              <w:spacing w:after="0"/>
              <w:rPr>
                <w:sz w:val="2"/>
                <w:szCs w:val="2"/>
                <w:color w:val="auto"/>
              </w:rPr>
            </w:pPr>
          </w:p>
        </w:tc>
        <w:tc>
          <w:tcPr>
            <w:tcW w:w="3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4"/>
          <w:szCs w:val="24"/>
          <w:color w:val="auto"/>
        </w:rPr>
      </w:pPr>
    </w:p>
    <w:tbl>
      <w:tblPr>
        <w:tblLayout w:type="fixed"/>
        <w:tblInd w:w="120" w:type="dxa"/>
        <w:tblCellMar>
          <w:top w:w="0" w:type="dxa"/>
          <w:left w:w="0" w:type="dxa"/>
          <w:bottom w:w="0" w:type="dxa"/>
          <w:right w:w="0" w:type="dxa"/>
        </w:tblCellMar>
      </w:tblPr>
      <w:tr>
        <w:trPr>
          <w:trHeight w:val="193"/>
        </w:trPr>
        <w:tc>
          <w:tcPr>
            <w:tcW w:w="106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ROLLING</w:t>
            </w:r>
          </w:p>
        </w:tc>
        <w:tc>
          <w:tcPr>
            <w:tcW w:w="98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IL</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60008</w:t>
            </w:r>
          </w:p>
        </w:tc>
        <w:tc>
          <w:tcPr>
            <w:tcW w:w="6820" w:type="dxa"/>
            <w:vAlign w:val="bottom"/>
            <w:vMerge w:val="restart"/>
          </w:tcPr>
          <w:p>
            <w:pPr>
              <w:ind w:left="45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95"/>
        </w:trPr>
        <w:tc>
          <w:tcPr>
            <w:tcW w:w="10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MEADOWS</w:t>
            </w:r>
          </w:p>
        </w:tc>
        <w:tc>
          <w:tcPr>
            <w:tcW w:w="980" w:type="dxa"/>
            <w:vAlign w:val="bottom"/>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6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1060" w:type="dxa"/>
            <w:vAlign w:val="bottom"/>
            <w:vMerge w:val="continue"/>
          </w:tcPr>
          <w:p>
            <w:pPr>
              <w:spacing w:after="0"/>
              <w:rPr>
                <w:sz w:val="12"/>
                <w:szCs w:val="12"/>
                <w:color w:val="auto"/>
              </w:rPr>
            </w:pPr>
          </w:p>
        </w:tc>
        <w:tc>
          <w:tcPr>
            <w:tcW w:w="9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6820" w:type="dxa"/>
            <w:vAlign w:val="bottom"/>
          </w:tcPr>
          <w:p>
            <w:pPr>
              <w:ind w:left="4500"/>
              <w:spacing w:after="0" w:line="147"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9"/>
        </w:trPr>
        <w:tc>
          <w:tcPr>
            <w:tcW w:w="106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6820" w:type="dxa"/>
            <w:vAlign w:val="bottom"/>
          </w:tcPr>
          <w:p>
            <w:pPr>
              <w:ind w:left="4500"/>
              <w:spacing w:after="0" w:line="113" w:lineRule="exact"/>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309"/>
        </w:trPr>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6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0"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2"/>
                <w:szCs w:val="12"/>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2"/>
                <w:szCs w:val="22"/>
                <w:color w:val="008000"/>
                <w:vertAlign w:val="superscript"/>
              </w:rPr>
              <w:t>(1)</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11/03/2025</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14,375</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jc w:val="center"/>
              <w:ind w:left="75"/>
              <w:spacing w:after="0"/>
              <w:rPr>
                <w:sz w:val="20"/>
                <w:szCs w:val="20"/>
                <w:color w:val="auto"/>
              </w:rPr>
            </w:pPr>
            <w:r>
              <w:rPr>
                <w:rFonts w:ascii="Times New Roman" w:cs="Times New Roman" w:eastAsia="Times New Roman" w:hAnsi="Times New Roman"/>
                <w:sz w:val="17"/>
                <w:szCs w:val="17"/>
                <w:color w:val="0000FF"/>
                <w:w w:val="93"/>
              </w:rPr>
              <w:t>83,375</w:t>
            </w:r>
            <w:r>
              <w:rPr>
                <w:rFonts w:ascii="Times New Roman" w:cs="Times New Roman" w:eastAsia="Times New Roman" w:hAnsi="Times New Roman"/>
                <w:sz w:val="22"/>
                <w:szCs w:val="22"/>
                <w:color w:val="008000"/>
                <w:w w:val="93"/>
                <w:vertAlign w:val="superscript"/>
              </w:rPr>
              <w:t>(1)</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vMerge w:val="restart"/>
          </w:tcPr>
          <w:p>
            <w:pPr>
              <w:jc w:val="center"/>
              <w:ind w:right="415"/>
              <w:spacing w:after="0"/>
              <w:rPr>
                <w:sz w:val="20"/>
                <w:szCs w:val="20"/>
                <w:color w:val="auto"/>
              </w:rPr>
            </w:pPr>
            <w:r>
              <w:rPr>
                <w:rFonts w:ascii="Times New Roman" w:cs="Times New Roman" w:eastAsia="Times New Roman" w:hAnsi="Times New Roman"/>
                <w:sz w:val="17"/>
                <w:szCs w:val="17"/>
                <w:color w:val="0000FF"/>
              </w:rPr>
              <w:t>420</w:t>
            </w:r>
          </w:p>
        </w:tc>
        <w:tc>
          <w:tcPr>
            <w:tcW w:w="94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daughter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80" w:type="dxa"/>
            <w:vAlign w:val="bottom"/>
          </w:tcPr>
          <w:p>
            <w:pPr>
              <w:spacing w:after="0"/>
              <w:rPr>
                <w:sz w:val="9"/>
                <w:szCs w:val="9"/>
                <w:color w:val="auto"/>
              </w:rPr>
            </w:pPr>
          </w:p>
        </w:tc>
        <w:tc>
          <w:tcPr>
            <w:tcW w:w="94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vMerge w:val="restart"/>
          </w:tcPr>
          <w:p>
            <w:pPr>
              <w:jc w:val="center"/>
              <w:ind w:right="415"/>
              <w:spacing w:after="0"/>
              <w:rPr>
                <w:sz w:val="20"/>
                <w:szCs w:val="20"/>
                <w:color w:val="auto"/>
              </w:rPr>
            </w:pPr>
            <w:r>
              <w:rPr>
                <w:rFonts w:ascii="Times New Roman" w:cs="Times New Roman" w:eastAsia="Times New Roman" w:hAnsi="Times New Roman"/>
                <w:sz w:val="17"/>
                <w:szCs w:val="17"/>
                <w:color w:val="0000FF"/>
              </w:rPr>
              <w:t>420</w:t>
            </w:r>
          </w:p>
        </w:tc>
        <w:tc>
          <w:tcPr>
            <w:tcW w:w="94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daughter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80" w:type="dxa"/>
            <w:vAlign w:val="bottom"/>
          </w:tcPr>
          <w:p>
            <w:pPr>
              <w:spacing w:after="0"/>
              <w:rPr>
                <w:sz w:val="9"/>
                <w:szCs w:val="9"/>
                <w:color w:val="auto"/>
              </w:rPr>
            </w:pPr>
          </w:p>
        </w:tc>
        <w:tc>
          <w:tcPr>
            <w:tcW w:w="94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720" w:type="dxa"/>
            <w:vAlign w:val="bottom"/>
            <w:gridSpan w:val="2"/>
          </w:tcPr>
          <w:p>
            <w:pPr>
              <w:ind w:left="12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transaction involved the reporting person's receipt of a grant of 14,375 restricted stock units under the issuer's 2022 Omnibus Equity Incentive Plan, as amended (the "Plan") that vest in 50% increments on March 15, 2027 and June 15, 2028 subject to the reporting person's continued service through each applicable date. The reporting person has reported a prior award of restricted stock units in Table II of Form 4. The total reported in Column 5 includes the 14,375 newly awarded restricted stock units, 50,000 restricted stock units issued under the Plan previously reported in Table II, and 19,000 shares of common stock held directly by the reporting person.</w:t>
      </w:r>
    </w:p>
    <w:p>
      <w:pPr>
        <w:spacing w:after="0" w:line="41"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5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Kathryn A. Lloyd,</w:t>
            </w:r>
          </w:p>
        </w:tc>
        <w:tc>
          <w:tcPr>
            <w:tcW w:w="58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11/04/2025</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03392" TargetMode="External"/><Relationship Id="rId14" Type="http://schemas.openxmlformats.org/officeDocument/2006/relationships/hyperlink" Target="http://www.sec.gov/cgi-bin/browse-edgar?action=getcompany&amp;CIK=00018006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2025-11-04T16:16:51Z</dcterms:created>
  <dcterms:modified xsi:type="dcterms:W3CDTF">2025-11-04T16:16:51Z</dcterms:modified>
</cp:coreProperties>
</file>