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20" w:right="1140" w:hanging="2789"/>
        <w:spacing w:after="0" w:line="490" w:lineRule="auto"/>
        <w:tabs>
          <w:tab w:leader="none" w:pos="1323"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3860" w:right="940" w:hanging="2917"/>
        <w:spacing w:after="0" w:line="500" w:lineRule="auto"/>
        <w:tabs>
          <w:tab w:leader="none" w:pos="113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3133725</wp:posOffset>
            </wp:positionH>
            <wp:positionV relativeFrom="paragraph">
              <wp:posOffset>156845</wp:posOffset>
            </wp:positionV>
            <wp:extent cx="874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439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520" w:type="dxa"/>
            <w:vAlign w:val="bottom"/>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40" w:type="dxa"/>
            <w:vAlign w:val="bottom"/>
            <w:gridSpan w:val="9"/>
          </w:tcPr>
          <w:p>
            <w:pPr>
              <w:jc w:val="center"/>
              <w:ind w:right="2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2468 Industrial Row Dr.</w:t>
            </w:r>
          </w:p>
        </w:tc>
        <w:tc>
          <w:tcPr>
            <w:tcW w:w="3600" w:type="dxa"/>
            <w:vAlign w:val="bottom"/>
          </w:tcPr>
          <w:p>
            <w:pPr>
              <w:spacing w:after="0"/>
              <w:rPr>
                <w:sz w:val="24"/>
                <w:szCs w:val="24"/>
                <w:color w:val="auto"/>
              </w:rPr>
            </w:pPr>
          </w:p>
        </w:tc>
      </w:tr>
      <w:tr>
        <w:trPr>
          <w:trHeight w:val="220"/>
        </w:trPr>
        <w:tc>
          <w:tcPr>
            <w:tcW w:w="3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Troy, Michigan 48084</w:t>
            </w:r>
          </w:p>
        </w:tc>
        <w:tc>
          <w:tcPr>
            <w:tcW w:w="3600" w:type="dxa"/>
            <w:vAlign w:val="bottom"/>
          </w:tcPr>
          <w:p>
            <w:pPr>
              <w:spacing w:after="0"/>
              <w:rPr>
                <w:sz w:val="19"/>
                <w:szCs w:val="19"/>
                <w:color w:val="auto"/>
              </w:rPr>
            </w:pPr>
          </w:p>
        </w:tc>
      </w:t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spacing w:after="0"/>
              <w:rPr>
                <w:sz w:val="20"/>
                <w:szCs w:val="20"/>
                <w:color w:val="auto"/>
              </w:rPr>
            </w:pPr>
          </w:p>
        </w:tc>
      </w:tr>
      <w:tr>
        <w:trPr>
          <w:trHeight w:val="391"/>
        </w:trPr>
        <w:tc>
          <w:tcPr>
            <w:tcW w:w="3380" w:type="dxa"/>
            <w:vAlign w:val="bottom"/>
          </w:tcPr>
          <w:p>
            <w:pPr>
              <w:spacing w:after="0"/>
              <w:rPr>
                <w:sz w:val="24"/>
                <w:szCs w:val="24"/>
                <w:color w:val="auto"/>
              </w:rPr>
            </w:pPr>
          </w:p>
        </w:tc>
        <w:tc>
          <w:tcPr>
            <w:tcW w:w="1680" w:type="dxa"/>
            <w:vAlign w:val="bottom"/>
            <w:gridSpan w:val="3"/>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(855) 420-0020</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7860" w:type="dxa"/>
            <w:vAlign w:val="bottom"/>
            <w:gridSpan w:val="9"/>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9"/>
        </w:trPr>
        <w:tc>
          <w:tcPr>
            <w:tcW w:w="33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 (s)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16"/>
        </w:trPr>
        <w:tc>
          <w:tcPr>
            <w:tcW w:w="3380" w:type="dxa"/>
            <w:vAlign w:val="bottom"/>
            <w:tcBorders>
              <w:top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380" w:type="dxa"/>
            <w:vAlign w:val="bottom"/>
            <w:tcBorders>
              <w:top w:val="single" w:sz="8" w:color="auto"/>
            </w:tcBorders>
            <w:gridSpan w:val="4"/>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or a smaller reporting company. See definition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55"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computed by reference to the price at which the common equity was last sold, or the average bid and asked price of such common equity, as of June 30, 2023, was approximately $5,643,192.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 total of 1,651,281 shares of the registrant’s common stock, par value $0.001 per share, outstanding as of October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9"/>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 #</w:t>
            </w:r>
          </w:p>
        </w:tc>
      </w:tr>
      <w:tr>
        <w:trPr>
          <w:trHeight w:val="196"/>
        </w:trPr>
        <w:tc>
          <w:tcPr>
            <w:tcW w:w="900" w:type="dxa"/>
            <w:vAlign w:val="bottom"/>
            <w:gridSpan w:val="6"/>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9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20" w:type="dxa"/>
            <w:vAlign w:val="bottom"/>
            <w:shd w:val="clear" w:color="auto" w:fill="CCEEFF"/>
          </w:tcPr>
          <w:p>
            <w:pPr>
              <w:spacing w:after="0"/>
              <w:rPr>
                <w:sz w:val="15"/>
                <w:szCs w:val="15"/>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20" w:type="dxa"/>
            <w:vAlign w:val="bottom"/>
          </w:tcPr>
          <w:p>
            <w:pPr>
              <w:spacing w:after="0"/>
              <w:rPr>
                <w:sz w:val="15"/>
                <w:szCs w:val="15"/>
                <w:color w:val="auto"/>
              </w:rPr>
            </w:pPr>
          </w:p>
        </w:tc>
        <w:tc>
          <w:tcPr>
            <w:tcW w:w="92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120" w:type="dxa"/>
            <w:vAlign w:val="bottom"/>
            <w:shd w:val="clear" w:color="auto" w:fill="CCEEFF"/>
          </w:tcPr>
          <w:p>
            <w:pPr>
              <w:spacing w:after="0"/>
              <w:rPr>
                <w:sz w:val="17"/>
                <w:szCs w:val="17"/>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6"/>
        </w:trPr>
        <w:tc>
          <w:tcPr>
            <w:tcW w:w="90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20" w:type="dxa"/>
            <w:vAlign w:val="bottom"/>
            <w:tcBorders>
              <w:top w:val="single" w:sz="8" w:color="CCEEFF"/>
            </w:tcBorders>
          </w:tcPr>
          <w:p>
            <w:pPr>
              <w:spacing w:after="0"/>
              <w:rPr>
                <w:sz w:val="15"/>
                <w:szCs w:val="15"/>
                <w:color w:val="auto"/>
              </w:rPr>
            </w:pPr>
          </w:p>
        </w:tc>
        <w:tc>
          <w:tcPr>
            <w:tcW w:w="204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718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88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5"/>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3"/>
          </w:tcPr>
          <w:p>
            <w:pPr>
              <w:ind w:left="1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23"/>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20" w:type="dxa"/>
            <w:vAlign w:val="bottom"/>
            <w:shd w:val="clear" w:color="auto" w:fill="CCEEFF"/>
          </w:tcPr>
          <w:p>
            <w:pPr>
              <w:spacing w:after="0"/>
              <w:rPr>
                <w:sz w:val="15"/>
                <w:szCs w:val="15"/>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120" w:type="dxa"/>
            <w:vAlign w:val="bottom"/>
          </w:tcPr>
          <w:p>
            <w:pPr>
              <w:spacing w:after="0"/>
              <w:rPr>
                <w:sz w:val="15"/>
                <w:szCs w:val="15"/>
                <w:color w:val="auto"/>
              </w:rPr>
            </w:pPr>
          </w:p>
        </w:tc>
        <w:tc>
          <w:tcPr>
            <w:tcW w:w="92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1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86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340" w:type="dxa"/>
            <w:vAlign w:val="bottom"/>
            <w:gridSpan w:val="23"/>
          </w:tcPr>
          <w:p>
            <w:pPr>
              <w:ind w:left="12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120" w:type="dxa"/>
            <w:vAlign w:val="bottom"/>
            <w:tcBorders>
              <w:bottom w:val="single" w:sz="8" w:color="CCEEFF"/>
            </w:tcBorders>
            <w:shd w:val="clear" w:color="auto" w:fill="CCEEFF"/>
          </w:tcPr>
          <w:p>
            <w:pPr>
              <w:spacing w:after="0"/>
              <w:rPr>
                <w:sz w:val="17"/>
                <w:szCs w:val="17"/>
                <w:color w:val="auto"/>
              </w:rPr>
            </w:pPr>
          </w:p>
        </w:tc>
        <w:tc>
          <w:tcPr>
            <w:tcW w:w="65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70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340" w:type="dxa"/>
            <w:vAlign w:val="bottom"/>
            <w:gridSpan w:val="23"/>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90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5"/>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340" w:type="dxa"/>
            <w:vAlign w:val="bottom"/>
            <w:gridSpan w:val="23"/>
          </w:tcPr>
          <w:p>
            <w:pPr>
              <w:ind w:left="12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340" w:type="dxa"/>
            <w:vAlign w:val="bottom"/>
            <w:gridSpan w:val="23"/>
          </w:tcPr>
          <w:p>
            <w:pPr>
              <w:ind w:left="12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120" w:type="dxa"/>
            <w:vAlign w:val="bottom"/>
            <w:shd w:val="clear" w:color="auto" w:fill="CCEEFF"/>
          </w:tcPr>
          <w:p>
            <w:pPr>
              <w:spacing w:after="0"/>
              <w:rPr>
                <w:sz w:val="15"/>
                <w:szCs w:val="15"/>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120" w:type="dxa"/>
            <w:vAlign w:val="bottom"/>
          </w:tcPr>
          <w:p>
            <w:pPr>
              <w:spacing w:after="0"/>
              <w:rPr>
                <w:sz w:val="15"/>
                <w:szCs w:val="15"/>
                <w:color w:val="auto"/>
              </w:rPr>
            </w:pPr>
          </w:p>
        </w:tc>
        <w:tc>
          <w:tcPr>
            <w:tcW w:w="92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1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7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175"/>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340" w:type="dxa"/>
            <w:vAlign w:val="bottom"/>
            <w:gridSpan w:val="23"/>
          </w:tcPr>
          <w:p>
            <w:pPr>
              <w:ind w:left="120"/>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340" w:type="dxa"/>
            <w:vAlign w:val="bottom"/>
            <w:gridSpan w:val="23"/>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340" w:type="dxa"/>
            <w:vAlign w:val="bottom"/>
            <w:gridSpan w:val="2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9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1"/>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and information relating to Agrify Corporation. All statements other than statements of historical facts contained in this report,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issuance of holdback shares from prior acquisitions and 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Common Stock.</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 associated with our Total Turn-Key Solution (“TTK Solution”)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and other financial obligations, and we may incur even more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potential future impairment charges;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base of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difficulties of our suppliers as a result of COVID-19;</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clients operating in the cannabis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customers to meet their financial or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profile with respect to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that our backlog and qualified pipeline will translate into bookings;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continued contributions of our CEO, Raymond Chang;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defend against intellectual property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core technology and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 of intellectual property infringement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their affiliates control a substantial interest in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loans may not be forgivable;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large number of shares eligible for public sale could depress the market price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The Nasdaq Capital Market (“Nasdaq”) could result in a de-listing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number of outstanding warrants or the issuance of stock-based awards may dilute your holding of shares of our Common Stock;</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Nevada law may prevent a change in control of our company;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reduced disclosure requirements applicable to emerging growth companies and smaller reporting companies;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intention to declare any dividends to our shareholders;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shortage of raw materials;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that may adversely affect our business, financial condition, and results of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and related risks;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employment market and wages;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obligations and controls associated with being a public company;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and ability to remediate them;</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 concerns relating to our technology and practices;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failure of our information technology systems to perform adequately;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data privacy regulations and our ability to comply with them;</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trading ability of our common stock if our shares become subject to penny stock rules;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to our shareholders if we were to dissolve;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analyst reports about us, our business or our market, or recommendations relating to our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demands upon management as a result of being a public company;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related to our financial and operational projections.</w:t>
      </w:r>
    </w:p>
    <w:p>
      <w:pPr>
        <w:spacing w:after="0" w:line="200" w:lineRule="exact"/>
        <w:rPr>
          <w:sz w:val="20"/>
          <w:szCs w:val="20"/>
          <w:color w:val="auto"/>
        </w:rPr>
      </w:pPr>
    </w:p>
    <w:p>
      <w:pPr>
        <w:spacing w:after="0" w:line="24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87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report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third-party information and cannot assure you of its accuracy or completeness. While we believe the market position, market opportunity and market size information included in this report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report. These and other factors could cause results to differ materially from those expressed in the estimates made by the independent parties and by us.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report may also contain trademarks, service marks and trade names of other companies, which are the property of their respective owners. Our use or display of third parties’ trademarks, service marks, trade names or products in this report is not intended to, and should not be read to, imply a relationship with or endorsement or sponsorship of us. Solely for convenience, some of the copyrights, trade names and trademarks referred to in this report are listed without their ©, ® and ™ symbols, but we will assert, to the fullest extent under applicable law, our rights to our copyrights, trade names and trademarks. All other trademarks are the property of their respective owners.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report to “Agrify”, the “Company,” “we,” “us,” “our,” or similar references mean Agrify Corporation and its subsidiaries on a consolidated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leading provider of innovative cultivation and extraction solutions for the cannabis industry, bringing data, science, and technology to the forefront of the market. Our proprietary micro-environment-controlled Agrify Vertical Farming Units (or “VFUs”) enable cultivators to produce high quality products with what we believe to be unmatched consistency, yield, and return investment at scale. Our comprehensive extraction product line, which includes hydrocarbon, alcohol, solventless, post-processing, and lab equipment, empowers producers to maximize the quantity and quality of extract required for premium concentrates.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Lastly, on February 1, 2022, we completed our acquisition of LS Holdings Corp., a market leader in developing and producing high-quality distillation and solvent separation solutions for the cannabis and hemp industry.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now offer our customers an extensive ecosystem of solutions, products, training, and service capabilities in what has historically been a highly fragmented market. Our offerings, which are described in more detail below, are compelling on their own. However, we believe what sets us apart is our ability to bring to the market the most comprehensive set of cultivation and extraction solutions from a single provider. As a result, we believe we are well-positioned to capture market share and create a dominant market position in the indoor cannabis sector. We currently have two primary areas of business focus:</w:t>
      </w:r>
    </w:p>
    <w:p>
      <w:pPr>
        <w:spacing w:after="0" w:line="1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equipment and business solutions can be used within indoor grow facilities by fully licensed cannabis cultivators. We sell our proprietary cultivation solutions to independent licensed cultivators. The two primary products we sell are the VFUs and Agrify Insights™. We believe we are one of a limited number of companies offering a fully integrated cultivation solution optimized for precision growing with robust automation capabilities in the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proprietary VFU technology offers a modular, compartmentalized micro-climate growing system for indoor vertical farming. Our VFU system is designed for craft farmers, single-state operators, and multi-state operators who are looking to consistently produce higher-quality crops at scale. The VFUs are designed to line up horizontally in rows, and can be stacked vertically up to three units tall, taking advantage of unused indoor vertical space with the below benefits:</w:t>
      </w:r>
    </w:p>
    <w:p>
      <w:pPr>
        <w:spacing w:after="0" w:line="176" w:lineRule="exact"/>
        <w:rPr>
          <w:sz w:val="20"/>
          <w:szCs w:val="20"/>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Superior Floor Space Utilization</w:t>
      </w:r>
      <w:r>
        <w:rPr>
          <w:rFonts w:ascii="Times New Roman" w:cs="Times New Roman" w:eastAsia="Times New Roman" w:hAnsi="Times New Roman"/>
          <w:sz w:val="18"/>
          <w:szCs w:val="18"/>
          <w:color w:val="auto"/>
        </w:rPr>
        <w:t>. Each VFU provides two tiers of growing canopy. Our units introduce an open-room facility design approach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 available cultivation floor space while offering superior risk mitigation via individual compartmentalized cultivation chambers which aim to contain potential biological threats to cultivation facilities.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 Each VFU has an Environmental Control Unit that is integrated with our proprietary cultivation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Agrify Insights™. This integration allows for precise control and automation over light photoperiod and intensity, temperature, humidity, vapor pressure deficit (“VPD”), carbon dioxide, fertigation, and irrigation throughout the lifecycle of the plants.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ind w:left="660" w:right="2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VFU is designed to stack up to three units tall, sextupling production volume over the same traditional footprint.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 is designed to easily integrate with a mezzanine catwalk system providing unparalleled access to all levels of cultivation.</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 &amp; Efficiency</w:t>
      </w:r>
      <w:r>
        <w:rPr>
          <w:rFonts w:ascii="Times New Roman" w:cs="Times New Roman" w:eastAsia="Times New Roman" w:hAnsi="Times New Roman"/>
          <w:sz w:val="18"/>
          <w:szCs w:val="18"/>
          <w:color w:val="auto"/>
        </w:rPr>
        <w:t>. The VFU’s design was thoughtful and intentional; from the ergonomic dimensions that facilitate safe, easy access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plants for scouting and plant husbandry, to the integrated catwalks that allow cultivators to work from a safe sitting or standing position without the need for scissor lifts, ladders or removable platforms.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Biosecurity and Risk Mitigation</w:t>
      </w:r>
      <w:r>
        <w:rPr>
          <w:rFonts w:ascii="Times New Roman" w:cs="Times New Roman" w:eastAsia="Times New Roman" w:hAnsi="Times New Roman"/>
          <w:sz w:val="18"/>
          <w:szCs w:val="18"/>
          <w:color w:val="auto"/>
        </w:rPr>
        <w:t>. The VFU has a motorized curtain on both sides of the unit that encloses the grow area to prevent light pollution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 especially with the VFU’s High Heat mode, which helps sanitize all internal VFU surfaces effortlessly.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VFUs are designed to work in conjunction with our Agrify Insights™ software. Each VFU sold includes a license for Agrify Insights™ and a monthly Software-as-a-Service (“SaaS”) subscription fee is charged per VFU. The VFU cannot operate successfully without Agrify Insights™, and we typically charge between $1,500 to $2,400 per VFU sold annually. Agrify Insights™ license agreements are generally for a multi-year term, with an annual auto-renewal.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Insights™ is a SaaS-based solution that interfaces with our proprietary hardware to provide customers with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VFU system, is enabling our customers to transform their businesses and quality of the product they are cultivating.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Agrify Insights™ is focused on optimizing four key components: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VFU unit level;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seek to produce end products with the highest level of consistency no matter where they are located.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Plant-Level Optimization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A crop’s end-product is determined by the plant’s genetics and the environment in which the plants are grown. Control over the growing environment is accomplished through the integration of Agrify Insights™. Agrify Insights collects data from multiple sensors on a per plant basis between 4 and 60 times an hour. This can result in between 100 thousand and 151 million data points annually, depending on the number of plants and fluctuations in the VFU microclimate. By recording data points and reproducing specific environments based on the data, cultivators can effectively minimize the variation in their crops and dial-in the maximum quality. Individual plant varietals can be optimized by tailoring the grow plan (recipe for cultivation) to enhance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which is beneficial for research and development purposes.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 - photoperiod and intensity, temperature, humidity, VPD, CO2, irrigation, fertigation) for each crop variety and cultivator as well as the schedule for completing, as applicable, “plant touching” tasks such as bottoming, pruning, and harvesting. Agrify Insights™ ships to the customer with many pre-developed Grow Plans and customers can create their own Grow Plans, electing to share them with other customers or not.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i w:val="1"/>
          <w:iCs w:val="1"/>
          <w:color w:val="auto"/>
        </w:rPr>
        <w:t>Individual VFU Level Optimization</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VFU hardware provides cultivation environmental control within the grow chamber. This hardware and its component valves, motors and sensors are directed and controlled by Agrify Insights™.</w:t>
      </w:r>
    </w:p>
    <w:p>
      <w:pPr>
        <w:spacing w:after="0" w:line="158" w:lineRule="exact"/>
        <w:rPr>
          <w:sz w:val="20"/>
          <w:szCs w:val="20"/>
          <w:color w:val="auto"/>
        </w:rPr>
      </w:pPr>
    </w:p>
    <w:p>
      <w:pPr>
        <w:ind w:left="660" w:right="2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Monitor and Control Agrify Hardware</w:t>
      </w:r>
      <w:r>
        <w:rPr>
          <w:rFonts w:ascii="Times New Roman" w:cs="Times New Roman" w:eastAsia="Times New Roman" w:hAnsi="Times New Roman"/>
          <w:sz w:val="18"/>
          <w:szCs w:val="18"/>
          <w:color w:val="auto"/>
        </w:rPr>
        <w:t>. Agrify Insights™ can either automatically or manually control our hardware. For example, the water-chilled fan coil can keep the temperature in a range accurate to 1.5 degrees Fahrenheit.</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users can view environmental charts that plot temperature, humidity, and carbon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dioxide over time. It also shows when plant irrigation occurs and whether the unit is in cooling, circulating, or dehumidifying mode. We sample these values every minute and report them back to the cloud every 15 minutes or more often if significant changes occur. Each growing chamber reports millions of data points annually, enabling our clients to perform an in-depth analysis of their grow performance. The manual control screen visualizes the current state of the grow chamber and allows our technicians to take direct control for troubleshooting, if necessary. The device log shows us what decisions were made by Agrify Insights™ and why.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Facility Level Optimization</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modular VFUs are deployed in scale at a customer’s facility with the smallest commercial operation deployment being 60 VFUs to date. Agrify Insights™ is designed to operate these individual VFUs as a combined facility. Agrify Insights™ features at the facility level include:</w:t>
      </w:r>
    </w:p>
    <w:p>
      <w:pPr>
        <w:spacing w:after="0" w:line="158" w:lineRule="exact"/>
        <w:rPr>
          <w:sz w:val="20"/>
          <w:szCs w:val="20"/>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 utilization by executing a “best-fit” scheduling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algorithm to selected Grow Plans across VFUs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Workforce Management</w:t>
      </w:r>
      <w:r>
        <w:rPr>
          <w:rFonts w:ascii="Times New Roman" w:cs="Times New Roman" w:eastAsia="Times New Roman" w:hAnsi="Times New Roman"/>
          <w:sz w:val="18"/>
          <w:szCs w:val="18"/>
          <w:color w:val="auto"/>
        </w:rPr>
        <w:t>. Agrify Insights™ includes a workforce planning feature to assign tasks to staff. These tasks can be automatically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assigned based on the user role or their knowledge, skills, and abilities. The calendar displays the estimated time required to complete plant-touching tasks on any given day.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Notification System</w:t>
      </w:r>
      <w:r>
        <w:rPr>
          <w:rFonts w:ascii="Times New Roman" w:cs="Times New Roman" w:eastAsia="Times New Roman" w:hAnsi="Times New Roman"/>
          <w:sz w:val="18"/>
          <w:szCs w:val="18"/>
          <w:color w:val="auto"/>
        </w:rPr>
        <w:t>. Users can select to subscribe to anomalous events, and users are notified in the order in which they are listed. If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 does not acknowledge the notification within the specified time frame, the next user in the list is notified, providing the business with 24/7 monitoring and notifications.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 related tasks are contained, tracked,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monitored within Agrify Insights™.</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controls the irrigation on a facility level and connects with the water chilled HVAC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ambient lighting system, providing our customers with a central piece of software for facility management.</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58" w:lineRule="exact"/>
        <w:rPr>
          <w:sz w:val="20"/>
          <w:szCs w:val="20"/>
          <w:color w:val="auto"/>
        </w:rPr>
      </w:pPr>
    </w:p>
    <w:p>
      <w:pPr>
        <w:jc w:val="both"/>
        <w:ind w:left="66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 whose inventory will be reduced when the task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started. This feature can help customers manage supply levels and can automatically create purchase orders so that they never run out of required supplies.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Standard Operating Procedures (“SOPs’’) and Safety Datasheets</w:t>
      </w:r>
      <w:r>
        <w:rPr>
          <w:rFonts w:ascii="Times New Roman" w:cs="Times New Roman" w:eastAsia="Times New Roman" w:hAnsi="Times New Roman"/>
          <w:sz w:val="18"/>
          <w:szCs w:val="18"/>
          <w:color w:val="auto"/>
        </w:rPr>
        <w:t>. Agrify Insights™ hosts digital copies of our included Standard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Procedures and datasheets, or users can upload their own via our content management system, ensuring that the most recent version of SOPs and forms are available to users.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Roles-Based Dashboards</w:t>
      </w:r>
      <w:r>
        <w:rPr>
          <w:rFonts w:ascii="Times New Roman" w:cs="Times New Roman" w:eastAsia="Times New Roman" w:hAnsi="Times New Roman"/>
          <w:sz w:val="18"/>
          <w:szCs w:val="18"/>
          <w:color w:val="auto"/>
        </w:rPr>
        <w:t>. Ability to obtain access to information specifically suited to your workforce’s various needs. Facility owners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 w:name="page11"/>
    <w:bookmarkEnd w:id="10"/>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Collection</w:t>
      </w:r>
      <w:r>
        <w:rPr>
          <w:rFonts w:ascii="Times New Roman" w:cs="Times New Roman" w:eastAsia="Times New Roman" w:hAnsi="Times New Roman"/>
          <w:sz w:val="18"/>
          <w:szCs w:val="18"/>
          <w:color w:val="auto"/>
        </w:rPr>
        <w:t>. Agrify Insights™ is a centralized repository for all data relating to the cultivation aspects of our clients’ business,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testing data, and the ability to capture and compare test results. By doing so, Agrify Insights™ becomes a customers’ cultivation statement of record.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1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Simulator / What If Scenarios</w:t>
      </w:r>
      <w:r>
        <w:rPr>
          <w:rFonts w:ascii="Times New Roman" w:cs="Times New Roman" w:eastAsia="Times New Roman" w:hAnsi="Times New Roman"/>
          <w:sz w:val="18"/>
          <w:szCs w:val="18"/>
          <w:color w:val="auto"/>
        </w:rPr>
        <w:t>. Our operating expenses (“OpEx”) calculator enables users to evaluate impacts to profitability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changing hundreds of attributes including, but not limited to, changes to costs in labor, electric, water,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and growing media as well as potential volatility in yields and pricing.</w:t>
      </w:r>
    </w:p>
    <w:p>
      <w:pPr>
        <w:spacing w:after="0" w:line="19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integrated our software with Metrc, a leading seed-to-harvest compliance management and tracking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will enable our customers to handle most regulatory reporting directly through Agrify Insights™.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Cultivation Deployment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Rapid Deployment Pack (“RDP”) Program</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RDP program was established in 2022 to make it easier for a broader range of customers to access our award-winning cultivation technology. Featuring our flagship VFUs in a prepackaged, self-contained, and quick-to-deploy format, the thoughtfully designed and engineered RDPs offer an accelerated path to production, cash flow, and profitability for customers. By removing certain barriers and points of friction with the RDPs, we can provide customers who have properly equipped facilities with best-in-class cultivation capabilities in potentially as little as 90 days. Once installed, the modular nature of the RDPs allows for seamless expansion opportunities, enabling customers the flexibility to grow and scale.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TTK Solution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do not intend to enter into any new TTK Solutions for the foreseeable future, we have deployed this program with certain key customers. We also believe that our data-driven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 We engage qualified cannabis operators in the early phases of their business plans and provide critical support, typically over a 10-year period.</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TTK Solution provides our valued customers with the benefit of working with a single, highly qualified provider in what has historically been a decentralized market full of piecemeal solutions that were not necessarily designed and engineered to work harmoniously with one another. Given the significant shortcomings associated with traditional indoor grow methods across all commercial agriculture segments, it was apparent that a new paradigm in indoor cultivation was needed, which is why we have brought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components working together optimally. Despite the rapidly growing cannabis and hemp industry, many growers and processors face some significant obstacles to their operations that pose a serious threat to their long-term viability.</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Agrify’s proprietary TTK Solution is the key to resolving many of the challenges our customers encounter. We have set ourselves apart by bringing to market a horticulturist expertise, bundled solution of state-of-the-art equipment, software and services that is turn-key, end-to-end, fully integrated and optimized for precision growing and extraction. Agrify’s TTK Solution provides customers with the following bundled equipment and services:</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lab design, and engineering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lab build-out project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VFUs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data driven Agrify Insights™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extraction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 horticulturist training and ongoing support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Solutions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stated previously, we strategically acquired four of the top brands in the extraction space in late 2021 and early 2022 in Precision Extraction, PurePressure, Lab Society, and Cascade Sciences. These iconic brands encompass everything from hydrocarbon, alcohol, and solventless extraction to distillation and post-processing and have supported and continue to support over 90% of legal operators in one fashion or another.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Combined, these four acquisitions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industries. The extraction, post-processing and testing services are complementary and highly attractive areas of the supply chain.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extraction division now offers cutting-edge technologies and end-to-end service solutions. Solutions from the extraction division include equipment, technology, facility and lab design, training,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acquisitions have greatly expanded our product and service offerings in the post-harvest segment of the supply chain. We believe we are positioning Agrify as one of the most vertically integrated total solutions provider for our cannabis and hemp customers. According to a report published by Grand View Research in November 2022, the global cannabis extraction market is expected to potentially grow to $15.5 billion by 2030, and as the cannabis industry continues to experience rapid growth globally, we expect the sales of our extraction solutions to follow a similar growth trajectory.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Cannabis Market Opportunity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law, our cultivation solutions can be used within state-licensed indoor grow facilities by cannabis cultivators if they choose to do so.</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U.S., the development and growth of the regulated medical and recreational (adult-use)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January 2023, 39 states have passed laws allowing their citizens to use medical cannabis. On top of this medical condition growth trend, there has been a slow but steady increase in the number of states that have chosen to legalize cannabis for recreational use. As of January 2023, 21 states have passed laws allowing their citizens to use recreational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report, over 70 countries outside the U.S. currently have medicinal cannabis regulation in force, and that number is expected to significantly increase over time.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that the market size of legal cannabis in the U.S. in 2022 was estimated to be $27.7 billion according to MarketsandMarkets research Pvt Ltd, and 88% of legal U.S. cannabis cultivators grow indoors (Fluence 2022 Industry lighting report), we estimate that the indoor segment of the legal U.S. cannabis sector is a $10 billion market with the expectation that there will be even more growth on the horizon. A recent report from statista.com projected global cannabis revenue to reach $47.2 billion in 2023, with annual growth rate of 12.69%, with a projected global market volume of $76.1 billion by 2027.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different cultivation environments for cannabis each have advantages and disadvantages, and this leads to a variance in price points based on quality, actual and perceived, and process. According to New Leaf Data Services January 27, 2023 U.S. cannabis spot index, the average wholesale price per pound of an outdoor-grown flower was $408 per pound, greenhouse flower averaged $633 per pound, while indoor-grown flower averaged $1,298 per pound and the total market on average was $977 per pound. Based on the Fluence 2022 state of the cannabis industry lighting report, 88% of cultivators have some or all of their facilities growing indoors, up 9% over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full suite of product offerings forms an unmatched ecosystem for indoor growing and extraction. At this time, our VFUs, Agrify Insights™, extraction solutions, our facility design and build services, and our engineering/installation services are highly differentiated from anything else on the market.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costs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17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Semi-Integrated Vertical Cultivation Systems </w:t>
      </w:r>
      <w:r>
        <w:rPr>
          <w:rFonts w:ascii="Times New Roman" w:cs="Times New Roman" w:eastAsia="Times New Roman" w:hAnsi="Times New Roman"/>
          <w:sz w:val="18"/>
          <w:szCs w:val="18"/>
          <w:color w:val="auto"/>
        </w:rPr>
        <w:t>— Sprout AI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Aeroponic Systems </w:t>
      </w:r>
      <w:r>
        <w:rPr>
          <w:rFonts w:ascii="Times New Roman" w:cs="Times New Roman" w:eastAsia="Times New Roman" w:hAnsi="Times New Roman"/>
          <w:sz w:val="18"/>
          <w:szCs w:val="18"/>
          <w:color w:val="auto"/>
        </w:rPr>
        <w:t>— AEssenceGrows and Thrive Growing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Horticultural Lighting </w:t>
      </w:r>
      <w:r>
        <w:rPr>
          <w:rFonts w:ascii="Times New Roman" w:cs="Times New Roman" w:eastAsia="Times New Roman" w:hAnsi="Times New Roman"/>
          <w:sz w:val="18"/>
          <w:szCs w:val="18"/>
          <w:color w:val="auto"/>
        </w:rPr>
        <w:t>— Gavita, Fluence, VividGro, Hydrofarm, GrowGeneration, Hawthorne and Heliospectra</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Extraction Solutions </w:t>
      </w:r>
      <w:r>
        <w:rPr>
          <w:rFonts w:ascii="Times New Roman" w:cs="Times New Roman" w:eastAsia="Times New Roman" w:hAnsi="Times New Roman"/>
          <w:sz w:val="18"/>
          <w:szCs w:val="18"/>
          <w:color w:val="auto"/>
        </w:rPr>
        <w:t>— ExtractionTek Solutions, Mach Technologies, Decimal Engineering, Low Temp Plates, Whistler Technologies, Maratek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Hashatron</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Monitoring Software </w:t>
      </w:r>
      <w:r>
        <w:rPr>
          <w:rFonts w:ascii="Times New Roman" w:cs="Times New Roman" w:eastAsia="Times New Roman" w:hAnsi="Times New Roman"/>
          <w:sz w:val="18"/>
          <w:szCs w:val="18"/>
          <w:color w:val="auto"/>
        </w:rPr>
        <w:t>— Grownetics and Trym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Cultivation Software </w:t>
      </w:r>
      <w:r>
        <w:rPr>
          <w:rFonts w:ascii="Times New Roman" w:cs="Times New Roman" w:eastAsia="Times New Roman" w:hAnsi="Times New Roman"/>
          <w:sz w:val="18"/>
          <w:szCs w:val="18"/>
          <w:color w:val="auto"/>
        </w:rPr>
        <w:t>— Quantum Leaf, Flourish, and Grow Link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 Cultivation Racking Systems </w:t>
      </w:r>
      <w:r>
        <w:rPr>
          <w:rFonts w:ascii="Times New Roman" w:cs="Times New Roman" w:eastAsia="Times New Roman" w:hAnsi="Times New Roman"/>
          <w:sz w:val="18"/>
          <w:szCs w:val="18"/>
          <w:color w:val="auto"/>
        </w:rPr>
        <w:t>— Pipp Horticulture and Montel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 is our ability to offer an unrivaled level of precision through a total end-to-end turnkey solution that sets us apart from existing competitors and potential new market entrants.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competitive strengths:</w:t>
      </w:r>
    </w:p>
    <w:p>
      <w:pPr>
        <w:spacing w:after="0" w:line="221" w:lineRule="exact"/>
        <w:rPr>
          <w:sz w:val="20"/>
          <w:szCs w:val="20"/>
          <w:color w:val="auto"/>
        </w:rPr>
      </w:pPr>
    </w:p>
    <w:p>
      <w:pPr>
        <w:jc w:val="both"/>
        <w:ind w:left="660" w:hanging="328"/>
        <w:spacing w:after="0" w:line="25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Innovative Technology in an Attractive Growing Industry</w:t>
      </w:r>
      <w:r>
        <w:rPr>
          <w:rFonts w:ascii="Times New Roman" w:cs="Times New Roman" w:eastAsia="Times New Roman" w:hAnsi="Times New Roman"/>
          <w:sz w:val="18"/>
          <w:szCs w:val="18"/>
          <w:color w:val="auto"/>
        </w:rPr>
        <w:t>. Our innovative solutions are aimed at large and growing U.S. domestic and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We believe we are the only provider of a fully integrated end-to-end hardware and software turnkey solution for indoor cultivation and extraction facilities that allows customers to produce high-quality products with consistency at scale while meeting the growing demand and needs of end users at a relatively low cost. As such, we believe we have a first mover advantage due to innovating this new type of smart cannabis and hemp cultivation and processing solution, which is already designed, manufactured, and implemented in several commercial scale deployments across multiple states within the U.S.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Proprietary Components</w:t>
      </w:r>
      <w:r>
        <w:rPr>
          <w:rFonts w:ascii="Times New Roman" w:cs="Times New Roman" w:eastAsia="Times New Roman" w:hAnsi="Times New Roman"/>
          <w:sz w:val="18"/>
          <w:szCs w:val="18"/>
          <w:color w:val="auto"/>
        </w:rPr>
        <w:t>. We design and create our own hardware, software, and SOPs from the ground up rather than buying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piecemeal from third parties. We take a systems-engineered integrated approach that we believe has inherent advantages over other, ad-hoc systems.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Emphasis on Precision and Consistency Through Our Proprietary Grow Solutions</w:t>
      </w:r>
      <w:r>
        <w:rPr>
          <w:rFonts w:ascii="Times New Roman" w:cs="Times New Roman" w:eastAsia="Times New Roman" w:hAnsi="Times New Roman"/>
          <w:sz w:val="18"/>
          <w:szCs w:val="18"/>
          <w:color w:val="auto"/>
        </w:rPr>
        <w:t>. While being able to help our customers increase capacity,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yield and consequently revenues holds a tremendous amount of value, we believe that our biggest differentiator is our ability to impact the actual quality and consistency of the output by controlling the environment in which the crops are grown and all the variables that influence harvests with an unparalleled level of precision. The by-product of our TTK Solution is that our customers can create consistent high-quality products with repeatability from anywhere similar to any other consumer product company that provides a branded food or drink product.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Emphasis on Precision and Consistency Through Our Extraction Division. </w:t>
      </w:r>
      <w:r>
        <w:rPr>
          <w:rFonts w:ascii="Times New Roman" w:cs="Times New Roman" w:eastAsia="Times New Roman" w:hAnsi="Times New Roman"/>
          <w:sz w:val="18"/>
          <w:szCs w:val="18"/>
          <w:color w:val="auto"/>
        </w:rPr>
        <w:t>In addition to our premium grow solutions, we have begun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customers industry leading cannabis and hemp extraction equipment, design, and training solutions. By acquiring leading brands earlier this year, we are immediately able to offer our customers premium solutions to meet their processing needs in this rapidly expanding sector.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 Knowledge and Understanding</w:t>
      </w:r>
      <w:r>
        <w:rPr>
          <w:rFonts w:ascii="Times New Roman" w:cs="Times New Roman" w:eastAsia="Times New Roman" w:hAnsi="Times New Roman"/>
          <w:sz w:val="18"/>
          <w:szCs w:val="18"/>
          <w:color w:val="auto"/>
        </w:rPr>
        <w:t>. We have extensive experience with controlled agriculture environments, extraction, post-processing,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scale-up manufacturing, as well as industry technical knowledge and relationships. We are keenly aware of the struggles that indoor cultivators and extractors face, and we serve as a credible and collaborative partner through the entire customer lifecycle. We believe that our fully integrated TTK Solution, extraction equipment and ancillary services are the key to resolving many of the challenges our customers face.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Differentiated Business Model</w:t>
      </w:r>
      <w:r>
        <w:rPr>
          <w:rFonts w:ascii="Times New Roman" w:cs="Times New Roman" w:eastAsia="Times New Roman" w:hAnsi="Times New Roman"/>
          <w:sz w:val="18"/>
          <w:szCs w:val="18"/>
          <w:color w:val="auto"/>
        </w:rPr>
        <w:t>. Unlike many of our competitors, we offer a diversified mix of hardware, software, and services, which leads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multiple revenue streams. Given the nature of our deployments, we become deeply embedded in our customers’ operations through our numerous product offerings. This puts us in a position where customer success is directly tied to our equipment. Our ability to differentiate our business model provides us with multiple opportunities to expand our installed user base, which we believe will lead to future high-margin and stable recurring SaaS revenues, via our Agrify Insights™ and production fee revenues.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primarily market and sell our products to newly licensed, well-funded producers in a single market as well as multi-state operators. Our customers choose us for several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environments, and also provides consistent standard operating procedures across different facilities, helping every facility to achieve the highest Good Manufacturing Processes standards. Our ability to provide a “one-stop shop” experience allows us to be the preferred vendor to many of these customers by streamlining their entry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the data that we are collecting from our existing customer base to make continuous improvements to our offerings and better serve our current and new customers in the future.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customers across the U.S. and internationally in the cannabis and hemp industry and are of all sizes, ranging from small, single location businesses to multi-state enterprise operations that use Agrify’s solutions. For each of the fiscal years ended December 31, 2022 and December 31, 2021, we had two customers that represented more than 10% of total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 multi-pronged growth strategy as described below to help us capitalize on the sizable opportunity at hand. Through methodical sales and marketing efforts, cultivation and extraction solutions, and scale-up manufacturing, we believe we have implemented several key initiatives we can use to grow our business more effectively. We also intend to opportunistically pursue the strategies described below to continue our upward trajectory and enhance shareholder value. We believe we have significantly improved our new bookings and qualified pipeline. With our expanded product line that includes quality extraction solutions, we have become more attractive to our prospects and customers, enhancing our overall appeal and the scope of opportunities we are able to pursue. We expect our qualified pipeline and new bookings of opportunities to continue to grow.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Rigorous Sales Process and Strong Infrastructure in Place to Drive Revenue Growth</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utilize a highly structured sales process to evaluate potential new opportunities and then advance vetted prospects through the different phases of our qualified pipeline. Our salespeople spend most of their time building relationships and qualifying opportunities to make closing new business more streamlined, collaborative, and organic in nature. There are specific requirements, milestones, and events that we have identified along the sales process that must be met to move prospects through and convert them from vetted opportunities into committed sales orders within a 12-month period. At each phase of the pipeline, a prospect opportunity is assigned a probability value for closing, providing management production forecast ability.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sales team works to convert our qualified pipeline of opportunities into confirmed contractual bookings. Given our emphasis on enterprise sales opportunities, we believe we are able to significantly scale our business in the coming year without significant increases in our headcount. At the time of this report, our sales team was comprised of one Sales Vice President, Directors of Business Development, Account Managers, Channel Partner Managers, Customer Support and Success Manager, Customer Service Support Reps, and a Sales Support Admin. Additionally, we take measures to ensure that all members of the sales organization are cross-trained on cultivation and extraction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sales and marketing strategy:</w:t>
      </w:r>
    </w:p>
    <w:p>
      <w:pPr>
        <w:spacing w:after="0" w:line="221" w:lineRule="exact"/>
        <w:rPr>
          <w:sz w:val="20"/>
          <w:szCs w:val="20"/>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Direct Marketing</w:t>
      </w:r>
      <w:r>
        <w:rPr>
          <w:rFonts w:ascii="Times New Roman" w:cs="Times New Roman" w:eastAsia="Times New Roman" w:hAnsi="Times New Roman"/>
          <w:sz w:val="18"/>
          <w:szCs w:val="18"/>
          <w:color w:val="auto"/>
        </w:rPr>
        <w:t>. We capitalize on our direct marketing efforts by utilizing our internal CRM database, as well as the external help of trusted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databases to target the right audience. Emails go out on a weekly basis and are subdivided by product focus and state, depending on the campaign. We use A/B testing in our email campaign strategy to harness meaningful messages.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Media and Thought Leadership. </w:t>
      </w:r>
      <w:r>
        <w:rPr>
          <w:rFonts w:ascii="Times New Roman" w:cs="Times New Roman" w:eastAsia="Times New Roman" w:hAnsi="Times New Roman"/>
          <w:sz w:val="18"/>
          <w:szCs w:val="18"/>
          <w:color w:val="auto"/>
        </w:rPr>
        <w:t>Through the creation and promotion of engaging content that positions us as a thought leader,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organically grow our social media audience. We share original videos, photography, industry-related articles, and blog content on a consistent basis. By developing strong relationships with our customers and sharing testimonials as well as live footage of our products being in action, we are better positioning ourselves on social. Furthermore, we promote our social media in our email communications, on our website, and through paid advertising. We also keep our finger on the pulse of trends and competitors in the market, remaining in the know.</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Trade Shows. </w:t>
      </w:r>
      <w:r>
        <w:rPr>
          <w:rFonts w:ascii="Times New Roman" w:cs="Times New Roman" w:eastAsia="Times New Roman" w:hAnsi="Times New Roman"/>
          <w:sz w:val="18"/>
          <w:szCs w:val="18"/>
          <w:color w:val="auto"/>
        </w:rPr>
        <w:t>Trade shows and events related to the cannabis industry have proven to be highly effective. When attending trade shows and events,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typically position ourselves front and center, with high-level sponsorships, outstanding booth placement, and speaking opportunities. Our product and subject matter experts take advantage of speaking opportunities, positioning Agrify as an industry thought leader. We expect to continue to grow our industry presence by generating leads using conferences as a platform. The trade show plan has been carefully vetted to ensure that these shows are reputable, have a strong business-to-business focus, high foot-traffic rates, as well as hosted in a desirable market.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Paid Advertising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utilize paid advertising such as banner ads on high-trafficked media sites that largely focus on cannabis and other relevant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topics. We provide content offers and other downloadable materials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Public Relations Campaigns. </w:t>
      </w:r>
      <w:r>
        <w:rPr>
          <w:rFonts w:ascii="Times New Roman" w:cs="Times New Roman" w:eastAsia="Times New Roman" w:hAnsi="Times New Roman"/>
          <w:sz w:val="18"/>
          <w:szCs w:val="18"/>
          <w:color w:val="auto"/>
        </w:rPr>
        <w:t>We have actively utilized press releases, industry and investor events, and interviews and speaking engagements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awareness of our brand, solutions, customer engagements, and other relevant company developments. With our industry positioning using thought leadership and ongoing participation in industry conferences, we have been highlighted through the Newswire and featured in a variety of media outlets. We will continue to sponsor and present keynotes at industry-related events including technology and agriculture conferences, podcasts, radio shows and more to continue to gain press and ultimately more exposure.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Scale-Up Manufacturing Capabilities in Order to Meet the Increasing Demand for Our Grow Solutions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use both internal and external manufacturing to support our increasing demand. Internal production is primarily at our Michigan, Colorado, and Georgia facilities. Externally, we use a variety of contract manufacturers (“CMs”) in the U.S. and in Asia for prototyping and volume manufacturing, and we plan to expand our capabilities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 As demand increases beyond our internal capacities additional volume can be shifted to external manufacturing to ensure market demands are met.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Overall, our approach to manufacturing is to use both internal and external manufacturing capabilities to prototype, iterate, and begin initial production, then transition to volume production. As volumes increase, this will also include increasing production in lower-cost geographies, which results in both rapid time-to-market and low production costs. As we grow, we intend to continually analyze and evolve our manufacturing capabilities to best meet our customers’ needs while always focusing on ways to maximize operating margins.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 including federal, state and common law rights in the U.S.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hold 20 patents in the U.S. We also have one pending patent application. These patents and patents applications are directed to, among other things, extraction and processing of botanicals and particular compounds.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Trademarks and Copyrights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own or have applications for numerous national and state trademarks which are essential to our businesses, including Agrify, Precision, PurePressure, PressWare, Lab Society and Elitelab, among others. In addition, we recognize common-law trademark rights AGRIFY INSIGHTS and AGRINAMICS for SaaS products.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have not sought copyright registration for our technology or works to date, we rely on common law copyright and trade secret protections in relation to our TechOps/ Agrify Insights™ computer program for indoor agriculture management. We have registered our Internet domain names related to our business. We license software from third parties and utilize open-source software for integration into our applications.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October 1, 2023, we had a total of 72 employees, of which 72 are full-time employees, with 10 located in the New England area, 18 in Colorado, 26 in Michigan, 5 in Georgia, and 13 located in other states. None of our employees are subject to collective bargaining agreements. We consider our relationship with our employees to be good.</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strive to attract and retain diverse, high-caliber employees who raise the talent bar by offering competitive compensation and benefit packages, regardless of their gender, race, or other personal characteristics. We regularly review and survey our compensation and benefit programs against the market to ensure we remain competitive in our hiring practices. We provide employee salaries that are competitive and consider factors such as an employee’s role and experience, the location of their job and their performance. In addition to our competitive salaries, to enhance our employees’ sense of participation in the company and to further align their interests with those of our stockholders, we offer equity packages to a majority of our employees. The principal purposes of our equity incentive plan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strive to hire, develop, and retain talent that continuously raises the performance bar. We encourage, support, and compensate our employees based on our philosophy of recognizing and rewarding exceptional performance. We believe that performance and development is an ongoing process in which all employees should be active participants. Individual and company key performance goals are linked to employee compensation.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Regulatory Implications of Providing Equipment and Services in the Cannabis and Hemp Industry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sell products and services that end users may purchase for use in industries or segments, including the growing and processing of cannabis and hemp, which are subject to varying, inconsistent, and rapidly changing laws, regulations, administrative practices, enforcement approaches, judicial interpretations, and consumer perceptions. For example, certain countries and 36 U.S. states have adopted frameworks that authorize, regulate, and tax the cultivation, processing, sale, and use of cannabis for medicinal and/or non-medicinal use, while the U.S. Controlled Substances Act and the laws of other U.S. states prohibit growing cannabis. In addition, with the passage of the Farm Bill in December 2018, hemp cultivation is now broadly permitted. The Farm Bill explicitly allows the transfer of hemp-derived products across state lines for commercial or other purposes. It also removes restrictions on the sale, transport, or possession of hemp-derived products, so long as those items are produced in a manner consistent with the law. Our products are multi-purpose products and may be used on a wide range of plants and are purchased by cultivators who may grow any variety of plants, including cannabis and hemp.</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the majority of states now have laws that regulate or decriminalize various types of cannabis use, marijuana remains a Schedule I drug under the Controlled Substances Act, making it illegal under federal law in the U.S. to, among other things, cultivate, distribute or possess cannabis in the U.S. In those states in which the use of marijuana has been legalized, its use remains a violation of federal law pursuant to the Controlled Substances Act. The Controlled Substances Act classifies marijuana as a Schedule I controlled substance, and as such, medical and adult cannabis use is illegal under U.S. federal law. Unless and until the U.S. Congress amends the Controlled Substances Act with respect to marijuana (and the President approves such amendment), there is a risk that federal authorities may enforce current federal law. Financial transactions involving proceeds generated by, or intended to promote, cannabis-related business activities in the U.S. may form the basis for prosecution under applicable U.S. federal money laundering legislation. The approach to enforcement of such laws by the federal government in the U.S. has trended toward non-enforcement against individuals and businesses that comply with medical or adult-use cannabis regulatory programs in states where such programs are legal, strict compliance with state laws with respect to cannabis.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most states that have legalized medical- and recreational-use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and hemp. Local governments in some cases also impose rules and regulations on the manner of operating cannabis and hemp businesses. As a result, applicable state and local laws and regulations vary widely, including, but not limited to, regulations governing the medical cannabis program, product testing, the level of enforcement by state and local authorities on non-licensed cannabis operators, state and local taxation of regulated cannabis products, local municipality bans on operations and operator licensing processes and renewals.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its rigorous due diligence policy on all potential customers, the Company carefully reviews the appropriate licensure of each potential customer in the cannabis and hemp industry for compliance with applicable local, state, and federal laws. The Company is not involved in the cultivation, processing, or retail of cannabis products and never takes a controlling interest in any of the operations of its cannabis customers as a matter of state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for so long as we are an “emerging growth company,” we will not be required to:</w:t>
      </w:r>
    </w:p>
    <w:p>
      <w:pPr>
        <w:spacing w:after="0" w:line="176"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auditor to report on our internal controls over financial reporting pursuant to Section 404(b) of the Sarbanes–Oxley Act of 2002, or the Sarbanes–Oxley Act;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shareholder advisory votes, such as “say-on-pay,” “say-on-frequency,” and “say-on-golden parachutes;”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compensation-related items such as the correlation between executive compensation and performance and the comparison of the chief executive officer’s compensation to median employee compensation.</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use the extended transition period for complying with new or revised accounting standards.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reporting $1 billion or more in annual gross 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in a three-year period, of more than $1 billion in non-convertible debt;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market value of our Common Stock held by non-affiliates exceeds $700 million on the last business day of our second fiscal quarter;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executive offices are located at 2468 Industrial Row, Dr., Troy, Michigan 48084. Our telephone number at our executive offices is (855) 420-0020.</w:t>
      </w:r>
    </w:p>
    <w:p>
      <w:pPr>
        <w:spacing w:after="0" w:line="23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Form 10-K, Quarterly Reports on Form 10-Q, Current Reports on Form 8-K, and amendments to reports filed pursuant to Sections 13(a) and 15(d) of the Securities Exchange Act of 1934, as amended (the “Exchange Act”), are filed with the SEC. We are subject to the informational requirements of the Exchange Act and file or furnish reports, proxy statements and other information with the SEC. Such reports and other information filed by us with the SEC are available free of charge at https://ir.agrify.com/financials-and-filings/sec-filings when such reports are available on the SEC’s website. The SEC maintains an Internet site that contains reports, proxy and information statements, and other information regarding issuers that file electronically with the SEC at www.sec.gov. We periodically provide other information for investors on our corporate website, www.agrify.com, and our investor relations website, investor.gnln.com. This includes press releases and other information about financial performance, information on corporate governance and details related to our annual meeting of shareholders. The information contained on the websites referenced in this Form 10-K is not incorporated by reference into this filing. Further, our references to website URLs are intended to be inactive textual references only.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we will continue as a going concern. Since inception, we have experienced recurring net losses which losses caused an accumulated deficit of approximately $247.1 million as of December 31, 2022. These factors, among others, raise substantial doubt about our ability to continue as a going concern. Our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relatively short operating history, which makes it difficult to evaluate our business and future prospects. We have been in existence since June 2016 and much of our revenue growth has occurred during 2021 and 2022. We have encountered, and will continue to encounter, risks and difficulties frequently experienced by growing companies in rapidly changing industries, including those related to:</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sector;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clients;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particularly sales and marketing expenses, related to the maintenance and expansion of our business, operations, and infrastructure;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operating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cannabis-related products and services generally;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risk of loss associated with our TTK Solution Offerings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2021, we introduced our TTK Solution, which among other things, includes financing arrangements related to both facility design and build services and equipment. These arrangements require a significant upfront investment of working capital over a one- to two-year period, before we start to receive repayment on the upfront construction advances and on our recurring monthly SaaS fees and production fees.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a significant amount of our working capital has been invested in funding our TTK Solution construction and equipment commitments.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there is a potential risk of loss associated with our ability to receive anticipated future payments that are in line with our projected financial unit metrics due to a host of variables including, but not limited to the following: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in the early stages of our TTK Solution offerings, the TTK Solution is currently an unproven business model;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TTK Solution offering requires a significant amount of capital and our collection of advanced amounts is subject to customer credit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downstream production fee revenue assumes that our VFUs will successfully produce 35 pounds of product per VFU per year;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returns are reliant upon our customers’ ability to market and sell the products.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we established a reserve of approximately $12.5 million specifically related to Greenstone Holdings (“Greenstone”) TTK Solution. Greenstone is a related party because one of our former Agrify Brands employees and our VP of Engineering had a minority ownership. We established the reserve based upon our review of Greenstone’s financial stability, which would impact collectability, which is primarily the result of unfavorable market conditions within the Colorado market. On April 6, 2023, Denver Greens, LLC (“Denver Greens”) acquired certain interests in the Greenstone project through various transactions so that Denver Greens is now the operator of this TTK Solution. The Company wrote off the entire Greenstone loan receivable in 2022.</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15, 2022, we provided a notice of default under the Bud &amp; Mary’s TTK Agreement between us and Bud &amp; Mary’s. On October 5, 2022, Bud &amp; Mary’s filed a complaint in the Superior Court of Massachusetts in Suffolk County naming us as the defendant. Bud &amp; Mary’s is seeking, among other relief, monetary damages in connection with alleged unfair or deceptive trade practices, breach of contract, and conversion arising from the Bud &amp; Mary’s TTK Agreement. In response, we established a reserve of $14.7 million specifically related to Bud &amp; Mary’s. We deemed it necessary to fully reserve the $14.7 million outstanding balance in the third quarter of 2022 due to the current litigation and the uncertainty of the customer’s ability to repay the outstanding balance. If we are unable to realize revenue from our TTK Solution offerings on a timely basis, or at all, or if we incur additional losses as a result of the Bud &amp; Mary’s claim, our business and financial performance will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December 31, 2022, we had $20.5 million of cash, cash equivalents, and restricted cash. Our restricted cash of $10 million is associated with a senior secured promissory note in an aggregate principal amount of $65 million (the “SPA Note”) which was exchanged for a new senior secured note (the “Exchange Note”) as of December 31, 2022.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April 1, 2023, after which time the ATM program was discontinued, we sold 629,710 shares of Common Stock, under the ATM at an average price of $27.29 per share, resulting in gross proceeds to us of $17.2 million, and net proceeds of $16.7 million after commissions and fees to the Agent totaling $516 thousand. $3.0 million of the proceeds under the ATM Program were used to repay amounts due to the investor (the “Investor”) under the Exchange Note.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strategic acquisitions.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176" w:lineRule="exact"/>
        <w:rPr>
          <w:sz w:val="20"/>
          <w:szCs w:val="20"/>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could under-perform relative to our expectations and the price that we paid for it, or not perform in accordance with its anticipated timetable;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cause our results of operations to differ from our own or the investment community’s expectations in any given period, or over the long term;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create demands on our management that they may be unable to effectively address, or for which we may incur additional costs.</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Additionally, following any business acquisition, we could experience difficulty in integrating personnel, operations, financial and other systems, and in retaining key employees and customers.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may record goodwill and other intangible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an accredited investor (the “Investor”), pursuant to which we agreed to issue and sell to the Investor the SPA Note, in a private placement transaction, in exchange for the payment by the Investor of $65 million, less applicable expenses as set forth in the Securities Purchase Agreement, and a warrant (the “SPA Warrant”) to purchase up to an aggregate of 34,406 shares of Common Stock.</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18, 2022, we reached an agreement with the Investor to amend the existing SPA Note and entered into a Securities Exchange Agreement (the “August 2022 Exchange Agreement”). Pursuant to the August 2022 Exchange Agreement, we partially paid $35.2 million along with approximately $300 thousand in repayments for other fees under the SPA Note and exchanged the remaining balance of the SPA Note for a new senior secured note with an aggregate original principal amount of $35.0 million and a new warrant to purchase 71,139 shares of Common Stock (the “Note Exchange Warrant”). Additionally, we exchanged the SPA Warrant for a new warrant for the same number of underlying shares but with a reduced exercise price (the “Modified Warrant” and, collectively with the Note Exchange Warrant, the “August 2022 Warrants”). The Exchange Note will mature on the three-year anniversary of its issuance.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8, 2023, we entered into a second Securities Exchange Agreement with the Investor (the “March 2023 Exchange Agreement” and together with the August 2022 Exchange Agreement, the “Exchange Agreements”), pursuant to which we paid approximately $10.3 million in principal under the Exchange Note and exchanged $10.0 million in principal amount under the Exchange Note for a new senior convertible note (the “Convertible Note” and, together with the Exchange Note, the “Notes”) with an original principal amount of $10.0 million. The Convertible Note will mature on August 19, 2025.</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our Chief Executive Officer, acquired the Notes from the Investor.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terms of the Notes,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(including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capital stock.</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Notes impose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and restrict the declaration of any dividends or other distributions, subject to specified exceptions.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not in compliance with certain of these covenants, in addition to other actions the New Lender may require, the amounts outstanding under the Exchange Agreements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New Lender could accelerate the indebtedness under the Notes, foreclose against its collateral, or seek other remedies, which would jeopardize our ability to continue our current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impairment charges against the carrying value of our goodwill and other intangible assets in the future.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we noted that the carrying value of equity exceeded the calculated fair value by an amount greater than the aggregate value of our goodwill and intangible assets. Accordingly, we concluded that the entire carrying value of our goodwill and intangible assets were impaired, resulting in a second-quarter impairment charge of $69.9 million. Additional information regarding the interim testing on goodwill may be found in Note 7 – Goodwill and Intangible Assets, Net, included in the notes to the consolidated financial statements.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During the year ended December 31, 2022, two customers accounted for approximately $16.8 million, or 28.8%, of our total revenue. In the event of any material decrease in revenue from these customers, or if we are unable to replace the revenue through the sale of our products to additional customers, our financial condition and results of operations could be materially and adversely affected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concentration of customers leaves us exposed to the risks associated with the loss of one or both of these significant customers, which would materially and adversely affect our revenues and results of operations. In addition, some customers have experienced and may continue to experience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of operations could be negatively impacted, and such impact would likely be significant.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our products may result in disruptions to our supply chain and business and adversely affect our financial results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experiences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measures being taken to combat the pandemic are impacting our suppliers and may destabilize our supply chain. For example, manufacturing plants have closed and work at others has been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company with clients operating in the cannabis industry, we face many particular and evolving risks associated with that industry.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serve private clients as they operate in the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Marijuana remains illegal under U.S. federal law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Marijuana is a Schedule-I controlled substance under the Controlled Substances Act and is illegal under federal law. It remains illegal under U.S.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Uncertainty of federal enforcement and the need to renew temporary safeguards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4, 2018, former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subsequent years and remains in effect, continued re-authorization of the Appropriations Rider cannot be guaranteed. If the Appropriations Rider is no longer in effect, the risk of federal enforcement and override of state marijuana laws would increase.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Further legislative development beneficial to our operations is not guaranteed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cannabis industry could face strong opposition from other industries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legality of marijuana could be reversed in one or more states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Changing legislation and evolving interpretations of law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businesses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b w:val="1"/>
          <w:bCs w:val="1"/>
          <w:color w:val="auto"/>
        </w:rPr>
        <w:t>Our business depends in part on client licensing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Banking regulations could limit access to banking services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U.S. Senate. There can be no assurance that the SAFE Banking Act will become law in the U.S. Additionally, most courts have denied marijuana-related businesses bankruptcy protection, thus making it very difficult for lenders to recoup their investments, which may limit the willingness of banks to lend to our clients and to us.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 may face insurance risks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U.S.,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 participate in an evolving industry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customers to meet their financial or contractual obligations to us may result in disruption to our results of operations and could result in financial losses.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exposure to several customers and certain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profile may affect our relationship with our suppliers, which could have a material adverse effect on our liquidity.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our business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believe that a portion of our backlog and qualified pipeline will translate into bookings over the next 12 months, there can be no assurance that we will be successful in such pursuit. In the event our backlog and qualified pipeline do not translate into bookings as projected, it could materially and adversely affect our business and financial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services made available to our customers, which could limit our control over the quality of the user experience and our cost of providing services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Some of the applications and services available through our proprietary Agrify cultivation solution, including our flagship hardware product, the Agrify Vertical Farming Unit (“VFU”), and our proprietary SaaS product, Agrify Insights™, are provided through relationships with third party service providers. We do not typically have any direct control over these third-party service providers. These third-party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third-party service provider. There are readily available alternative hosting services available should we desire or need to move to a different web host. Certain ancillary services provided by us also uses the services of third-party providers, for which, we believe, there are readily available alternatives on comparable economic terms. Offering integrated platforms which rely, in part, on the services of other providers lessens the control that we have over the total client experience. Should the third-party service providers we rely upon not deliver at standards we expect and desire, acceptance of our platforms could suffer, which would have an adverse effect on our business and financial performance. Further, we cannot be assured of entering into agreements with such third-party service providers on economically favorable terms.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the continued contributions of Raymond Chang, as our key executive officer, as well as our ability to attract and retain qualified personnel</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growth and success are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Timothy R. Oakes, our Chief Financial Officer, notified us on January 2, 2023 that he intended to resign from his role with us effective as of February 28, 2023 to pursue other opportunities. While we are conducting a search for Mr. Oakes’ successor, there is no assurance that we will be able to identify, attract or hire a replacement in a timely manner.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indoor agriculture industry is highly competitive. We may compete with companies that have greater capital resources and facilities. More established companies with much greater financial resources which do not currently compete with us may be able to adapt their existing operations more easily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 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depends, in part, upon the successful protection of our intellectual property relating to our proprietary Agrify cultivation solution, including our flagship hardware product, the 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assure investors that we will continue to innovate and file new patent applications, or that any current or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8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make the inventions claimed or disclosed in our patent application;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independently develop similar or alternative products and technologies or duplicate any of our products and technologies, which can potentially impact our market share, revenue, and goodwill, regardless of</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unaware of or unfamiliar with prior art and/or interpretations of prior art that could potentially impact the validity or scope of our patents or patent applications that we may file;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not to maintain or pursue intellectual property rights that, at some point in time, may be considered relevant to or enforceable against a competitor;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products and technologies that are patentable, or we may develop additional proprietary products and technologies that are not patentable;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core technology and 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Others may assert intellectual property infringement claims against 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2022, we had net operating loss (“NOL”) carryforwards for federal and state income tax purposes which may be available to offset taxable income in future years. Approximately $675 thousand of federal NOLs will expire if not utilized by 2037 and approximately $96.0 million of federal NOLs carryforward indefinitely but are only available to offset 80% of taxable income per year. The $71.6 million state NOLs will expire depending upon the various rules in the states in which we operate.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2022,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assurances that our outstanding loans will be forgivable in whole or in part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2020, we entered into a Loan Agreement and Promissory Note with Bank of America pursuant to the Paycheck Protection Program (the “PPP”) under the Coronavirus Aid, Relief, and Economic Security Act (“CARES Act”) administered by the U.S. Small Business Administration (the “SBA”). We received total proceeds of approximately $779 thousand from the unsecured PPP loan which was originally scheduled to mature in May 2022. We applied for forgiveness on the $779 thousand of our PPP loan, but forgiveness was denied by the SBA. On June 23, 2022, we received a letter from Bank of America agreeing to extend the maturity date to May 7, 2025 with interest at a rate of 1.00% per year. The PPP loan is payable in 34 equal combined monthly principal and interest payments of approximately $24 thousand that commenced on August 7,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executive officers, directors and their affiliates beneficially own, in the aggregate, approximately 10.54% of our outstanding shares of Common Stock. In particular, Raymond Chang, our Chairman of the Board and Chief Executive Officer, beneficially owns approximately 9.99% of our outstanding shares of Common Stock.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19, 2023, we received a new deficiency letter from the Staff of Nasdaq notifying us that, for the last 30 consecutive business days, the bid price for our Common Stock had closed below $1.00 per share, which is the minimum closing price required to maintain continued listing on The Nasdaq Capital Market under Nasdaq Listing Rule 5550(a)(2) (the “Minimum Bid Requirement”). In accordance with Nasdaq Listing Rule 5810(c)(3)(A), we had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the minimum trading day period pursuant to Nasdaq Listing Rule 5810(c)(3)(G). On July 19, 2023, we received a notice from Nasdaq confirming our compliance with the minimum bid price rule.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we received a notice from Nasdaq (the “April Nasdaq Notice”) that we were noncompliance with Nasdaq Listing Rule 5250(c)(1) as a result of our failure to file this Annual Report on Form 10-K (the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The Staff Determination has no immediate effect and will not immediately result in the suspension of trading or delisting of our shares of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and the Panel scheduled a hearing for January 11, 2024. In connection with the hearing request, we requested that the stay be extended through the hearing and the expiration of any additional extension period granted by the Panel following the hearing. In that regard, pursuant to the Nasdaq Listing Rules, the Panel has granted this additional extension period. However, there can be no assurance that we will be able to regain compliance by the end of any additional extension period.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disclosed in the Current Report on Form 8-K filed on April 17, 2023, our audit committee concluded that, as a result of inadvertent errors in the accounting for warrants previously issued by us, it was appropriate to restate our previously issued unaudited condensed consolidated interim consolidated financial statements as of and for the quarterly periods ended March 31, 2022, June 30, 2022 and September 30, 2022 included in our Quarterly Reports on Form 10-Q for such periods in amended quarterly reports for the affected periods. As a result of such restatements, we were unable to timely file the Form 10-K, the First Quarter Form 10-Q and the Second Quarter Form 10-Q without unreasonable effort or expense.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take all possible actions to restore our compliance with Nasdaq, but we can provide no assurances that the listing of our Common Stock will be restored or that we otherwise will remain listed on Nasdaq.</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all or any number of outstanding warrants or the issuance of stock-based awards may dilute your holding of shares of our Common Stock.</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issued several securities providing for the right to purchase our common stock. Investors could be subject to increased dilution upon the exercise of our warrants. A total of 1,495,011 warrants were issued and outstanding as of October 1, 2023.</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9,354 shares of Common Stock were reserved for issuance of currently outstanding equity-based awards to employees, directors and certain other individuals under the Company’s 2022 Omnibus Equity Incentive Plan. The exercise of equity awards, including any restricted stock units that we may grant in the future, and the exercise of warrants and the subsequent sale of shares of Common Stock issued thereby, could have an adverse effect on the market for our Common Stock, including the price that an investor could obtain for their shares.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Investors may experience dilution in the value of their investment upon the exercise of the warrants and any equity awards that may be granted or issued pursuant to the 2022 Omnibus Equity Incentive Plan.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the efforts to mitigate its impact may have an adverse effect on our business, liquidity, results of operations, financial condition and price of our securities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quarantines;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gatherings of people in public places.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prolonged economic downturn, particularly in light of the COVID-19 pandemic, could adversely affect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Matters relating to the employment market and prevailing wage standards may adversely affect our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meet our labor needs on a cost-effective basis is subject to numerous external factors, including the availability of qualified personnel in the workforce in the markets in which we operate, unemployment levels within those markets, prevailing wage rates, which have increased significantly, health and other insurance costs and changes in employment and labor laws. In the event prevailing wage rates continue to increase in the markets in which we operate, we may be required to concurrently increase the wages paid to our employees to maintain the quality of our workforce. To the extent such increases are not offset by price increases, our business and operating results could be adversely affected. If we are unable to hire and retain employees capable of meeting our business needs and expectations, our business and reputation may be impaired. Any failure to meet our staffing needs or any material increase in turnover rates of our employees may adversely affect our business, results of operations and financial condition.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we rely on the ability to attract and retain employees on a cost-effective basis. The availability of employees in the markets in which we operate has declined in recent years and competition for such personnel has increased, especially under the economic crises experienced throughout the COVID-19 pandemic. Our ability to attract and retain a sufficient workforce on a cost-effective basis depends on several factors, including the ability to protect staff during the COVID-19 pandemic. We may not be able to attract and retain a sufficient workforce on a cost-effective basis in the future. In the event of increased costs of attracting and retaining a workforce, our business and operating results could be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stockholders to sell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U.S. or elsewhere.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complying with the laws and regulations affecting public companies, which could adversely affect our operating results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as well as a statement that our auditors have issued an attestation report on effectiveness of our internal controls.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 the very early stages of the costly and challenging process of compiling the system and processing the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experience additional material weaknesses in the future or otherwise fail to maintain an effective system of internal controls, we may not be able to accurately or timely requirements applicable to public companies, which may adversely affect investor confidence in us, and, as a result, the market price of our common stock.</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described elsewhere in this Report, we have identified the following material weaknesses:</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close timely;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technical expertise;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complex financial instruments.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these material weaknesses, our management concluded that our internal control over financial reporting was not effective as of December 31, 2022.</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respond to these material weaknesses, we have devoted, and plan to continue to devote, significant effort and resources to the remediation and improvement of our internal control over financial reporting. Our plans currently include rebuild of the internal finance function and engagement of external financial consultants. The elements of our remediation plan can only be accomplished over time, and we can offer no assurance that these initiatives will ultimately have the intended effects.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failure to maintain such internal control could adversely impact our ability to report our financial position and results from operations on a timely and accurate basis. If our consolidated financial statements are not accurate, investors may not have a complete understanding of our operations. Likewise, if our consolidated financial statements are not filed on a timely basis, we could be subject to sanctions or investigations by Nasdaq,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83"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dissolve, the holders of our securities may lose all or substantial amounts of their investments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is in Troy, Michigan where we occupy approximately 15,825 square feet of office, warehousing, and light industrial space under a lease that expires in 2026. We lease properties located within various geographic regions in which we conduct business, including Colorado, Georgia, and Michigan. Our properties include office spaces, showrooms, and warehouses used for research and development, operational, sales, management, and administrative purposes. All of our facilities are leased.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for our needs and believe that we should be able to renew any of our existing leases or secure similar property without an adverse impact on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significant legal proceedings in which we are involved, see the discussion under the caption Legal Matters in Note 17 – Commitments and Contingencies and Note 19 – Subsequent Events to our consolidated financial statements included in Part II, Item 8 of this Annual Report on Form 10K, which information is incorporated by reference into this Item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“AGFY.”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1, 2023, there were 58 holders of record of our Common Stock. Such numbers do not include beneficial owners holding shares of our Common Stock in nominee or “street” name through various brokerage firms.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concerning our equity compensation plan, see Part III, Item 12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Repurchases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summarizes all issuances of our unregistered securities during the year ended December 31, 2022 that were not previously disclosed in a Current Report on Form 8-K or Quarterly Report on Form 10-Q. The securities in the below-referenced transactions were (i) issued without registration and</w:t>
      </w:r>
    </w:p>
    <w:p>
      <w:pPr>
        <w:jc w:val="both"/>
        <w:ind w:firstLine="8"/>
        <w:spacing w:after="0" w:line="255"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subject to restrictions under the Securities Act and the securities laws of certain states, in reliance on the private offering exemptions contained in Sections 4(2), 4(6) and/or 3(b) of the Securities Act and on Regulation D promulgated there under, and in reliance on similar exemptions under applicable state laws as transactions not involving a public offering. No placement or underwriting fees were paid in connection with these transactions.</w:t>
      </w:r>
    </w:p>
    <w:p>
      <w:pPr>
        <w:spacing w:after="0" w:line="18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17, 2022, we issued 435 shares of Common Stock for contingent liabilities to the former holders of Precision and Cascade in connection with the acquisition of Precision and Cascade.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our operations together with our consolidated financial statements and the notes thereto appearing elsewhere in this report.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one of the most innovative providers of advanced cultivation and extraction solutions for the cannabis industry, bringing data, science, and technology to the forefront of the market. Our proprietary micro-environment-controlled Agrify Vertical Farming Units (or “VFUs”) enable cultivators to produce the highest quality products with what we believe to be an unmatched consistency, yield, and Return on Investment at scale. Our comprehensive extraction product line, which includes hydrocarbon, ethanol, solventless, post-processing, and lab equipment, empowers producers to maximize the quantity and quality of extract required for premium concentrates.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cultivation and extraction solutions seamlessly combine our integrated hardware and software offerings with a broad range of associated services including consulting, engineering, and construction and are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Troy, Michigan. We also lease properties located within various geographic regions in which we conduct business, including Colorado, Georgia and 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12, 2021, we effected a 1-for-1.581804 reverse stock split on our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October 18, 2022, we effected a 1-for-10 reverse stock split on our Common Stock.</w:t>
      </w:r>
    </w:p>
    <w:p>
      <w:pPr>
        <w:spacing w:after="0" w:line="22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July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2023, we effected a 1-for-20 reverse stock split on our Common Stock. All share and per information has been retroactively adjusted to give effect to the reverse stock splits for all periods presented, unless otherwise indicated.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we entered into a Securities Purchase Agreement (the “Securities Agreement”) with an institutional investor and other accredited investors for the sale of 12,253 shares (the “SA Shares”) of our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SA Warrants became exercisable six months from issuance. Each Pre-Funded Warrant is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Raymond Chang, our Chairman and Chief Executive Officer (“CEO”), and Stuart Wilcox, who previously served as our Chief Operating Officer, and at the time was a member of our Board of Directors, participated in the private placement on essentially the same terms as other investors, except for having a combined purchase price of $1,380.00 per share.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us from the private placement were approximately $27.3 million, before deducting the placement agent’s fees and other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Lab Society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 2022, we entered into an Agreement and Plan of Merger (the “Merger Agreement”) with LS Holdings Corp. (“Lab Society”), Lab Society NewCo, LLC, a newly-formed wholly-owned subsidiary of us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us (the “Lab Society Acquisition”).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withheld 638 of the Buyer Shares issuable to the Owners (the “Holdback Lab Buyer Shares”) for the purpose of securing any post-closing adjustment owed to us and any claim for indemnification or payment of damages to which we may be entitled under the Merger Agreement. During the third quarter of 2022, 139 of the Holdback Lab Buyer Shares were forfeited after the finalization of the net working capital settlement. The remaining 499 Holdback Lab Buyer Shares were released following the twelve-month anniversary of the Closing Date in accordance with and subject to the conditions of the Merger Agreement. Additional information regarding our contingent consideration arrangements may be found in Note 4 – Fair Value Measures, included in the notes to the consolidated financial statements.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Based upon the combined first and second-quarter actual revenue performance, Lab Society’s revenue trend is significantly below the originally estimated revenue trends incorporated into our original fair value estimates at the time of the acquisition. We have concluded Lab Society will not achieve any contingent earn-out consideration in connection with its first earn-out period. Accordingly, we reversed the current accrued contingent consideration liability associated with Lab Society’s first earn-out period as of September 30, 2022. The reversal of this liability of approximately $1.0 million, as required by Accounting Standards Codification (“ASC”) Topic 805 Business Combination (“ASC 805”), was recorded as a reduction in operating expenses during the second quarter of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three-month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 Based on our interim testing, we noted that the entire carrying value of its goodwill and intangible assets should be impaired. Additional information regarding our interim testing on goodwill and intangible assets may be found in Note 7 – Goodwill and Intangible Assets, Net, included in the 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an accredited investor (the “Investor”), we agreed to issue and sell to the Investor, in a private placement transaction, in exchange for the payment by the Investor of $65 million, less applicable expenses as set forth in the Securities Purchase Agreement, a senior secured promissory note in an aggregate principal amount of $65 million (the “SPA Note”), and a warrant (the “SPA Warrant”) to purchase up to an aggregate of 34,406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Securities Exchange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18, 2022, we reached an agreement with the Investor to amend its existing SPA Note and entered into a Securities Exchange Agreement (the “August 2022 Exchange Agreement”). Pursuant to the August 2022 Exchange Agreement, we partially paid $35.2 million along with approximately $300 thousand in repayments for other fees under the SPA Note and exchanged the remaining balance of the SPA Note for a the Exchange Note with an aggregate original principal amount of $35.0 million and a new warrant to purchase 71,139 shares of Common Stock (the “Note Exchange Warrant”). Additionally, we exchanged the SPA Warrant for a new warrant for the same number of underlying shares but with a reduced exercise price (the “Modified Warrant” and, collectively with the Note Exchange Warrant, the “August 2022 Warrants”). Additional information regarding our August 2022 Warrants may be found in Note 1 – Overview, Basis of Presentation and Significant Accounting Policies and Note 4 – Fair Value Measures, included in the notes to the condensed consolidated financial statements.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ours and ranks senior to all indebtedness of ours.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holder will be entitled to a cash sweep of 20% of the proceeds received by us in connection with any equity financing, which will reduce the outstanding principal amount under the Exchange Note.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Exchange Note imposes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restrict the declaration of any dividends or other distributions, subject to specified exceptions, requires us not to exceed maximum levels of allowable cash spend while the Exchange Note is outstanding, and requires us to maintain minimum amounts of cash on hand. If an event of default under the Exchange Note occurs, the holder can elect to redeem the Exchange Note for cash equal to 115% of the then-outstanding principal amount of the Note (or such lesser principal amount accelerated by the holder), plus accrued and unpaid interest, including default interest, which accrues at a rate per year equal to 15% from the date of a default or event of default.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Exchange Note is fully repaid, the holder has, subject to certain exceptions, the right to participate for up to 30% of any offering of debt, equity (other than an offering of solely Common Stock), or equity-linked securities, including without limitation any debt, preferred stock or other instrument or security, of us or our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Modified Warrant has an exercise price of $430.00 per share, subject to adjustment for stock splits, reverse stock splits, stock dividends and similar transactions, will be exercisable on and after the six-month anniversary of issuance, has a term of five and one-half years from the date of issuance and will be exercisable on a cash basis, unless there is not an effective registration statement covering the resale of the shares issuable upon exercise of the Modified Warrant (the “Modified Warrant Shares”), in which case the Modified Warrant will also be exercisable on a cashless exercise basis at the holder’s election.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Note Exchange Warrant has an exercise price of $246.00 per share, subject to adjustment for stock splits, reverse stock splits, stock dividends and similar transactions, was exercisable upon issuance, and has a term of five and one-half years from the date of issuance and is exercisable on a cash basis, unless there is not an effective registration statement covering the resale of the shares issuable upon exercise of the Warrant (the “Note Exchange Warrant Shares” and, together with the Modified Warrant Shares, the “Exchange Warrant Shares”), in which case the Note Exchange Warrant will also be exercisable on a cashless exercise basis at the holder’s election. Until we completed a qualified equity financing of at least $15.0 million, which requirement was satisfied with sales under the at-the-market continuous equity offering (“ATM” or “ATM Program”), the Note Exchange Warrant’s exercise price would have been reduced to the extent we issued securities for a lower purchase price. The Note Exchange Warrant also prohibited us, until following the completion of such qualified equity financing, from issuing warrants with more favorable or preferential terms and/or provisions.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August 2022 Warrants each provide that in no event will the number of shares of Common Stock issued upon exercise of such warrants result in the holder’s beneficial ownership exceeding 4.99% of our shares of Common Stock outstanding at the time of exercise (which percentage may be decreased or increased by the holder, but to no greater than 9.99%). Additionally, the August 2022 Warrants could not be exercised for more than an aggregate of 26,542 shares of Common Stock unless and until shareholder approval is obtained, which approval was obtained on October 14,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2023 Securities Exchange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we entered into a second Securities Exchange Agreement with the Investor (the “March 2023 Exchange Agreement”), pursuant to which we prepaid approximately $10.3 million in principal under the Exchange Note and exchanged $10.0 million in principal amount under the Exchange Note for a new senior convertible note (the “Convertible Note” and, together with the Exchange Note, the “Notes”) with an original principal amount of $10.0 million. The Convertible Note will mature on August 19, 2025. We also amended the Exchange Note to remove covenants regarding minimum cash spend and cash on hand.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Marketing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2022, we entered into the ATM Program with Canaccord Genuity LLC (the “Agent”) pursuant to which we could issue and sell, from time to time, shares of our Common Stock having an aggregate offering price of up to $50 million, depending on market demand, with the Agent acting as an agent for sales. The ATM Program allowed us to sell shares of Common Stock pursuant to specific parameters defined by us as well as those defined by the SEC and the ATM Program agreement. Beginning October 18, 2022 through December 31, 2022, we sold 306,628 shares of Common Stock under the ATM at an average price of $50.85, resulting in gross proceeds of $15.6 million and net proceeds of $15.1 million after commissions and fees to the Agent totaling $468 thousand. Subsequent to December 31, 2022 through April 1, 2023, after which time the ATM program was discontinued, we sold an additional 323,082 shares of Common Stock under the ATM at an average price of $4.93, resulting in gross proceeds of $1.6 million and net proceeds of $1.6 million after commissions and fees to the Agent totaling $48 thousand. For the entire period from October 18, 2022 through April 1, 2023, we sold 629,710 shares of Common Stock under the ATM at an average price of $27.29 per share, resulting in gross proceeds of $17.2 million, and net proceeds of $16.7 million after commissions and fees to the Agent totaling $516 thousand. $3.0 million of the proceeds under the ATM Program were used to repay amounts due to the Investor under the Exchange Note. We used the net proceeds generated from the ATM Program for working capital and general corporate purposes, including repayment of indebtedness, funding its transformation initiatives and product category expansion efforts and capital expenditures.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Confidentially Marketed Public Offering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16, 2022, we entered into an underwriting agreement (the “Underwriting Agreement”) with Canaccord Genuity LLC as the underwriter, pursuant to which we agreed to sell an aggregate of 594,232 shares of our Common Stock, and, in lieu of Common Stock to certain investors that so chose, pre-funded warrants (the “Pre-Funded 2022 Warrants”) to purchase 75,000 shares of our Common Stock, and accompanying warrants (the “December 2022 Warrants”) to purchase 1,338,462 shares of our Common Stock (the “Offering”). The combined public offering price for each share of Common Stock and accompanying two warrants was $13.00 per share, and the combined offering price for each Pre-Funded Warrant and accompanying two warrants was $12.98 per share.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December 2022 Warrants may not be exercised by the holder to the extent that the holder, together with its affiliates, would beneficially own, after such exercise more than 4.99% of the shares of our Common Stock then outstanding (subject to the right of the holder to increase or decrease such beneficial ownership limitation upon notice to us, provided that such limitation cannot exceed 9.99%).</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liability-classified as there is a volatility floor and these warrants are not indexed to our Common Stock.</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Raymond Chang, our Chairman and CEO, participated in the Offering and purchased 115,385 shares of Common Stock and 230,769 warrants for an aggregate purchase price of approximately $1.5 million.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received aggregate gross proceeds to us from the Offering of approximately $8.7 million including offering costs of approximately $0.5 million for broker fees and legal expenses, for net proceeds of $8.2 million. We intend to use the net proceeds from the Offering, together with its existing cash resources, for working capital and general corporate purposes, which may include capital expenditures and repayment of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coronavirus pandemic (“COVID-19”)</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Deficiency Notices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4, 2022, we received a deficiency letter from the Listing Qualifications Department (the “Staff”) of The Nasdaq Stock Market, LLC (“Nasdaq”) notifying us that, for the last 30 consecutive business days, the bid price for our Common Stock had closed below $1.00 per share, which is the minimum closing price required to maintain continued listing on The Nasdaq Capital Market under Nasdaq Listing Rule 5550(a)(2) (the “Minimum Bid Requirement”). In accordance with Nasdaq Listing Rule 5810(c)(3)(A), we had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the minimum trading day period pursuant to Nasdaq Listing Rule 5810(c)(3)(G). On October 28, 2022, the Staff notified us that the closing bid price of our Common Stock was more than $1.00 for 10 consecutive trading days, and that we therefore regained compliance with the Minimum Bid Requirement.</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19, 2023, we received a new deficiency letter from the Staff of Nasdaq notifying us that, for the last 30 consecutive business days, the bid price for our Common Stock had closed below $1.00 per share, which is the minimum closing price required to maintain a continued listing on The Nasdaq Capital Market under the Minimum Bid Requirement. In accordance with Nasdaq Listing Rule 5810(c)(3)(A), we have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the minimum trading day period pursuant to Nasdaq Listing Rule 5810(c)(3)(G). On July 19, 2023, we received a notice from Nasdaq confirming our recompliance with the minimum bid price rule.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we received a notice from Nasdaq (the “April Nasdaq Notice”) that we were noncompliance with Nasdaq Listing Rule 5250(c)(1) as a result of our failure to file this Annual Report on Form 10-K (the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The Staff Determination has no immediate effect and will not immediately result in the suspension of trading or delisting of our shares of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and the Panel scheduled a hearing for January 11, 2024. In connection with the hearing request, we requested that the stay be extended through the hearing and the expiration of any additional extension period granted by the Panel following the hearing. In that regard, pursuant to the Nasdaq Listing Rules, the Panel has granted this additional extension period. However, there can be no assurance that we will be able to regain compliance by the end of any additional extension period.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disclosed in the Current Report on Form 8-K filed on April 17, 2023, our audit committee concluded that, as a result of inadvertent errors in the accounting for warrants previously issued by us, it was appropriate to restate our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we were unable to timely file the Form 10-K, the First Quarter Form 10-Q and the Second Quarter Form 10-Q without unreasonable effort or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Modification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and with an effective date as of October 18, 2023, we entered into a Modification and Settlement Agreement (the “Modification Agreement”) with Mack Molding Company (“Mack”). Pursuant to the Modification Agreement, we agreed to settle an outstanding dispute with Mack under the Supply Agreement between the parties dated December 7, 2020 (the “Supply Agreement”). The Modification Agreement requires us to make payments of $500,000 and $250,000 to Mack on or before November 1, 2023 and February 15, 2024, respectively. Following the November 1, 2023 payment, we will be entitled to take possession of certain Vertical Farming Units (“VFUs”) that were assembled under the Supply Agreement. The Modification Agreement also requires us to purchase from Mack a minimum of 25 VFUs per quarter for each quarter during 2024 and a minimum of 50 VFUs per quarter for the six quarters beginning with the first quarter of 2025. We are required to pay a storage fee of $25,000 per month for VFUs subject to the Modification Agreement.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as part of the Modification Agreement, we agreed to issue to Mack a warrant to purchase 750,000 shares of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Mack’s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27, 2023, we entered into a letter agreement with the Investor. Pursuant to the agreement, we agreed to exchange $3.0 million in principal and approximately $1.1 million in accrued but unpaid interest outstanding under the Exchange Note to purchase 2,809,669 shares of common stock (the “Exchange Warrant”). Additionally, we agreed to exchange the 375,629 shares of common stock held in abeyance for the lender under the terms of a letter agreement between us and the Investor dated April 26, 2023 for a warrant to purchase 375,629 shares of common stock (the “Abeyance Warrant”).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warrant has an exercise price of $0.001 per share, was exercisable upon issuance, has a term of five years from the date of issuance and is exercisable on a cash basis or on a cashless exercise basis at the holder’s election.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Exchange Warrant provides that in the event that Raymond Chang or his affiliates acquire securities from us, exercise convertible securities or amend the terms of convertible securities at a purchase or conversion price lower than $1.46, then the number of shares of common stock underlying Exchange Warrant will be increased to an amount equal to $3.0 million divided by such purchase or conversion price, subject to proportional adjustment in the event the Exchange Warrant has been partially exercised. Additionally, in the event that we have not issued equity securities in exchange for gross proceeds of at least $3.0 million to Mr. Chang or his affiliates (subject to certain offsets) by the third calendar day after the date when we receive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Letter Agreement requires us to issue equity securities to Mr. Chang or his affiliates for aggregate gross proceeds of at least $3.0 million, minus any funds advanced by Mr. Chang to us since July 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Purchase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our Chief Executive Officer, purchased the Exchange Note and the Convertible Note from the Investor. In connection with the Note Purchase, the New Lender has agreed to waive any events of default under the acquired notes through December 31, 2023 and to enter into an agreement with us to extend the maturity date thereon to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Amendment and Secured Promissory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12, 2023, we issued an unsecured promissory note (the “Note”) in favor of GIC Acquisition, LLC (“GIC”), an entity that is managed by Raymond Chang, our Chairman and Chief Executive Officer, with an original principal amount of up to $500,000. On October 27, 2023, we and GIC amended and restated the Note (the “Restated Note”). Pursuant to the terms of the Restated Note, the Maturity Date was extended until December 31, 2023 and we granted a security interest in our assets that ranks junior to the Exchange Note and the Convertible Note.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Restated Note, we issued a junior secured promissory note (the “Junior Secured Note”) to the New Lender. Pursuant to the Junior Secured Note, the New Lender will lend up to $3,000,000 to us. The Junior Secured Note bears interest at a rate of 10% per annum, will mature in full on December 31, 2023, and may be prepaid without any fee or penalty. The Junior Secured Note is a secured obligation that ranks junior to the Exchange Note and the Convertible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accounting principles generally accepted in the U.S.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the valuation of inventory, and useful life of fixed assets and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GAAP. The preparation of consolidated financial statements in conformity with GAAP requires us to make estimates and assumptions that affect the amounts reported in the consolidated financial statements and accompanying notes. On an ongoing basis, we evaluate estimates,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following sources: (1) equipment sales, (2) providing services and (3) construction contracts.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we recognize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us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We determine SSP based on the price at which the performance obligation is sold separately and the methods of estimating SSP under the guidance of ASC 606-10-32-33. If the SSP is not observable through past transactions, we estimate the SSP, considering available information such as market conditions, expected margins, and internally approved pricing guidelines related to the performance obligations. We license our software as a Software-as-a-Service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we will assess whether the transaction price for those contracts includes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agreed-upon interest rate and will present the financing components separately as financial income. For the years ended December 31, 2022 and 2021, we did not have any such financial income.</w:t>
      </w:r>
    </w:p>
    <w:p>
      <w:pPr>
        <w:spacing w:after="0" w:line="189" w:lineRule="exact"/>
        <w:rPr>
          <w:sz w:val="20"/>
          <w:szCs w:val="20"/>
          <w:color w:val="auto"/>
        </w:rPr>
      </w:pPr>
    </w:p>
    <w:p>
      <w:pPr>
        <w:jc w:val="both"/>
        <w:ind w:right="20" w:firstLine="324"/>
        <w:spacing w:after="0" w:line="289" w:lineRule="auto"/>
        <w:rPr>
          <w:sz w:val="20"/>
          <w:szCs w:val="20"/>
          <w:color w:val="auto"/>
        </w:rPr>
      </w:pPr>
      <w:r>
        <w:rPr>
          <w:rFonts w:ascii="Times New Roman" w:cs="Times New Roman" w:eastAsia="Times New Roman" w:hAnsi="Times New Roman"/>
          <w:sz w:val="17"/>
          <w:szCs w:val="17"/>
          <w:color w:val="auto"/>
        </w:rPr>
        <w:t>Payment terms with customers typically require payment 30 days from the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our products for materials and workmanship but may provide multiple-year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 average cost of capital to be used as a discount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Amortization of acquired intangible assets is the result of the acquisition of TriGrow Systems, LLC (“TriGrow”), which occurred in 2020, the acquisition of Precision Extraction NewCo, LLC (“Precision”) and Cascade Sciences, LLC (“Cascade”) which occurred in 2021, the acquisition of PurePressure, LLC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recognize the excess of the purchase price over the fair value of identifiable net assets acquired as goodwill. Goodwill is not amortized but is tested for impairment at least annually in the fourth quarter of the year, or more frequently if events or changes in circumstances indicate that the carrying amount of the goodwill may not be recoverable. We have determined that were a single reporting unit for the purpose of conducting the goodwill impairment assessment. A goodwill impairment charge is recorded if the amount by which our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decline in our stock price.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three-month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 Based on our interim testing, we noted that the entire carrying value of our goodwill and intangible assets should be impaired. Additional information regarding our interim testing on goodwill and intangible assets may be found in Note 7 – Goodwill and Intangible Assets, Net, included elsewhere in the 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evaluate our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we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We reassess the classification of our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determine that an instrument is not a derivative liability, we then evaluate whether there is a beneficial conversion feature (“BCF”), by comparing the commitment date fair value to the effective current conversion price of the instrument. We record a BCF as a debt discount which is amortized to interest expense over the life of the respective note using the effective interest method. BCFs that are contingent upon the occurrence of a future event are recognized when the contingency is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use derivative instruments to hedge exposures to cash flow, market, or foreign currency risks. We evaluate all of our financial instruments, including issued private placement stock purchase warrants, to determine if such instruments are derivatives or contain features that qualify as embedded derivatives, pursuant to ASC Topic 480, Distinguishing Liabilities from Equity (“ASC 480”) and ASC 815. We account for warrants as either equity-classified or liability-classified instruments based on an assessment of the warrant’s specific terms and applicable authoritative guidance in ASC 480 and ASC 815. Our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our own Common Stock among other conditions for equity classification.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capitalize on certain software engineering efforts related to the continued development of Agrify Insights™ cultivation software (“Agrify Insights™”)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follow the provisions of ASC Topic 718, Compensation-Stock Compensation (“ASC 718”) which establishes standards surrounding the accounting for transactions in which an entity exchanges our equity instruments for goods or services. ASC 718 focuses primarily on accounting for transactions in which an entity obtains employee services in share-based payment transactions, such as options issued under our Stock Option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consolidated financial statements. If the actual forfeiture rate is lower than the estimated forfeiture rate, then an adjustment will be made to lower the estimated forfeiture rate, which will result in an increase to expense recognized in our consolidated financial statements. The expense we recognize in future periods will be affected by changes in the estimated forfeiture rate and may differ significantly from amounts recognized in the current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incurred recurring losses to date. 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continuation as a going concern is dependent upon our ability to obtain the necessary debt or equity financing to continue operations until we begin generating sufficient cash flows from operations to meet our obligations. If we are unable raise additional funds, we may be forced to cease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$2,417 and $31,439 from related parties, respectively)</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90,054</w:t>
            </w:r>
          </w:p>
        </w:tc>
        <w:tc>
          <w:tcPr>
            <w:tcW w:w="36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54,625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73,354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30,807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9,338</w:t>
            </w:r>
          </w:p>
        </w:tc>
        <w:tc>
          <w:tcPr>
            <w:tcW w:w="36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8,179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(2,156)</w:t>
            </w:r>
          </w:p>
        </w:tc>
        <w:tc>
          <w:tcPr>
            <w:tcW w:w="36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2,912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69,904</w:t>
            </w:r>
          </w:p>
        </w:tc>
        <w:tc>
          <w:tcPr>
            <w:tcW w:w="36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(193,326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1,316</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51,461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extinguishment of notes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(38,985)</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5,042</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(188,307)</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indoor agriculture needs. Our core product offering includes our VFUs and Agrify Integrated Grow Racks with our Agrify Insights™, which are supplemented with environmental control products, grow lights, facility build-out services, and extraction equipment.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facility build-outs, and extraction equipment and solutions. We believe that our product mix forms an integrated ecosystem that allows us to be engaged with our potential customers from the early stages of the grow cycle — first during the facility build-out, to the choice of cultivation solutions, running the grow business with our Agrify Insights™ and finally, our extraction, post-processing, and testing services to transform harvest into a sellable product. We believe that the delivery of each solution in the various stages of the process will generate sales of additional solutions and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Insights™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23,129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(13,064)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22,041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50"/>
        </w:trPr>
        <w:tc>
          <w:tcPr>
            <w:tcW w:w="5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decreased by $1.6 million, or 3%, for the year ended December 31, 2022, as compared to the same period in 2021. The comparative decrease in revenue was primarily driven by a $13.1 million reduction in facility build-outs due to completion of one construction project and $7.0 million of revenue for Bud &amp; Mary’s that was deferred due to pending litigation. Additionally, there was a $10.6 million decrease in cultivation solutions due to the migration to a VFU leasing model. This was partially offset by revenue generated by our extraction solutions sales of equipment and services from our acquisition of Lab Society in 2022 and Precision, Cascade, and PurePressure in 2021, which contributed $22.0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Insights™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31,588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22,195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59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9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90,054</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35,429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goods sold increased $35.4 million, or 65%, for the year ended December 31, 2022, as compared to the same period in 2021. The year-over-year increase in cost of goods sold is primarily associated with increased inventory reserves due to the overall decline in the market and obsolescence. The decline in facility build-outs was the result of the completion of one construction project and the cessation of construction on the Bud and Mary’s project due to pending litigation.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(Loss) Profit</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loss totaled $31.8 million, or (54.6)%, of total revenue during the year ended December 31, 2022 compared to a gross profit of $5.2 million, or 8.7% of total revenue during the year ended December 31, 2021. The comparative $37.0 million year-over-year decline in gross profit, as well as the comparative decline in gross profit margin, is primarily attributable to reserves for inventory and facility build-outs. The Bud &amp; Mary’s project was the main contributor to the gross margin decline in facility build-outs due to the pending litigation. The gross profit decline was partially offset by increased Extraction solutions revenue in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9,338</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(2,156)</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2,912</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69,904</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59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9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161,531</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principally of salaries and related costs, including stock-based compensation and travel expenses, for personnel associated with executive and other administrative functions. Other G&amp;A expenses include, but are not limited to, professional fees for legal, consulting, depreciation and amortization, and accounting services, as well as facility-related costs.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G&amp;A expenses increased by $42.5 million, or 138%, for the year ended December 31, 2022, compared to the same period in 2021. The primary drivers of the year-over-year increase of G&amp;A expenses were largely attributable to an increase in trade and loan receivable allowances of $33.1 million, primarily related to our TTK projects, and an increase of $6.3 million in employee related expenses and severance expense.</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second, third, and fourth quarters of 2022, we increased our loan receivable reserve by approximately $7.1 million, $14.7 million, and $11.3 million, respectively. The $7.1 million increase during the second quarter of 2022 was specifically related to Greenstone Holdings (“Greenstone”). Greenstone is a related party because one of our former Agrify Brands employees and our VP of Engineering had a minority ownership. We specifically established the loan reserve related to Greenstone based on our review of Greenstone’s financial stability, which would impact collectability and is primarily the result of unfavorable market conditions within the Colorado market. We wrote off the entire Greenstone loan receivable as of June 30, 2023. Additional information regarding recent developments with Greenstone may be found in Note 5 – Loans Receivable, included in the notes to the consolidated financial statements. The $14.7 million increase during the third quarter of 2022 specifically related to Bud &amp; Mary’s. We deemed it necessary to fully reserve Bud &amp; Mary’s loan receivable balance due to the current litigation and the uncertainty of the customer’s ability to repay the outstanding balance. We believe the litigation is without merit and will continue to vigorously defend ourselves. The $11.3 million increase during the fourth quarter of 2022 related to three customer balances that were fully or partially reserved.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consist primarily of salaries and related costs of personnel, travel expenses, trade shows, and advertising expenses.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by $5.2 million, or 124%, for the year ended December 31, 2022, compared to the same period in 2021. The comparative period increase was primarily related to our acquisition of Lab Society in 2022 and the acquisitions of Precision, Cascade, and PurePressure in 2021, which contributed $3.7 million of increased selling and marketing expenses, an increase in payroll, severance, and related expenses of $957 thousand, and an increase in advertising, trade shows, and other expenses of $558 thousand.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(“R&amp;D”) expenses consisted primarily of costs incurred for the development of our Agrify Insights™ and next-generation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VFUs, which includes:</w:t>
      </w:r>
    </w:p>
    <w:p>
      <w:pPr>
        <w:spacing w:after="0" w:line="20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 expenses incurred under agreements to provide engineering work related to the development of our next-generation VFUs;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R&amp;D expenses increased by $4.3 million, or 108%, for the year ended December 31, 2022, compared to the same period in 2021. The comparative period increase is primarily related to our acquisition of Lab Society in 2022 and the acquisitions of Precision, Cascade, and PurePressure in 2021, which increased research and development expenses by $1.8 million, an increase in consulting and other cost of $1.8 million, and an increase in payroll, severance, and related expenses of $736 thousand. As a percentage of net revenue, R&amp;D expenses were 14.0% of total revenue for the year ended December 31, 2022, compared to 6.6% for same period in 2021.</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continue to invest in future developments for our VFUs, Agrify Insights™, and extraction products. Although we continue to invest in R&amp;D activities, we expect R&amp;D expenses to decrease as a percentage of revenue as our revenue grows.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contingent consideration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Contingent consideration decreased $2.2 million for the year ended December 31, 2022, compared to an increase of $1.4 million for the same period in 2021. The change in contingent consideration, which was recognized by us during the second and third quarters of 2022, primarily related to the reduction in the projected earn-out achievement associated with Lab Society’s and PurePressure’s first twelve-month earn-out period, for which revenue projections were trending below our original earn-out estimates used in calculating the fair value of the contingent consideration.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property and equipment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from a 50% reserve on equipment to be leased to Hannah Industries due to uncertainty of the project.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our interim testing, we noted that the current carrying value of equity significantly exceeded the calculated fair value of equity, by an amount greater than the aggregate value of our goodwill and intangible assets. Accordingly, we concluded that the entire carrying value of our goodwill and intangible assets were impaired, resulting in a second-quarter impairment charge of $69.9 million. Additional information regarding our interim impairment testing may be found in Note 7 – Goodwill and Intangible Assets, Net, included in the notes to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51,461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51,461</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extinguishment of notes payable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(38,985)</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(41,670)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220" w:type="dxa"/>
            <w:vAlign w:val="bottom"/>
          </w:tcPr>
          <w:p>
            <w:pPr>
              <w:spacing w:after="0"/>
              <w:rPr>
                <w:sz w:val="20"/>
                <w:szCs w:val="20"/>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was approximately $8.8 million for the year ended December 31, 2022 compared to interest income of approximately $74 thousand for the same period in 2021. The interest expense in 2022 is primarily attributable to modification of our debt facilities related to our SPA Note and Exchange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increased by $1.3 million, or 4,345%, for the year ended December 31, 2022, compared to the same period in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Change in fair value of warrant liability was $51.5 million for the year ended December 31, 2022. There was no change in fair value of warrant liability in 2021. During the year ended December 31, 2022, we recorded a non-cash gain of $51.5 million related to changes in the valuation of our liability-classified warrants issued in August and December 2022, which was primarily driven by movements in our stock price. Additional information regarding the fair value of our liability-classified warrants may be found in Note 4 – Fair Value Measures, included in the notes to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forgiveness of PPP loan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2021, the PPP loan for $45 thousand was forgiven by the U.S. Small Business Administration. As a result, we recorded a gain of $45 thousand on the forgiveness of the loan and the associated accrued interest. There was no associated forgiveness in the year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on extinguishment of notes payable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Loss on extinguishment of notes payable was $39.0 million for the year ended December 31, 2022, compared to a gain of $2.7 million for the same period in 2021. The loss on extinguishment of notes payable, which was recognized by us during the third quarter of 2022, related to the extinguishment of the SPA Note dated March 14, 2022. We recognized a loss on extinguishment of $39.0 million (inclusive of $13.1 million of unamortized warrants, $5.0 million for a default penalty on the principal amount, $2.3 million of unamortized issuance costs, and $1.2 million for the incremental fair value of warrants modified in exchange of debt). Additional information relating to our SPA Note may be found in Note 9 – Debt, included in the notes to the consolidated financial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gain on extinguishment of $2.7 million for the year ended December 31, 2021 related to the derecognition of the net carrying amount of extinguished debt of $19.7 million (inclusive of $13.1 million of principal, $7.1 million of derivative liabilities, less $587 thousand of debt discount) and the recognition of the $17.0 million fair value of a new convertible note (including the same principal amount of $13.1 million plus the $3.9 million fair value of the beneficial conversion feature). Additional information relating to our gain on extinguishment of notes payable may be found in Note 11 – Convertible Promissory Notes, included in the notes to the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gridSpan w:val="3"/>
          </w:tcPr>
          <w:p>
            <w:pPr>
              <w:jc w:val="center"/>
              <w:ind w:right="413"/>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Borders>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7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consolidated statements of operations. On December 8, 2019, we formed Agrify-Valiant, LLC (“Agrify-Valiant”), a joint-venture limited liability company in which we are the 60% majority owner and Valiant-America, LLC owns 40%. Agrify-Valiant started its operations during the second quarter of 2020. On October 27, 2022, we provided notice to Valiant-America of our intention to begin the winding up of Agrify-Valiant. On January 22, 2020, as part of the acquisition of TriGrow, we received TriGrow’s 75% interest in Agrify Brands, LLC (formerly TriGrow Brands, LLC), a licensor of an established portfolio of consumer brands that utilize our grow technology. The license for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(loss) attributable to non-controlling interest represents the portion of profit (or loss) that is attributable to the non-controlling interest calculated as a product of the net income of the entity multiplied by the percentage of ownership held by the non-controlling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Requirements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incurred operating losses since our inception and have negative cash flows from operations. We have an accumulated deficit of approximately $247.1 million as of December 31, 2022. Our primary sources of liquidity are cash and cash equivalents, with additional liquidity accessible, subject to market conditions and other factors, including limitations that may apply to us under applicable SEC regulations, from the capital markets.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had $20.5 million of cash, cash equivalents, and restricted cash. Our restricted cash and restricted marketable securities of $10.0 million is associated with the Exchange Note as of December 31, 2022. Current liabilities were $70.6 million as of December 31, 2022.</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18, 2022, we entered into the ATM Program with the Agent pursuant to which we could issue and sell, from time to time, shares of our Common Stock having an aggregate offering price of up to $50 million, depending on market demand, with the Agent acting as an agent for sales. The ATM Program allowed us to sell shares of Common Stock pursuant to specific parameters defined by us as well as those defined by the SEC and the ATM Program agreement. Beginning October 18, 2022 through December 31, 2022, we sold 306,628 shares of Common Stock under the ATM at an average price of $50.85, resulting in gross proceeds of $15.6 million and net proceeds of $15.1 million after commissions and fees to the Agent totaling $468 thousand. Subsequent to December 31, 2022 through April 1, 2023, after which time the ATM program was discontinued, we sold an additional 323,082 shares of Common Stock under the ATM at an average price of $4.93, resulting in gross proceeds of $1.6 million and net proceeds of $1.6 million after commissions and fees to the Agent totaling $48 thousand. For the entire period from October 18, 2022 through April 1, 2023, we sold 629,710 shares of Common Stock under the ATM at an average price of $27.29 per share, resulting in gross proceeds of $17.2 million, and net proceeds of $16.7 million after commissions and fees to the Agent totaling $516 thousand. $3.0 million of the proceeds under the ATM Program were used to repay amounts due to the Investor under the Exchange Note. We used the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we are no longer eligible to utilize the registration statement on Form S-3 relating to the ATM Program, and do not anticipate any further sales under the ATM Program in the foreseeable future.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current working capital needs are to support revenue growth,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possible future TTK arrangements. These arrangements require a significant amount of upfront capital necessary to fund construction, associated with facility build-outs, and equipment. We do not intend to enter into any new TTK Solutions for the foreseeable future, however, we have deployed this program with certain key customers.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based on the assumption that we will continue as a going concern for the next twelve-months from the date these consolidated financial statements are available to be issued. However, we have incurred operating losses since our inception and have negative cash flows from operations, and our significant operating losses raise substantial doubt about our ability to continue as a going concern. Our continuation as a going concern is dependent upon our ability to obtain the necessary debt or equity financing to continue operations until we begin generating sufficient cash flows from operations to meet our obligations. If we are unable to raise additional funds, we may be forced to cease operations.</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ever be profitable. The consolidated financial statements do not include any adjustments to reflect the potential future effects on the recoverability and classification of assets or the amounts and classifications of liabilities that may result should we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was originally scheduled to mature in May 2022. We applied for forgiveness on the $779 thousand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with an institutional investor. The Purchase Agreement provides for the issuance of the SPA Note in the aggregate amount of $65.0 million and a SPA Warrant to purchase up to an aggregate of 34,406 shares of Common Stock, with the potential for two potential subsequent closings for notes with an original principal amount of $35.0 million each.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18, 2022, we entered into a Securities Exchange Agreement. Pursuant to the August 2022 Exchange Agreement, we partially paid $35.2 million along with approximately $300 thousand in repayments for other fees under the SPA Note and exchanged the remaining balance of the SPA Note for an Exchange Note with an aggregate original principal amount of $35.0 million and a Note Exchange Warrant to purchase 71,139 shares of Common Stock. Additionally, we exchanged the SPA Warrant for a Modified Warrant for the same number of underlying shares but with a reduced exercise price.</w:t>
      </w:r>
    </w:p>
    <w:p>
      <w:pPr>
        <w:spacing w:after="0" w:line="18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On March 8, 2023, the Company entered into a new Securities Exchange Agreement. Pursuant to the March 2023 Exchange Agreement, we prepaid approximately $10.3 million in principal amount under the Exchange Note and exchanged $10.0 million in principal amount of the remaining balance of the Exchange Note for a new senior secured convertible note (the “Convertible Note”).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Convertible Note is a senior secured obligation and will rank senior to all of our indebtedness. The Convertible Note will mature on August 19, 2025 (the “Maturity Date”) and has a 9.0% annualized interest rate, with interest to be paid monthly, in cash. The principal amount of the Convertible Note will be payable on the maturity date, provided that the lender will be entitled to a cash sweep of 30% of the proceeds of any at-the-market equity offering and 20% of the proceeds received by us in connection with any other equity financing, which will reduce the outstanding principal amount under the Exchange Note. On October 27, 2023, CP Acquisitions LLC, and entity affiliated with and controlled by Raymond Chang, acquired the Exchange Note and the Convertible Note. As of October 30, 2023, there was approximately $6.7 million outstanding under the Exchange Note and $8.8 million outstanding under the Convertible Note.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Net increase in cash and cash equivalents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(72,021)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(30,149)</w:t>
            </w: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(2,317)</w:t>
            </w:r>
          </w:p>
        </w:tc>
        <w:tc>
          <w:tcPr>
            <w:tcW w:w="2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(104,740)</w:t>
            </w:r>
          </w:p>
        </w:tc>
      </w:tr>
      <w:tr>
        <w:trPr>
          <w:trHeight w:val="241"/>
        </w:trPr>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72,781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138,792</w:t>
            </w:r>
          </w:p>
        </w:tc>
        <w:tc>
          <w:tcPr>
            <w:tcW w:w="40" w:type="dxa"/>
            <w:vAlign w:val="bottom"/>
          </w:tcPr>
          <w:p>
            <w:pPr>
              <w:spacing w:after="0"/>
              <w:rPr>
                <w:sz w:val="20"/>
                <w:szCs w:val="20"/>
                <w:color w:val="auto"/>
              </w:rPr>
            </w:pPr>
          </w:p>
        </w:tc>
      </w:tr>
      <w:tr>
        <w:trPr>
          <w:trHeight w:val="250"/>
        </w:trPr>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3,903</w:t>
            </w:r>
          </w:p>
        </w:tc>
        <w:tc>
          <w:tcPr>
            <w:tcW w:w="40" w:type="dxa"/>
            <w:vAlign w:val="bottom"/>
          </w:tcPr>
          <w:p>
            <w:pPr>
              <w:spacing w:after="0"/>
              <w:rPr>
                <w:sz w:val="21"/>
                <w:szCs w:val="2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consists of net loss adjusted for non-cash benefits and expenses, and changes in operating assets and liabilities. Net cash used in operating activities increased for the year ended December 31, 2022, compared to the year ended December 31, 2021, primarily due to higher inventory purchases to meet demand, increased construction costs related to TTK Solutions, payments for employee-related expenditures, and other working capital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Cash used in investing activities consists primarily of maturities and sales of investments in marketable securities. Cash used in investing activities consists primarily of purchases of marketable securities, cash paid associated with our 2022 and 2021 acquisitions, the issuance of loans receivable in connection with our financing of construction and equipment under our TTK Solutions offering, and purchases of property and equipment. Capital expenditures are used to expand research, development, and testing capabilities and, to a lesser extent, to replace existing equipment. Investing activities used $1.2 million for the year ended December 31, 2022, compared to the use of $104.7 million for the year ended December 31, 2021, primarily due to net cash of $34.3 million provided by purchases, sales, and maturities of marketable securities in 2022, compared to net cash of $44.5 million used for purchases, sales, and maturities of marketable securities in 2021, along with decreased cash paid for business combinations, partially offset by an increase in purchases of property and equipment.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consists primarily of proceeds from the issuance of Common Stock, debt, and warrants in private placements and proceeds from public offerings. Cash used in financing activities consists primarily of repayment of our debt. Net cash provided by financing activities decreased for the year ended December 31, 2022, compared to the year ended December 31, 2021, largely due to the repayment of debt.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required to be filed pursuant to this Item 8 are appended to this Annual Report on Form 10-K, which consolidated financial statements are incorporated by reference in response to this Item 8. An index of those consolidated financial statements is found in “Item 15. Exhibits and Financial Statement Schedules”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Chief Executive Officer concluded that our disclosure controls and procedures were not effective at the reasonable assurance level as of December 31,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Under the supervision and with the participation of our management, including our Chief Executive Officer, we conducted an evaluation of the effectiveness of our internal control over financial reporting based on criteria established in the framework in Internal Control — Integrated Framework (2013) issued by the Committee of Sponsoring Organizations of the Treadway Commission. Based on the results of this evaluation, management has concluded that our internal control over financial reporting was not effective at the reasonable assurance level as of December 31, 2022.</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management identified material weaknesses in internal control over financial reporting. These material weaknesses related to the accounting for complex financial instruments, inadequate design of the controls over the preparation of the consolidated financial statements due to the lack of a timeline and process in place to timely close our annual books and records, and insufficient technical accounting resources and lack of segregation of duties. These deficiencies could result in misstatements to our consolidated financial statements that could be material and may not be prevented or detected on a timely basis.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because we are an “emerging growth company,” and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 in Internal Control over Financial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and through the date of this filing, we were in varying stages of remediating the current and previously reported material weaknesses in our internal control over financial reporting. During the fiscal year ended December 31, 2022, we have increased the number of accounting resources employed by us. We have added technically qualified personnel and are in the process of improving our technical accounting resources and capabilities. However, the finance team has remained weakened, with the departure of our CFO and VP of Finance. We are in the process of rebuilding the finance function and have engaged outside consultants to assist. We will need to continue to devote specific attention to these aspects of our internal control environment to ensure that these material weaknesses are fully remediated.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material weaknesses identified will not be considered fully remediated until these additional controls and procedures have operated effectively for a sufficient period of time and management has concluded, through testing, that these controls are effective. Our management will monitor the effectiveness of our remediation plans and will make changes management determines to be appropriate. If not remediated, these material weaknesses could result in material misstatements to our annual or interim consolidated financial statements that may not be prevented or detected on a timely basis or result in a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Common Stock could be adversely affected, and we could become subject to litigation or investigations by the Nasdaq Capital Market, the SEC, or other regulatory authorities, which could require additional financial and management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changes to remediate the material weaknesses noted above, there was no change in our internal control over financial reporting (as defined in Rules 13a-15(f) and 15d-15(f) under the Exchange Act) during the fiscal quarter ended December 31, 2022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229" w:lineRule="exact"/>
        <w:rPr>
          <w:sz w:val="20"/>
          <w:szCs w:val="20"/>
          <w:color w:val="auto"/>
        </w:rPr>
      </w:pPr>
    </w:p>
    <w:p>
      <w:pPr>
        <w:ind w:right="880" w:firstLine="432"/>
        <w:spacing w:after="0" w:line="282" w:lineRule="auto"/>
        <w:rPr>
          <w:sz w:val="20"/>
          <w:szCs w:val="20"/>
          <w:color w:val="auto"/>
        </w:rPr>
      </w:pPr>
      <w:r>
        <w:rPr>
          <w:rFonts w:ascii="Times New Roman" w:cs="Times New Roman" w:eastAsia="Times New Roman" w:hAnsi="Times New Roman"/>
          <w:sz w:val="18"/>
          <w:szCs w:val="18"/>
          <w:color w:val="auto"/>
        </w:rPr>
        <w:t>Following are the names and ages of the Agrify’s current executive officers, the year they became an executive officer, and their principal occupations or employment for at least the past five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2"/>
                <w:szCs w:val="22"/>
                <w:color w:val="auto"/>
              </w:rPr>
            </w:pPr>
          </w:p>
        </w:tc>
        <w:tc>
          <w:tcPr>
            <w:tcW w:w="698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Experience</w:t>
            </w:r>
          </w:p>
        </w:tc>
      </w:tr>
      <w:tr>
        <w:trPr>
          <w:trHeight w:val="234"/>
        </w:trPr>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22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20"/>
                <w:szCs w:val="20"/>
                <w:color w:val="auto"/>
              </w:rPr>
            </w:pPr>
          </w:p>
        </w:tc>
        <w:tc>
          <w:tcPr>
            <w:tcW w:w="6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Refer to “Directors” below.</w:t>
            </w:r>
          </w:p>
        </w:tc>
        <w:tc>
          <w:tcPr>
            <w:tcW w:w="20" w:type="dxa"/>
            <w:vAlign w:val="bottom"/>
          </w:tcPr>
          <w:p>
            <w:pPr>
              <w:spacing w:after="0"/>
              <w:rPr>
                <w:sz w:val="20"/>
                <w:szCs w:val="20"/>
                <w:color w:val="auto"/>
              </w:rPr>
            </w:pPr>
          </w:p>
        </w:tc>
      </w:tr>
      <w:tr>
        <w:trPr>
          <w:trHeight w:val="39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Kessler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Mr. Kessler has served as our Chief Science Officer since July 2022. Since 2013, he has served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 owner and operator of Willowbrook Orchids LLC, a national award-winning boutique orchid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nursery.   From 2006 through 2016, Mr. Kessler served as a Horticulturist at Atlantic</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Hydroponics, where he oversaw project management.  Mr. Kessler has over twenty years of</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cannabis cultivation experience including ten years of CEA (closed environmental agriculture)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indoor farm design. Mr. Kessler’s focus on the application of technology to optimize process &amp;</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workflow while reducing operational costs are a common theme throughout his prolific industry</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publications having written for such companies as Sunlight Supply, Maximum Yield Magazine,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Botanicare, and Hawthorne Gardening Company. Mr. Kessler also regularly lectures at many</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cannabis industry events and appears regularly on industry podcasts. Mr. Kessler’s decades of</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experience with horticultural lighting have allowed him the opportunity to be a product tester</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 companies such as Sharp Electronics and the Horticultural Lighting Group. He has worked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with independent 3rd party laboratories to provide unbiased testing data comparing product</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performance from a multitude of horticultural lighting manufacturers.  Mr. Kessler received a</w:t>
            </w:r>
          </w:p>
        </w:tc>
      </w:tr>
      <w:tr>
        <w:trPr>
          <w:trHeight w:val="234"/>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Bachelor of Arts degree and undertook post graduate studies in biology at SUNY-Oswego.</w:t>
            </w:r>
          </w:p>
        </w:tc>
      </w:tr>
      <w:tr>
        <w:trPr>
          <w:trHeight w:val="41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Towns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Mr. Towns has served as the Executive Vice President and General Manager of the Extraction</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Division since May 2023, and previously served as Vice President of Operations from October</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2021 through May 2023.  Prior to that role, Mr. Towns served as Operations Manager of</w:t>
            </w:r>
          </w:p>
        </w:tc>
      </w:tr>
      <w:tr>
        <w:trPr>
          <w:trHeight w:val="234"/>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Precision Extraction from October 2016 through January 2019, at which time, Mr. Towns was</w:t>
            </w:r>
          </w:p>
        </w:tc>
      </w:tr>
    </w:tbl>
    <w:p>
      <w:pPr>
        <w:jc w:val="both"/>
        <w:ind w:left="4280"/>
        <w:spacing w:after="0" w:line="251" w:lineRule="auto"/>
        <w:rPr>
          <w:sz w:val="20"/>
          <w:szCs w:val="20"/>
          <w:color w:val="auto"/>
        </w:rPr>
      </w:pPr>
      <w:r>
        <w:rPr>
          <w:rFonts w:ascii="Times New Roman" w:cs="Times New Roman" w:eastAsia="Times New Roman" w:hAnsi="Times New Roman"/>
          <w:sz w:val="18"/>
          <w:szCs w:val="18"/>
          <w:color w:val="auto"/>
        </w:rPr>
        <w:t>appointed as the Director of Operations role at Precision Extraction in January 2019 until the acquisition by Agrify in October 2021. In these roles, with increasing responsibility, he oversaw multiple critical functions, including supply chain management, manufacturing, compliance, engineering, customer support, and field service teams. Mr. Town’s visionary approach and commitment to maintaining the highest standards ensured that Precision Extraction delivered top-notch products and services to its customers. The acquisition of Precision Extraction by Agrify in October of 2021 and the addition of industry leading equipment providers Pure Pressure, Lab Society, and Cascade Sciences put Mr. Towns in the position to lead the extraction businesses. At Agrify, Mr. Town’s expertise and innovative mindset continue to drive the extraction division’s success. With 7 years of experience in the cannabis extraction industry, Mr. Towns helps spearhead the development and implementation of cutting-edge extraction technologies, ensuring Agrify remains at the forefront of the market. Before joining Agrify, Mr. Towns honed his skills in executive protection, ensuring the safety and security of high-profile individuals from January 2012 through September 2014 as an account executive. Mr. Town’s early career led him to regional management in the wireless retail business from August 2014 to October 2016, where he demonstrated exceptional leadership and strategic acumen. Mr. Towns received his formal education in Michigan.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Set forth below is certain information regarding the directors of the Company, based on information furnished to the Company by each director. The biographical description below for each director includes his age, all positions he holds with the Company, his principal occupation and business experience over the past five years, and the names of other publicly-held companies for which he currently serves as a director or has served as a director during the past five years. Stuart Wilcox served on the Board until July 14, 2022, when he resigned in connection with his appointment as Chief Operating Officer, and Thomas Massie served on the Board until July 8, 2022, when he resigned from the Board and from his position as President and Chief Operating Officer. Max Holtzman was appointed to the Board on July 14,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Nominees for Election</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45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4"/>
                <w:szCs w:val="24"/>
                <w:color w:val="auto"/>
              </w:rPr>
            </w:pPr>
          </w:p>
        </w:tc>
        <w:tc>
          <w:tcPr>
            <w:tcW w:w="69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Experience</w:t>
            </w:r>
          </w:p>
        </w:tc>
      </w:tr>
      <w:tr>
        <w:trPr>
          <w:trHeight w:val="198"/>
        </w:trPr>
        <w:tc>
          <w:tcPr>
            <w:tcW w:w="2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7"/>
                <w:szCs w:val="17"/>
                <w:color w:val="auto"/>
              </w:rPr>
            </w:pPr>
          </w:p>
        </w:tc>
        <w:tc>
          <w:tcPr>
            <w:tcW w:w="6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Mr. Chang has served as Chief Executive Officer and Chairman of the Board of Directors since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2019 and served as the Company’s President from June 2019 to November 2021. From</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September 2015 through May 2019, Mr. Chang was a lecturer in the Practice of Management at</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Yale School of Management and an Adjunct Professor at Babson College as well as a</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managing director at NXT Ventures. In 1997, Mr. Chang founded GigaMedia, the first</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broadband company in Asia. In 2000, this company went public on Nasdaq (Nasdaq: GIGM)</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raised $280 million, one of the largest IPOs for an internet company prior to 2000. In 2007,</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Mr. Chang founded Luckypai, a leading TV shopping company in China and raised venture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from Lightspeed Venture Partners, DT Capital, Intel, Lehman Brothers, and Goldman</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Sachs. Luckypai was sold to Lotte Group, which is one of the largest Asian conglomerates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based in Korea, for $160 million in 2010. From 2012 to 2013, Mr. Chang served as the chief</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executive officer of New Focus Auto, the largest automobile aftersales service company listed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on the Hong Kong Stock Exchange (HKSE: 0360.HK). In 2014, Mr. Chang completed the sale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 New Focus Auto to CDH Investments, which is one of the largest private equity firms based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Asia and raised over $150 million for the company. In 2000, Mr. Chang was selected by</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Fortune as one of the twenty-five “Next Generation Global Leaders Under 40” and by Business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Week Asia as one of Asia’s 20 most influential new economy leaders in the 21 century. He was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also featured in 2005 as a panel speaker at the World Economic Forum in Zurich, Switzerland.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Mr. Chang was the former treasurer/elected board member of Shanghai American School and a</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member of the Young Presidents Organization — Shanghai Chapter. Mr. Chang received his BA</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from New York University, MBA from Yale School of Management, and MPA from Harvard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JFK School of Government. Mr. Chang has served as a Director of our Company since</w:t>
            </w:r>
          </w:p>
        </w:tc>
      </w:tr>
      <w:tr>
        <w:trPr>
          <w:trHeight w:val="234"/>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2019.</w:t>
            </w:r>
          </w:p>
        </w:tc>
      </w:tr>
      <w:tr>
        <w:trPr>
          <w:trHeight w:val="655"/>
        </w:trPr>
        <w:tc>
          <w:tcPr>
            <w:tcW w:w="2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63</w:t>
            </w:r>
          </w:p>
        </w:tc>
      </w:tr>
    </w:tbl>
    <w:p>
      <w:pPr>
        <w:sectPr>
          <w:pgSz w:w="11900" w:h="16838" w:orient="portrait"/>
          <w:cols w:equalWidth="0" w:num="1">
            <w:col w:w="11240"/>
          </w:cols>
          <w:pgMar w:left="320" w:top="873"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1"/>
                <w:szCs w:val="21"/>
                <w:color w:val="auto"/>
              </w:rPr>
            </w:pPr>
          </w:p>
        </w:tc>
        <w:tc>
          <w:tcPr>
            <w:tcW w:w="69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Experience</w:t>
            </w:r>
          </w:p>
        </w:tc>
      </w:tr>
      <w:tr>
        <w:trPr>
          <w:trHeight w:val="198"/>
        </w:trPr>
        <w:tc>
          <w:tcPr>
            <w:tcW w:w="2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Max Holtzman</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Pr>
          <w:p>
            <w:pPr>
              <w:spacing w:after="0"/>
              <w:rPr>
                <w:sz w:val="17"/>
                <w:szCs w:val="17"/>
                <w:color w:val="auto"/>
              </w:rPr>
            </w:pPr>
          </w:p>
        </w:tc>
        <w:tc>
          <w:tcPr>
            <w:tcW w:w="6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Mr. Holtzman has served as a member of our Board of Directors since July 14, 2022. Mr.</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Holtzman has served as Operations Director at Ocean 14 Capital, a private equity impact fund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focused on the Blue Economy, since December 2021. Mr. Holtzman has also served as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Investments Principal at Pontos Aqua, LLC, which provides strategic advisory services in the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 seafood and aquaculture space, since June 2017. Mr. Holtzman is a founding officer of</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Stronger America through Seafood, which strives to increase the production of healthy,</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sustainable, and affordable seafood in the United States. Mr. Holtzman previously served as the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Chairman of Capitol Peak Asset Management, which focused on infrastructure projects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companies in Rural America. Prior to Capitol Peak, Mr. Holtzman was appointed by</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Obama as the Senior Advisor to the United States Secretary of Agriculture. From</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2009 to 2014, Mr. Holtzman advised the Secretary on the development of new public-private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partnerships, aquaculture, trade, biotechnology, and international food security. He also served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 Acting Deputy Under Secretary for Farm and Foreign Agriculture Services and as Acting</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Deputy Under Secretary of Marketing and Regulatory Programs. In these roles, Mr. Holtzman</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represented the United States in its negotiations with the Peoples Republic of China as a four-</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time Delegate on the Joint Committee on Commerce and Trade, and he was regularly involved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 a multitude of international trade issues, trade missions, and trade negotiations. He also</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served as the United States Chairman of the North American Biotechnology Initiative, which</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includes the United States, Canada, and Mexico. Prior to this appointment, Mr. Holtzman, an</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attorney for over 25 years, provided strategic consulting to multi-national companies related to</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transportation infrastructure, project finance, public-private partnerships, health care, and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government procurement. He also served as a City Attorney and Special Counsel to several</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municipalities. Mr. Holtzman has served as a Board Member of The Arcadia Center for</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Sustainable Food and Agriculture since September 2016, the Founding Chairman of Adopt-A-</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Classroom, and he has sat on the Global Advisory Council of Secure System since January</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2018. Mr. Holtzman received his undergraduate degree in Agricultural Economics from the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University of Florida’s Institute of Food and Agricultural Sciences and his law degree from the</w:t>
            </w:r>
          </w:p>
        </w:tc>
      </w:tr>
      <w:tr>
        <w:trPr>
          <w:trHeight w:val="234"/>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University of Miami.</w:t>
            </w:r>
          </w:p>
        </w:tc>
      </w:tr>
      <w:tr>
        <w:trPr>
          <w:trHeight w:val="41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Guichao Hua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Mr. Hua has served as a member of our Board of Directors since June 15, 2019. Mr. Hua is a</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renowned expert in the global power electronics arena. He brings over 25 years of experience in</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lighting industry and has extensive knowledge in running successful businesses. In 2007,</w:t>
            </w:r>
          </w:p>
        </w:tc>
      </w:tr>
      <w:tr>
        <w:trPr>
          <w:trHeight w:val="234"/>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Mr. Hua founded Inventronics Inc., which is currently one of the largest companies in the world</w:t>
            </w:r>
          </w:p>
        </w:tc>
      </w:tr>
    </w:tbl>
    <w:p>
      <w:pPr>
        <w:jc w:val="both"/>
        <w:ind w:left="4280"/>
        <w:spacing w:after="0" w:line="251" w:lineRule="auto"/>
        <w:rPr>
          <w:sz w:val="20"/>
          <w:szCs w:val="20"/>
          <w:color w:val="auto"/>
        </w:rPr>
      </w:pPr>
      <w:r>
        <w:rPr>
          <w:rFonts w:ascii="Times New Roman" w:cs="Times New Roman" w:eastAsia="Times New Roman" w:hAnsi="Times New Roman"/>
          <w:sz w:val="18"/>
          <w:szCs w:val="18"/>
          <w:color w:val="auto"/>
        </w:rPr>
        <w:t>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Mr. Hua has served as a member of Agrify’s Board of Directors since June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2"/>
                <w:szCs w:val="22"/>
                <w:color w:val="auto"/>
              </w:rPr>
            </w:pPr>
          </w:p>
        </w:tc>
        <w:tc>
          <w:tcPr>
            <w:tcW w:w="698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Experience</w:t>
            </w:r>
          </w:p>
        </w:tc>
      </w:tr>
      <w:tr>
        <w:trPr>
          <w:trHeight w:val="198"/>
        </w:trPr>
        <w:tc>
          <w:tcPr>
            <w:tcW w:w="2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Leonard J. Sokolow</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Pr>
          <w:p>
            <w:pPr>
              <w:spacing w:after="0"/>
              <w:rPr>
                <w:sz w:val="17"/>
                <w:szCs w:val="17"/>
                <w:color w:val="auto"/>
              </w:rPr>
            </w:pPr>
          </w:p>
        </w:tc>
        <w:tc>
          <w:tcPr>
            <w:tcW w:w="6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Mr. Sokolow has been Chief Executive Officer and President of Newbridge Financial, Inc., a</w:t>
            </w:r>
          </w:p>
        </w:tc>
        <w:tc>
          <w:tcPr>
            <w:tcW w:w="20" w:type="dxa"/>
            <w:vAlign w:val="bottom"/>
          </w:tcPr>
          <w:p>
            <w:pPr>
              <w:spacing w:after="0"/>
              <w:rPr>
                <w:sz w:val="17"/>
                <w:szCs w:val="17"/>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financial services holding company, and Chairman of Newbridge Securities Corporation, its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broker-dealer subsidiary, since 2015. Mr. Sokolow previously served in a variety of roles at</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vFinance, Inc., a publicly traded financial services company, including as Chairman of the board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 directors from January 2007, a member of the board of directors from November 1997 and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Executive Officer from November 1999 through July 2008, when it merged into National</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Holdings Corporation, a publicly traded financial services company. Mr. Sokolow also served as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President of vFinance, Inc. from January 2001 through December 2006. From July 2008 until</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July 2012, Mr. Sokolow was President of National Holdings Corporation, and from July 2008</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until July 2014, he was Vice Chairman of the board of directors of National Holdings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Corporation. Mr. Sokolow has served on the board of directors of Consolidated Water Co. Ltd.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(Nasdaq: CWCO), a developer and operator of advanced water supply and treatment plants and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water distribution systems, since June 2006, where he currently serves as Chairman of the Audit</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Committee and as a member of the Nominations and Corporate Governance Committee. In</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addition, Mr. Sokolow has served as a director of the SQL Technologies Corp. (Nasdaq: SKYX)</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since November 2015 and has been a member of its Business Development Committee.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Mr. Sokolow has served on the board of directors of Vivos Therapeutics, Inc. (Nasdaq: VVOS),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medical technology company focused on developing and commercializing innovative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treatments for adult patients suffering from sleep-disordered breathing, since June 2020, where</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he currently serves as Chair of the Audit Committee and as a member of the Nominating and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Governance Committee. Since August 2021 Mr. Sokolow served on the Advisory</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Board of Masterworks. Mr. Sokolow earned a B.A. in Economics from the University of</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Florida, a J.D. from the University of Florida School of Law and a Masters of Law in Taxation</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from the New York University School of Law. Mr. Sokolow has served as a member of Agrify’s</w:t>
            </w:r>
          </w:p>
        </w:tc>
      </w:tr>
      <w:tr>
        <w:trPr>
          <w:trHeight w:val="234"/>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Board of Directors since December 2021.</w:t>
            </w:r>
          </w:p>
        </w:tc>
      </w:tr>
      <w:tr>
        <w:trPr>
          <w:trHeight w:val="41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Mr. Mahoney is the owner of Caribou LLC, a strategic advisory firm he founded in 2009 that</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consults with CEOs and their boards on managing systemic risk and maximizing shareholder</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value through the identification and capture of strategic opportunities. In March 2013,</w:t>
            </w:r>
          </w:p>
        </w:tc>
      </w:tr>
      <w:tr>
        <w:trPr>
          <w:trHeight w:val="234"/>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Mr. Mahoney also founded Cannae Policy Group, a Washington D.C. based public policy</w:t>
            </w:r>
          </w:p>
        </w:tc>
      </w:tr>
    </w:tbl>
    <w:p>
      <w:pPr>
        <w:jc w:val="both"/>
        <w:ind w:left="4280"/>
        <w:spacing w:after="0" w:line="251" w:lineRule="auto"/>
        <w:rPr>
          <w:sz w:val="20"/>
          <w:szCs w:val="20"/>
          <w:color w:val="auto"/>
        </w:rPr>
      </w:pPr>
      <w:r>
        <w:rPr>
          <w:rFonts w:ascii="Times New Roman" w:cs="Times New Roman" w:eastAsia="Times New Roman" w:hAnsi="Times New Roman"/>
          <w:sz w:val="18"/>
          <w:szCs w:val="18"/>
          <w:color w:val="auto"/>
        </w:rPr>
        <w:t>company, where he serves as a Chief Political Strategist advising companies, associations, and governments on complex public policy issues. Mr. Mahoney served as a U.S. Representative for Florida’s 16 congressional district from January 2007 to January 2009. From 1998 to 2007, Mr. Mahoney was a Co-Founder of vFinance, Inc., which subsequently acquired National Holdings Corporation. National Holdings Corporation has grown to become one of America’s leading middle-market investment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Mr. Mahoney has served as a member of Agrify’s Board of Directors since December 2020.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2"/>
                <w:szCs w:val="22"/>
                <w:color w:val="auto"/>
              </w:rPr>
            </w:pPr>
          </w:p>
        </w:tc>
        <w:tc>
          <w:tcPr>
            <w:tcW w:w="698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Experience</w:t>
            </w:r>
          </w:p>
        </w:tc>
      </w:tr>
      <w:tr>
        <w:trPr>
          <w:trHeight w:val="198"/>
        </w:trPr>
        <w:tc>
          <w:tcPr>
            <w:tcW w:w="2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Krishnan Varier</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7"/>
                <w:szCs w:val="17"/>
                <w:color w:val="auto"/>
              </w:rPr>
            </w:pPr>
          </w:p>
        </w:tc>
        <w:tc>
          <w:tcPr>
            <w:tcW w:w="6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Mr. Varier joined Agrify’s Board of Directors in June 2020, after briefly serving as a board</w:t>
            </w:r>
          </w:p>
        </w:tc>
        <w:tc>
          <w:tcPr>
            <w:tcW w:w="20" w:type="dxa"/>
            <w:vAlign w:val="bottom"/>
          </w:tcPr>
          <w:p>
            <w:pPr>
              <w:spacing w:after="0"/>
              <w:rPr>
                <w:sz w:val="17"/>
                <w:szCs w:val="17"/>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observer. He is a Managing Partner and the Chief Investment Officer of Arcadian Capital</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Management, a Los Angeles, California based venture capital private equity firm particularly</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focused on investing in ancillary businesses related to the cannabis and hemp industries. He has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served in this role since joining Arcadian in 2018 to help lead its principal investing activities,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bringing more than 15 years of financial services and Wall Street deal-making experience. From</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2016 through 2018, Mr. Varier formed Varier Venture Consulting LLC to assist in the growth of</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early-stage startup companies, primarily by providing strategic advice regarding capital raising</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strategies. From 2014 through 2016, Mr. Varier was an investment banker with Cowen &amp;</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Company, where he covered corporate clients in the healthcare biotechnology industry. From</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2013 through 2014, he was a Senior Investment Analyst with Health Care REIT, which has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since been re-branded as Welltower REIT, and is a leading provider of real estate capital to</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seniors housing operators, post-acute healthcare providers and health systems. From 2011</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through  2013,  Mr.  Varier  was  an  investment  banker  in  BofA-Merrill  Lynch’s  Global</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&amp; Investment Banking group covering healthcare corporate clients. He began his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investment banking career in 2010 with Morgan Keegan, which is now part of Raymond James</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Financial Services, Inc. Mr. Varier has been involved in more than $6 billion in closed capital</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raising and merger and acquisition transactions as an investment banking professional.</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Mr. Varier earned a B.A. in Economics with a focus in Business Administration in 2001 from</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University of Texas at Austin. In 2010, Mr. Varier received an MBA degree in Finance and</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Investment Management from the University of North Carolina at Chapel Hill, Kenan-</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Flagler Business School. Mr. Varier has served as a member of our Board of Directors since</w:t>
            </w:r>
          </w:p>
        </w:tc>
      </w:tr>
      <w:tr>
        <w:trPr>
          <w:trHeight w:val="234"/>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June 2020.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each director nominee brings a strong and unique background and set of skills to the Board, giving the Board as a whole competence and experience in a wide variety of areas, including corporate governance and board service, executive management, private equity, finance, marketing and international business. Set forth below are the particular experiences, qualifications, attributes or skills, which led the Company’s Board of Directors to conclude that each director nominee should serve as a director of the Company.</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Mr. Chang, a director since June 2019, is currently the chairman and chief executive officer of the Company. Mr. Chang has a wealth of successful experience directing, managing and/or financing early-stage agricultural- and technology-based companies. Mr. Chang’s entrepreneurial nature and well-developed leadership and financial experience led the Nominating and Corporate Governance Committee to conclude that his skills fit with the needs of the Board of Directors and qualified him to continue to serve as a director of the Company.</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Mr. Holtzman, a director since July 2022, is Operations Director at Ocean 14 Capital, a private equity impact fund. Mr. Holtzman’s extensive experience in finance, government relations and international trade led the Nominating and Corporate Governance Committee to conclude that his skills and background fit the needs of the Board of Directors and qualified him to continue to serve as a direct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Mr. Hua, a director since June 2019, is currently the executive chairman of Inventronics, Inc., and provides the Company with extensive industry knowledge related to the design and manufacturing of indoor growing and lighting solutions. Mr. Hua’s exemplary career building thriving global hardware companies along with his design, engineering and manufacturing expertise led the Nominating and Corporate Governance Committee to conclude that his skills and background fit the needs of the Board of Directors and qualified him to continue to serve as a director of the Company.</w:t>
      </w:r>
    </w:p>
    <w:p>
      <w:pPr>
        <w:spacing w:after="0" w:line="180" w:lineRule="exact"/>
        <w:rPr>
          <w:sz w:val="20"/>
          <w:szCs w:val="20"/>
          <w:color w:val="auto"/>
        </w:rPr>
      </w:pPr>
    </w:p>
    <w:p>
      <w:pPr>
        <w:jc w:val="both"/>
        <w:ind w:firstLine="427"/>
        <w:spacing w:after="0" w:line="256" w:lineRule="auto"/>
        <w:rPr>
          <w:sz w:val="20"/>
          <w:szCs w:val="20"/>
          <w:color w:val="auto"/>
        </w:rPr>
      </w:pPr>
      <w:r>
        <w:rPr>
          <w:rFonts w:ascii="Times New Roman" w:cs="Times New Roman" w:eastAsia="Times New Roman" w:hAnsi="Times New Roman"/>
          <w:sz w:val="18"/>
          <w:szCs w:val="18"/>
          <w:color w:val="auto"/>
        </w:rPr>
        <w:t>Mr. Mahoney, a director since December 2020, through his strategic advisory firm, has worked as an independent consultant assisting management teams and boards of directors through the identification of systemic risk and the development of creative strategies targeted towards maximizing shareholder value. He also qualifies as an “audit committee financial expert” as defined under SEC rules. Mr. Mahoney’s knowledge and experience with the legislative process of Congress and his diverse experience and knowledge in corporate governance led the Nominating and Corporate Governance Committee to conclude that his skills and background fit the needs of the Board of Directors and qualified him to continue to serve as a director of the Company.</w:t>
      </w:r>
    </w:p>
    <w:p>
      <w:pPr>
        <w:spacing w:after="0" w:line="18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Mr. Sokolow, a director since December 2021, is currently the chief executive officer and president of Newbridge Financial, Inc. and the Chairman of Newbridge Securities Corporation. Mr. Sokolow has vast financing and public company executive management and board of director experience. He also qualifies as an “audit committee financial expert” as defined under SEC rules. Mr. Sokolow’s financial experience, combined with his operational and board of director experience led the Nominating and Corporate Governance Committee to conclude that his skills and background fit the needs of the Board of Directors and qualified him to continue to serve as a director of the Company.</w:t>
      </w:r>
    </w:p>
    <w:p>
      <w:pPr>
        <w:spacing w:after="0" w:line="1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Mr. Varier, a director since June 2020, is a managing partner of Arcadian Capital Management, a leader in cannabis venture capital. Mr. Varier has nearly 20 years of experience in corporate finance and investment advisory. He also qualifies as an “audit committee financial expert” as defined under SEC rules. Mr. Varier’s extensive capital markets experience, knowledge of the cannabis industry, as well as his experience working with cannabis companies as an investor, mentor, advisor and consultant, led the Nominating and Corporate Governance Committee to conclude that his overall experience fits the needs of the Board of Directors and qualified him to continue to serve as a director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Leadership Structure</w:t>
      </w:r>
    </w:p>
    <w:p>
      <w:pPr>
        <w:spacing w:after="0" w:line="2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Combining Chairman and Chief Executive Officer Roles. </w:t>
      </w:r>
      <w:r>
        <w:rPr>
          <w:rFonts w:ascii="Times New Roman" w:cs="Times New Roman" w:eastAsia="Times New Roman" w:hAnsi="Times New Roman"/>
          <w:sz w:val="18"/>
          <w:szCs w:val="18"/>
          <w:color w:val="auto"/>
        </w:rPr>
        <w:t>Our Board of Directors is committed to the principle of independence from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the highest standards of corporate governance. All of our directors other than Messrs. Chang and Hua are independent under Nasdaq listing rules. Our Nominating and Corporate Governance, Audit and Compensation Committees are currently composed entirely of independent directors. Our Board of Directors has adopted a flexible policy regarding the issue of whether the positions of Chairman and Chief Executive Officer should be separate or combined. This policy allows the Board to evaluate regularly whether the Company is best served at any particular time by having our Chief Executive Officer or another director hold the position of Chairman.</w:t>
      </w:r>
    </w:p>
    <w:p>
      <w:pPr>
        <w:spacing w:after="0" w:line="18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Currently, the Board believes there are several important advantages to combining the positions of Chairman and Chief Executive Officer. The Chief Executive Officer is the director most familiar with our business and industry and is most capable of effectively identifying strategic priorities and leading the discussion and execution of strategy. The Company’s independent directors bring experience, oversight, and expertise from outside the Company and industry, while the Chief Executive Officer brings Company-specific experience and expertise. Combining the Chief Executive Officer and Chairman positions creates a firm link between management and the Board, promotes the development and implementation of corporate strategy and facilitates information flow between management and the Board, which are essential to effective governance. The Board currently believes that combining the roles of Chairman and Chief Executive Officer contributes to a more efficient and effective Board, does not undermine the independence of the Board, and certainly has no bearing on the ethical integrity of the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Board and Board Committee Matters</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Board currently consists of six directors. The Board has determined that Max Holtzman, Timothy Mahoney, Leonard J. Sokolow, and Krishnan Varier are all “Independent” directors under the Nasdaq listing standards.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spacing w:after="0" w:line="16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Board currently has four standing committees consisting of: the Nominating and Corporate Governance Committee, the Compensation Committee, and the Audit Committee and the Mergers and Acquisitions Committee. No member of the Audit, Compensation or Nominating and Corporate Governance Committee is an employee of the Company or its subsidiaries, and all are currently independent as defined by the Nasdaq listing standards. In March 2022, the Company became aware of a consulting arrangement between an entity partially owned by Mr. Mahoney and the Company that resulted in Mr. Mahoney not being considered independent for purposes of Audit Committee membership. Mr. Mahoney did not provide any consulting services on behalf of the consulting group and did not receive any fees from the consulting group in connection with the agreement between the consulting group and the Company. The Company promptly terminated the consulting relationship, upon which Mr. Mahoney regained his independent status for Audit Committee purposes.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 w:cs="Times New Roman" w:eastAsia="Times New Roman" w:hAnsi="Times New Roman"/>
          <w:sz w:val="18"/>
          <w:szCs w:val="18"/>
          <w:i w:val="1"/>
          <w:iCs w:val="1"/>
          <w:color w:val="auto"/>
        </w:rPr>
        <w:t>https://ir.agrify.com</w:t>
      </w:r>
      <w:r>
        <w:rPr>
          <w:rFonts w:ascii="Times New Roman" w:cs="Times New Roman" w:eastAsia="Times New Roman" w:hAnsi="Times New Roman"/>
          <w:sz w:val="18"/>
          <w:szCs w:val="18"/>
          <w:color w:val="auto"/>
        </w:rPr>
        <w:t>. Please note that the information contained on the Company website is not incorporated by reference in, or considered to be a part of, this Annual Report on Form 10-K.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current members of the Committees are identified below:</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Nominating</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and Corporate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Mergers and</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Acquisitions</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 (Chair)</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 (Chair)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J. Sokolow</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shd w:val="clear" w:color="auto" w:fill="CCEEFF"/>
          </w:tcPr>
          <w:p>
            <w:pPr>
              <w:spacing w:after="0"/>
              <w:rPr>
                <w:sz w:val="18"/>
                <w:szCs w:val="18"/>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 (Chair)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 (Chair)</w:t>
            </w:r>
          </w:p>
        </w:tc>
      </w:tr>
    </w:tbl>
    <w:p>
      <w:pPr>
        <w:spacing w:after="0" w:line="17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The current members of the Nominating and Corporate Governance Committee are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Holtzman, who chairs the committee, Mahoney and Varier. Each of these directors is independent as defined under applicable Nasdaq listing requirements. This Committee’s responsibilities include the selection of potential candidates for the Board. Mr. Wilcox served as chair of the committee until his resignation from the Board on July 14, 2022.</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The current members of the Compensation Committee are directors Mahoney, who chairs the committee, Sokolow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Holtzman. Each of these directors is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 Mr. Wilcox served as a member of the committee until his resignation from the Board on July 14,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5" w:name="page76"/>
    <w:bookmarkEnd w:id="75"/>
    <w:p>
      <w:pPr>
        <w:jc w:val="both"/>
        <w:ind w:firstLine="42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The current members of the Audit Committee are directors Varier, who chairs the committee, Mahoney and Sokolow.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has determined that all members of the Audit Committee satisfy the financial literacy requirements of the Nasdaq listing standards and are independent as defined under the Nasdaq listing requirements and applicable Securities and Exchange Commission (“SEC”) rules. In addition, our Board of Directors has determined that each of Messrs. Varier and Sokolow qualifies as an “Audit Committee Financial Expert” as defined under SEC rules. The Audit Committee is primarily concerned with the accuracy and effectiveness of the audits of our consolidated financial statements by our independent registered public accountants. Its duties include, among other things:</w:t>
      </w:r>
    </w:p>
    <w:p>
      <w:pPr>
        <w:spacing w:after="0" w:line="18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 independence of its members from its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consolidated financial statements that we file with the SEC;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accounting principles, accounting policies, financial and accounting controls, and compliance with legal and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by our board of directors of our code of business conduct and our disclosure controls and procedures;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and/or anonymous submission of concerns regarding accounting, internal controls or auditing matters;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related-person transactions.</w:t>
      </w:r>
    </w:p>
    <w:p>
      <w:pPr>
        <w:spacing w:after="0" w:line="22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Audit Committee’s procedures for the pre-approval of audit and permitted non-audit services are described in “Item 5: Ratification of the Auditor Appointment.” For more information on the Audit Committee, refer to the “Report of the Audit Committee” included elsewhere herein.</w:t>
      </w:r>
    </w:p>
    <w:p>
      <w:pPr>
        <w:spacing w:after="0" w:line="16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Mergers and Acquisitions Committee. </w:t>
      </w:r>
      <w:r>
        <w:rPr>
          <w:rFonts w:ascii="Times New Roman" w:cs="Times New Roman" w:eastAsia="Times New Roman" w:hAnsi="Times New Roman"/>
          <w:sz w:val="18"/>
          <w:szCs w:val="18"/>
          <w:color w:val="auto"/>
        </w:rPr>
        <w:t>The current members of the Mergers and Acquisitions Committee are directors Varier, who chairs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Mahoney and Holtzman. The purpose of the Mergers &amp; Acquisitions Committee is to assist the Board and the Audit Committee in evaluating any related party transactions that the Company may consider from time to time. Mr. Wilcox served as a member of the committee until his resignation from the Board on July 14, 2022.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Board of Directors’ Oversight of Risk</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management bears responsibility for the management and assessment of risk at the Company on a daily basis. Management is also responsible for communicating the most material risks to the Board and its committees, who provide oversight of the risk management practices implemented by management. Our full Board provides oversight for risk management, except for the oversight of risks that have been specifically delegated to a committee. Even when the oversight of a specific area of risk has been delegated to a committee, the full Board may maintain oversight over such risks through the receipt of reports from the committee. In addition, the full Board may assume oversight over a particular risk, even if the risk was initially overseen by a committee, when the Board deems it appropriate. The Board and committee reviews occur principally through the receipt of regular reports from Company management on these areas of risk and discussions with management regarding risk assessment and risk management.</w:t>
      </w:r>
    </w:p>
    <w:p>
      <w:pPr>
        <w:spacing w:after="0" w:line="187" w:lineRule="exact"/>
        <w:rPr>
          <w:sz w:val="20"/>
          <w:szCs w:val="20"/>
          <w:color w:val="auto"/>
        </w:rPr>
      </w:pPr>
    </w:p>
    <w:p>
      <w:pPr>
        <w:jc w:val="both"/>
        <w:ind w:firstLine="42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Committees. </w:t>
      </w:r>
      <w:r>
        <w:rPr>
          <w:rFonts w:ascii="Times New Roman" w:cs="Times New Roman" w:eastAsia="Times New Roman" w:hAnsi="Times New Roman"/>
          <w:sz w:val="18"/>
          <w:szCs w:val="18"/>
          <w:color w:val="auto"/>
        </w:rPr>
        <w:t>The Audit Committee maintains initial oversight over risks related to the integrity of the Company’s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control over financial reporting and disclosure controls, the performance of the Company’s independent registered public accounting firm and the operation of the Company’s ethics program. The Company’s Compensation Committee maintains initial oversight of risks related to the Company’s compensation practices, including practices related to equity programs, other executive or Company-wide incentive programs and hiring and retention. The Nominating and Corporate Governance Committee assists the Board of Directors in fulfilling its oversight responsibilities with respect to independence of Board members and compliance with SEC rules and Nasdaq listing standards with respect to Board and committee composition.</w:t>
      </w:r>
    </w:p>
    <w:p>
      <w:pPr>
        <w:spacing w:after="0" w:line="1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Full Board. </w:t>
      </w:r>
      <w:r>
        <w:rPr>
          <w:rFonts w:ascii="Times New Roman" w:cs="Times New Roman" w:eastAsia="Times New Roman" w:hAnsi="Times New Roman"/>
          <w:sz w:val="18"/>
          <w:szCs w:val="18"/>
          <w:color w:val="auto"/>
        </w:rPr>
        <w:t>At its regularly scheduled meetings, the Board generally receives several reports which include information relating to specific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faced by the Company. As appropriate, the Company’s Chief Executive Officer or other members of senior management provide operational reports, which include risks relating to the Company’s business. At each regularly scheduled Board meeting, the full Board also receives reports from committee chairpersons, which may include a discussion of risks initially overseen by the committees for discussion and input from the full Board. As noted above, in addition to these regular reports, the Board receives reports on specific areas of risk from time-to-time, such as cyclical or other risks that are not covered in the regular reports given to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 w:cs="Times New Roman" w:eastAsia="Times New Roman" w:hAnsi="Times New Roman"/>
          <w:sz w:val="18"/>
          <w:szCs w:val="18"/>
          <w:i w:val="1"/>
          <w:iCs w:val="1"/>
          <w:color w:val="auto"/>
        </w:rPr>
        <w:t>https://ir.agrify.com</w:t>
      </w:r>
      <w:r>
        <w:rPr>
          <w:rFonts w:ascii="Times New Roman" w:cs="Times New Roman" w:eastAsia="Times New Roman" w:hAnsi="Times New Roman"/>
          <w:sz w:val="18"/>
          <w:szCs w:val="18"/>
          <w:color w:val="auto"/>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Under the U.S. securities laws, directors, executive officers and persons holding more than 10% of the Company’s Common Stock must report their initial ownership of the Common Stock and any changes in that ownership to the SEC. The SEC has designated specific due dates for these reports and we must identify in this Annual Report on Form 10-K those persons who did not file these reports when due. Based solely on our review of the copies of these forms received by us or written representations furnished to us, we believe that, for the reporting period covering our 2022 fiscal year, our executive officers and directors complied with all their reporting requirements under Section 16(a) for this fiscal year, except for (i) Form 4s filed by Messrs. Chang and Wilcox on February 2, 2022 relating to transactions that occurred on January 28, 2022 due to an administrative oversight, (ii) a Form 4 filed by Mr. Holtzman on July 21, 2022 relating to a grant that occurred on July 14, 2022 due to a delay in obtaining EDGAR codes, (iii) Form 3s filed by Steve Drucker and Chris Benyo on July 28, 2022 relating to a reportable event on July 14, 2022 due to a delay in obtaining EDGAR codes, (iv) a Form 3 filed by David Kessler on August 5, 2022 relating to a reportable event on July 14, 2022 due to a delay in obtaining EDGAR codes, (v) a Form 3 filed by Timothy Hayden on November 14, 2022 relating to a reportable event on November 1, 2022 due to an administrative oversight, and (vi) a Form 4 filed by Timothy Oakes on December 19, 2022 relating to a grant that occurred on November 10, 2022 due to an administrative oversight.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Stockholder Nomination Procedures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on Form 10-K, there have been no material changes to the procedures by which stockholders may recommend nominees to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section describes the compensation paid, or payable, for the last two fiscal years to our named executive officers. Our named executive officers during the fiscal year ended December 31, 2022 were Raymond Chang, our Chairman and Chief Executive Officer, David Kessler, our Chief Science Officer, Thomas Massie, our former President and Chief Operating Officer, and Timothy Oakes, our former Chief Financial Officer. Mr. Massie resigned as President and Chief Operating Officer on July 8, 2022. Mr. Oakes resigned as Chief Financial Officer effective as of February 28,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summarizes the total compensation paid or earned by each of the named executive officers noted below for services rendered in all capacities, during the fiscal years ended December 31, 2022 and 2021. As a smaller reporting company, we are only required to provide two years of compensation information for our named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8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and Principal Position</w:t>
            </w:r>
          </w:p>
        </w:tc>
        <w:tc>
          <w:tcPr>
            <w:tcW w:w="6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60" w:type="dxa"/>
            <w:vAlign w:val="bottom"/>
            <w:gridSpan w:val="2"/>
          </w:tcPr>
          <w:p>
            <w:pPr>
              <w:jc w:val="center"/>
              <w:ind w:right="160"/>
              <w:spacing w:after="0" w:line="270" w:lineRule="exact"/>
              <w:rPr>
                <w:sz w:val="20"/>
                <w:szCs w:val="20"/>
                <w:color w:val="auto"/>
              </w:rPr>
            </w:pPr>
            <w:r>
              <w:rPr>
                <w:rFonts w:ascii="Times New Roman" w:cs="Times New Roman" w:eastAsia="Times New Roman" w:hAnsi="Times New Roman"/>
                <w:sz w:val="18"/>
                <w:szCs w:val="18"/>
                <w:b w:val="1"/>
                <w:bCs w:val="1"/>
                <w:color w:val="auto"/>
                <w:w w:val="94"/>
              </w:rPr>
              <w:t>Awards</w:t>
            </w:r>
            <w:r>
              <w:rPr>
                <w:rFonts w:ascii="Times New Roman" w:cs="Times New Roman" w:eastAsia="Times New Roman" w:hAnsi="Times New Roman"/>
                <w:sz w:val="29"/>
                <w:szCs w:val="29"/>
                <w:b w:val="1"/>
                <w:bCs w:val="1"/>
                <w:color w:val="auto"/>
                <w:w w:val="94"/>
                <w:vertAlign w:val="superscript"/>
              </w:rPr>
              <w:t>(1)</w:t>
            </w:r>
          </w:p>
        </w:tc>
        <w:tc>
          <w:tcPr>
            <w:tcW w:w="1000" w:type="dxa"/>
            <w:vAlign w:val="bottom"/>
            <w:gridSpan w:val="3"/>
          </w:tcPr>
          <w:p>
            <w:pPr>
              <w:jc w:val="right"/>
              <w:ind w:right="160"/>
              <w:spacing w:after="0" w:line="270" w:lineRule="exact"/>
              <w:rPr>
                <w:sz w:val="20"/>
                <w:szCs w:val="20"/>
                <w:color w:val="auto"/>
              </w:rPr>
            </w:pPr>
            <w:r>
              <w:rPr>
                <w:rFonts w:ascii="Times New Roman" w:cs="Times New Roman" w:eastAsia="Times New Roman" w:hAnsi="Times New Roman"/>
                <w:sz w:val="18"/>
                <w:szCs w:val="18"/>
                <w:b w:val="1"/>
                <w:bCs w:val="1"/>
                <w:color w:val="auto"/>
                <w:w w:val="99"/>
              </w:rPr>
              <w:t>Awards</w:t>
            </w:r>
            <w:r>
              <w:rPr>
                <w:rFonts w:ascii="Times New Roman" w:cs="Times New Roman" w:eastAsia="Times New Roman" w:hAnsi="Times New Roman"/>
                <w:sz w:val="29"/>
                <w:szCs w:val="29"/>
                <w:b w:val="1"/>
                <w:bCs w:val="1"/>
                <w:color w:val="auto"/>
                <w:w w:val="99"/>
                <w:vertAlign w:val="superscript"/>
              </w:rPr>
              <w:t>(1)</w:t>
            </w:r>
          </w:p>
        </w:tc>
        <w:tc>
          <w:tcPr>
            <w:tcW w:w="1500" w:type="dxa"/>
            <w:vAlign w:val="bottom"/>
            <w:gridSpan w:val="4"/>
          </w:tcPr>
          <w:p>
            <w:pPr>
              <w:jc w:val="center"/>
              <w:ind w:right="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520" w:type="dxa"/>
            <w:vAlign w:val="bottom"/>
            <w:gridSpan w:val="4"/>
          </w:tcPr>
          <w:p>
            <w:pPr>
              <w:ind w:left="80"/>
              <w:spacing w:after="0" w:line="270"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9"/>
                <w:szCs w:val="29"/>
                <w:b w:val="1"/>
                <w:bCs w:val="1"/>
                <w:color w:val="auto"/>
                <w:vertAlign w:val="superscript"/>
              </w:rPr>
              <w:t>(3)</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350,479</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471,000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$ 1,029,578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2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Chairman and Chief</w:t>
            </w:r>
          </w:p>
        </w:tc>
        <w:tc>
          <w:tcPr>
            <w:tcW w:w="64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290,000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4,559,100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325,000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31,951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5,206,051</w:t>
            </w:r>
          </w:p>
        </w:tc>
        <w:tc>
          <w:tcPr>
            <w:tcW w:w="0" w:type="dxa"/>
            <w:vAlign w:val="bottom"/>
          </w:tcPr>
          <w:p>
            <w:pPr>
              <w:spacing w:after="0"/>
              <w:rPr>
                <w:sz w:val="1"/>
                <w:szCs w:val="1"/>
                <w:color w:val="auto"/>
              </w:rPr>
            </w:pPr>
          </w:p>
        </w:tc>
      </w:tr>
      <w:tr>
        <w:trPr>
          <w:trHeight w:val="196"/>
        </w:trPr>
        <w:tc>
          <w:tcPr>
            <w:tcW w:w="2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David Kessler</w:t>
            </w:r>
          </w:p>
        </w:tc>
        <w:tc>
          <w:tcPr>
            <w:tcW w:w="6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1140" w:type="dxa"/>
            <w:vAlign w:val="bottom"/>
            <w:gridSpan w:val="3"/>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220,233</w:t>
            </w:r>
          </w:p>
        </w:tc>
        <w:tc>
          <w:tcPr>
            <w:tcW w:w="106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177,550</w:t>
            </w:r>
          </w:p>
        </w:tc>
        <w:tc>
          <w:tcPr>
            <w:tcW w:w="140" w:type="dxa"/>
            <w:vAlign w:val="bottom"/>
          </w:tcPr>
          <w:p>
            <w:pPr>
              <w:spacing w:after="0"/>
              <w:rPr>
                <w:sz w:val="17"/>
                <w:szCs w:val="17"/>
                <w:color w:val="auto"/>
              </w:rPr>
            </w:pPr>
          </w:p>
        </w:tc>
        <w:tc>
          <w:tcPr>
            <w:tcW w:w="8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32,164</w:t>
            </w:r>
          </w:p>
        </w:tc>
        <w:tc>
          <w:tcPr>
            <w:tcW w:w="90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479,947</w:t>
            </w:r>
          </w:p>
        </w:tc>
        <w:tc>
          <w:tcPr>
            <w:tcW w:w="0" w:type="dxa"/>
            <w:vAlign w:val="bottom"/>
          </w:tcPr>
          <w:p>
            <w:pPr>
              <w:spacing w:after="0"/>
              <w:rPr>
                <w:sz w:val="1"/>
                <w:szCs w:val="1"/>
                <w:color w:val="auto"/>
              </w:rPr>
            </w:pPr>
          </w:p>
        </w:tc>
      </w:tr>
      <w:tr>
        <w:trPr>
          <w:trHeight w:val="23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Science Officer</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210,750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29,919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671,369</w:t>
            </w:r>
          </w:p>
        </w:tc>
        <w:tc>
          <w:tcPr>
            <w:tcW w:w="0" w:type="dxa"/>
            <w:vAlign w:val="bottom"/>
          </w:tcPr>
          <w:p>
            <w:pPr>
              <w:spacing w:after="0"/>
              <w:rPr>
                <w:sz w:val="1"/>
                <w:szCs w:val="1"/>
                <w:color w:val="auto"/>
              </w:rPr>
            </w:pPr>
          </w:p>
        </w:tc>
      </w:tr>
      <w:tr>
        <w:trPr>
          <w:trHeight w:val="256"/>
        </w:trPr>
        <w:tc>
          <w:tcPr>
            <w:tcW w:w="22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Thomas Massie</w:t>
            </w:r>
            <w:r>
              <w:rPr>
                <w:rFonts w:ascii="Times New Roman" w:cs="Times New Roman" w:eastAsia="Times New Roman" w:hAnsi="Times New Roman"/>
                <w:sz w:val="29"/>
                <w:szCs w:val="29"/>
                <w:color w:val="auto"/>
                <w:vertAlign w:val="superscript"/>
              </w:rPr>
              <w:t>(4)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655,605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384,000</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117,033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33,033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1,189,671</w:t>
            </w:r>
          </w:p>
        </w:tc>
        <w:tc>
          <w:tcPr>
            <w:tcW w:w="0" w:type="dxa"/>
            <w:vAlign w:val="bottom"/>
          </w:tcPr>
          <w:p>
            <w:pPr>
              <w:spacing w:after="0"/>
              <w:rPr>
                <w:sz w:val="1"/>
                <w:szCs w:val="1"/>
                <w:color w:val="auto"/>
              </w:rPr>
            </w:pPr>
          </w:p>
        </w:tc>
      </w:tr>
      <w:tr>
        <w:trPr>
          <w:trHeight w:val="196"/>
        </w:trPr>
        <w:tc>
          <w:tcPr>
            <w:tcW w:w="222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w w:val="99"/>
              </w:rPr>
              <w:t>Former President and Chief</w:t>
            </w:r>
          </w:p>
        </w:tc>
        <w:tc>
          <w:tcPr>
            <w:tcW w:w="64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70,686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828,137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42,033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943,519</w:t>
            </w:r>
          </w:p>
        </w:tc>
        <w:tc>
          <w:tcPr>
            <w:tcW w:w="0" w:type="dxa"/>
            <w:vAlign w:val="bottom"/>
          </w:tcPr>
          <w:p>
            <w:pPr>
              <w:spacing w:after="0"/>
              <w:rPr>
                <w:sz w:val="1"/>
                <w:szCs w:val="1"/>
                <w:color w:val="auto"/>
              </w:rPr>
            </w:pPr>
          </w:p>
        </w:tc>
      </w:tr>
      <w:tr>
        <w:trPr>
          <w:trHeight w:val="236"/>
        </w:trPr>
        <w:tc>
          <w:tcPr>
            <w:tcW w:w="2220" w:type="dxa"/>
            <w:vAlign w:val="bottom"/>
          </w:tcPr>
          <w:p>
            <w:pPr>
              <w:spacing w:after="0" w:line="236" w:lineRule="exact"/>
              <w:rPr>
                <w:sz w:val="20"/>
                <w:szCs w:val="20"/>
                <w:color w:val="auto"/>
              </w:rPr>
            </w:pPr>
            <w:r>
              <w:rPr>
                <w:rFonts w:ascii="Times New Roman" w:cs="Times New Roman" w:eastAsia="Times New Roman" w:hAnsi="Times New Roman"/>
                <w:sz w:val="17"/>
                <w:szCs w:val="17"/>
                <w:color w:val="auto"/>
              </w:rPr>
              <w:t>Timothy Oakes</w:t>
            </w:r>
            <w:r>
              <w:rPr>
                <w:rFonts w:ascii="Times New Roman" w:cs="Times New Roman" w:eastAsia="Times New Roman" w:hAnsi="Times New Roman"/>
                <w:sz w:val="27"/>
                <w:szCs w:val="27"/>
                <w:color w:val="auto"/>
                <w:vertAlign w:val="superscript"/>
              </w:rPr>
              <w:t>(5)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264,454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247,625</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78,022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19,626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609,727</w:t>
            </w: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63,667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5"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based on the aggregate grant date fair value of stock awards and stock option awards made to the Named Executive Officers in the applicable year. The reported amounts are calculated in accordance with the provisions of ASC Topic 718. See Note 13 of the notes to consolidated financial statements included elsewhere in this Annual Report on Form 10-K regarding assumptions underlying the valuation of the Company’s equity awards in 2022 and 2021.</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amounts earned by each Named Executive Officer under the Company’s performance-based annual incentive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payment of health plan premiums as per Company policy.</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Massie resigned as President and Chief Operating Officer on July 8, 2022. Mr. Massie’s reported salary amount for the year ended December 31, 2022 includes $500,000 in severance payments.</w:t>
      </w: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Oakes resigned as Chief Financial Officer effective February 28,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3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9020" w:type="dxa"/>
            <w:vAlign w:val="bottom"/>
            <w:gridSpan w:val="16"/>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outstanding equity awards for Named Executive Officers as of December 31, 2022.</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94"/>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gridSpan w:val="4"/>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60" w:type="dxa"/>
            <w:vAlign w:val="bottom"/>
          </w:tcPr>
          <w:p>
            <w:pPr>
              <w:spacing w:after="0"/>
              <w:rPr>
                <w:sz w:val="16"/>
                <w:szCs w:val="16"/>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20" w:type="dxa"/>
            <w:vAlign w:val="bottom"/>
          </w:tcPr>
          <w:p>
            <w:pPr>
              <w:spacing w:after="0"/>
              <w:rPr>
                <w:sz w:val="18"/>
                <w:szCs w:val="18"/>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45"/>
        </w:trPr>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26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20" w:type="dxa"/>
            <w:vAlign w:val="bottom"/>
          </w:tcPr>
          <w:p>
            <w:pPr>
              <w:spacing w:after="0"/>
              <w:rPr>
                <w:sz w:val="21"/>
                <w:szCs w:val="21"/>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That Have</w:t>
            </w: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20" w:type="dxa"/>
            <w:vAlign w:val="bottom"/>
          </w:tcPr>
          <w:p>
            <w:pPr>
              <w:spacing w:after="0"/>
              <w:rPr>
                <w:sz w:val="20"/>
                <w:szCs w:val="20"/>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r>
      <w:tr>
        <w:trPr>
          <w:trHeight w:val="198"/>
        </w:trPr>
        <w:tc>
          <w:tcPr>
            <w:tcW w:w="10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Raymond</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7/20/20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2,768.00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9,990</w:t>
            </w: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Kessler</w:t>
            </w:r>
          </w:p>
        </w:tc>
        <w:tc>
          <w:tcPr>
            <w:tcW w:w="12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5/6/20</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120" w:type="dxa"/>
            <w:vAlign w:val="bottom"/>
          </w:tcPr>
          <w:p>
            <w:pPr>
              <w:spacing w:after="0"/>
              <w:rPr>
                <w:sz w:val="17"/>
                <w:szCs w:val="17"/>
                <w:color w:val="auto"/>
              </w:rPr>
            </w:pPr>
          </w:p>
        </w:tc>
        <w:tc>
          <w:tcPr>
            <w:tcW w:w="130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168</w:t>
            </w:r>
          </w:p>
        </w:tc>
        <w:tc>
          <w:tcPr>
            <w:tcW w:w="132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456.00</w:t>
            </w:r>
          </w:p>
        </w:tc>
        <w:tc>
          <w:tcPr>
            <w:tcW w:w="12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5/6/30</w:t>
            </w:r>
          </w:p>
        </w:tc>
        <w:tc>
          <w:tcPr>
            <w:tcW w:w="100" w:type="dxa"/>
            <w:vAlign w:val="bottom"/>
          </w:tcPr>
          <w:p>
            <w:pPr>
              <w:spacing w:after="0"/>
              <w:rPr>
                <w:sz w:val="17"/>
                <w:szCs w:val="17"/>
                <w:color w:val="auto"/>
              </w:rPr>
            </w:pPr>
          </w:p>
        </w:tc>
        <w:tc>
          <w:tcPr>
            <w:tcW w:w="12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7/20/20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7/20/30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10/19/20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10/19/30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2/17/21</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(3)</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2,768.00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2/17/31</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8/8/22</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3,330</w:t>
            </w:r>
          </w:p>
        </w:tc>
      </w:tr>
      <w:tr>
        <w:trPr>
          <w:trHeight w:val="234"/>
        </w:trPr>
        <w:tc>
          <w:tcPr>
            <w:tcW w:w="1080" w:type="dxa"/>
            <w:vAlign w:val="bottom"/>
          </w:tcPr>
          <w:p>
            <w:pPr>
              <w:spacing w:after="0"/>
              <w:rPr>
                <w:sz w:val="20"/>
                <w:szCs w:val="20"/>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9/30/22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1,665</w:t>
            </w: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Timothy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Oakes</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10/19/20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10/19/30</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2/17/21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2,768.00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4,163</w:t>
            </w:r>
          </w:p>
        </w:tc>
      </w:tr>
      <w:tr>
        <w:trPr>
          <w:trHeight w:val="216"/>
        </w:trPr>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w:t>
            </w: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Massie</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5/6/20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8/10/20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7/20/30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10/19/20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10/19/30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12/21/20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12/21/30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8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2/17/21</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2,768.00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2/17/31</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80" w:type="dxa"/>
            <w:vAlign w:val="bottom"/>
          </w:tcPr>
          <w:p>
            <w:pPr>
              <w:spacing w:after="0"/>
              <w:rPr>
                <w:sz w:val="20"/>
                <w:szCs w:val="20"/>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7"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replaced previous options awards issued on December 27, 2019, which were cancelled in May 2020. A portion of the May 6, 2020 option awards re-issued were partially vest at the time of re-issuance, with the remaining unvested portion of the stock options vesting between 24 and 48 months. 50% of the options vested upon the initial public offering.</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options granted will vest 12 months from the date of grant with the balance vesting in 36 equal monthly installments thereafter. 50% of the options vested upon the initial public offering.</w:t>
      </w: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will vest in 36 equal monthly installments from the date of grant.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options granted will vest 12 months from the date of grant with the balance vesting in 24 equal monthly installments thereafter.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the restricted stock units vest on each of the 1-year, 2-year and 3-year anniversaries of grant.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the restricted stock units vest on each of November 10, 2022, November 10, 2023 and November 10, 2024.</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his separation agreement, all of Mr. Massie’s options vested upon his departure in July 2022 and remain exercisable through December 31, 2023.</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Employment and Separation Agreements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that it is in the Company’s best interest as well as the interests of its stockholders to offer severance and change in control benefits to certain of its Named Executive Officers. The Company competes for talent in a highly competitive market in which companies routinely offer similar benefits to senior executives. The Compensation Committee believes that providing severance and change in control benefits to its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spacing w:after="0" w:line="187"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Employment Agreement for Mr. Chang</w:t>
      </w:r>
      <w:r>
        <w:rPr>
          <w:rFonts w:ascii="Times New Roman" w:cs="Times New Roman" w:eastAsia="Times New Roman" w:hAnsi="Times New Roman"/>
          <w:sz w:val="18"/>
          <w:szCs w:val="18"/>
          <w:color w:val="auto"/>
        </w:rPr>
        <w:t>: On January 4, 2021, the Company entered into a three-year employment agreement with Mr. Chang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Chief Executive Officer, effective February 1, 2021 (the “Mr. Chang’s Employment Agreement”). The Mr. Chang’s Employment Agreement, at the end of the initial three-year term, if not terminated by either Mr. Chang or the Company, automatically renews for a successive three-year period.</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Mr. Chang’s Employment Agreement establishes a minimum annual base salary level of $300,000 and provides for a discretionary bonus of $300,000, with payment subject to Mr. Chang being employed by the Company at the time of payment.</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agreement, if Mr. Chang’s employment is terminated by the Company without cause, or in connection with a change of control, or by Mr. Chang for good reason, Mr. Chang will be entitled to receive certain severance benefits, including severance pay equal to the greater of (a) 300% of his annual base salary and (b) $1,000,000. Mr. Chang will also be eligible to receive insurance benefits for a period of up to twelve months following his termination of employment.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76" w:lineRule="exact"/>
        <w:rPr>
          <w:sz w:val="20"/>
          <w:szCs w:val="20"/>
          <w:color w:val="auto"/>
        </w:rPr>
      </w:pPr>
    </w:p>
    <w:p>
      <w:pPr>
        <w:jc w:val="both"/>
        <w:ind w:firstLine="432"/>
        <w:spacing w:after="0" w:line="289" w:lineRule="auto"/>
        <w:rPr>
          <w:sz w:val="20"/>
          <w:szCs w:val="20"/>
          <w:color w:val="auto"/>
        </w:rPr>
      </w:pPr>
      <w:r>
        <w:rPr>
          <w:rFonts w:ascii="Times New Roman" w:cs="Times New Roman" w:eastAsia="Times New Roman" w:hAnsi="Times New Roman"/>
          <w:sz w:val="17"/>
          <w:szCs w:val="17"/>
          <w:color w:val="auto"/>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spacing w:after="0" w:line="156"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Employment Offer Letter for Mr. Kessler</w:t>
      </w:r>
      <w:r>
        <w:rPr>
          <w:rFonts w:ascii="Times New Roman" w:cs="Times New Roman" w:eastAsia="Times New Roman" w:hAnsi="Times New Roman"/>
          <w:sz w:val="18"/>
          <w:szCs w:val="18"/>
          <w:color w:val="auto"/>
        </w:rPr>
        <w:t>: On January 20, 2020, the Company provided a letter of employment offer to Mr. Kessler, as amended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updated offer letter effective as of August 9, 2022 (as amended, the “Offer Letter”).</w:t>
      </w:r>
    </w:p>
    <w:p>
      <w:pPr>
        <w:spacing w:after="0" w:line="16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Mr. Kessler’s Offer Letter established a minimum annual base salary level of $250,000 and provided for a discretionary performance-based bonus of $150,000. Mr. Kessler is an at will employee of the Company, and there are no severance benefits.</w:t>
      </w:r>
    </w:p>
    <w:p>
      <w:pPr>
        <w:spacing w:after="0" w:line="160"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Employment Agreement for Mr. Massie</w:t>
      </w:r>
      <w:r>
        <w:rPr>
          <w:rFonts w:ascii="Times New Roman" w:cs="Times New Roman" w:eastAsia="Times New Roman" w:hAnsi="Times New Roman"/>
          <w:sz w:val="18"/>
          <w:szCs w:val="18"/>
          <w:color w:val="auto"/>
        </w:rPr>
        <w:t>: On November 10, 2021, the Company entered into a two-year employment agreement with Mr. Massie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President and Chief Operating Officer, effective November 10, 2021. The agreement, at the end of the initial two-year term, if not terminated by either Mr. Massie or the Company, would automatically renew for successive one-year periods.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Mr. Massie’s Employment Agreement established a minimum annual base salary level of $300,000 and provided for a discretionary performance-based bonus of $300,000, payable in quarterly $75,000 installments, with payment subject to Mr. Massie being employed by the Company at the time of payment. The Board could from time to time elect to pay additional bonuses based on performance that exceeded the mutually agreed upon goals.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agreement, if Mr. Massie’s employment was terminated by the Company without cause, or in connection with a change of control, or by Mr. Massie for good reason, Mr. Massie would be entitled to receive certain severance benefits, including severance pay equal to the greater of (a) 100% of his annual base salary plus his projected bonus for such fiscal year and (b) $1,000,000. Mr. Massie would also be eligible to receive insurance benefits for a period of up to twelve months following his termination of employment. We could terminate Mr. Massie’s employment for cause only if we receive the unanimous agreement of our board of directors. In addition, if we terminated his employment without cause, or if Mr. Massie resigned for good reason, or upon the occurrence of a change of control, all of his issued but unvested options would immediately vest.</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to the terms of our standard invention assignment, restrictive covenants, and confidentiality agreement, Mr. Massie’s employment agreement contained confidentiality, non-solicitation, and non-competition provisions, whereby Mr. Massie is subject to non-solicitation restrictions for a period of at least one year and to non-competition restrictions for a period of at least six months following his employment period. Mr. Massie resigned as President and Chief Operating Officer effective July 8, 2022.</w:t>
      </w:r>
    </w:p>
    <w:p>
      <w:pPr>
        <w:spacing w:after="0" w:line="17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Separation Agreement for Mr. Massie</w:t>
      </w:r>
      <w:r>
        <w:rPr>
          <w:rFonts w:ascii="Times New Roman" w:cs="Times New Roman" w:eastAsia="Times New Roman" w:hAnsi="Times New Roman"/>
          <w:sz w:val="18"/>
          <w:szCs w:val="18"/>
          <w:color w:val="auto"/>
        </w:rPr>
        <w:t>: On July 8, 2022, we entered into a separation agreement with Mr. Massie (the “Separation Agreement”).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Separation Agreement, Mr. Massie will receive (a) an aggregate of $1,000,000 in severance payments, payable in monthly installments of $83,333.33 from July 2022 through December 2022 and one installment of $500,000 in January 2023, (b) continuation of health insurance benefits through June 30, 2023, subject to certain conditions, (c) full vesting of all of Mr. Massie’s outstanding stock options and restricted stock units, and (d) an extended exercise period for Mr. Massie’s outstanding stock options through December 31, 2023.</w:t>
      </w:r>
    </w:p>
    <w:p>
      <w:pPr>
        <w:spacing w:after="0" w:line="183"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Employment Agreement for Mr. Oakes</w:t>
      </w:r>
      <w:r>
        <w:rPr>
          <w:rFonts w:ascii="Times New Roman" w:cs="Times New Roman" w:eastAsia="Times New Roman" w:hAnsi="Times New Roman"/>
          <w:sz w:val="18"/>
          <w:szCs w:val="18"/>
          <w:color w:val="auto"/>
        </w:rPr>
        <w:t>: On November 10, 2021, the Company entered into a two-year employment agreement with Mr. Oakes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Chief Financial Officer, effective November 10, 2021. The agreement, at the end of the initial one-year term, if not terminated by either Mr. Oakes or the Company, automatically renews for successive one-year periods.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Mr. Oakes’ Employment Agreement established a minimum annual base salary level of $250,000 and provided for a discretionary performance-based bonus of $200,000, payable in quarterly $50,000 installments, with payment subject to Mr. Oakes being employed by the Company at the time of payment. The Board could from time to time elect to pay additional bonuses based on performance that exceeds the mutually agreed upon goals. On August 8, 2022, based on a report from its independent compensation consultant and discussions with the consultant, the Compensation Committee approved an increase to Mr. Oakes’ base salary from $250,000 to $275,000 per year, and an increase in his maximum discretionary bonus opportunity from $200,000 to $250,000 per year.</w:t>
      </w:r>
    </w:p>
    <w:p>
      <w:pPr>
        <w:spacing w:after="0" w:line="18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agreement, if Mr. Oakes’ employment was terminated by the Company without cause, or in connection with a change of control, or by Mr. Oakes for good reason, Mr. Oakes would be entitled to receive certain severance benefits, including severance pay equal to 100% of his annual base salary plus his projected bonus for such fiscal year. Mr. Oakes would also be eligible to receive insurance benefits for a period of up to twelve months following his termination of employment. We could terminate Mr. Oakes’ employment for cause only if we received the unanimous agreement of our board of directors. In addition, if we terminated his employment without cause, or if Mr. Oakes resigned for good reason, or upon the occurrence of a change of control, all of his issued but unvested options would immediately vest.</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to the terms of our standard invention assignment, restrictive covenants, and confidentiality agreement, Mr. Oakes’ employment agreement contained confidentiality, non-solicitation, and non-competition provisions, whereby Mr. Oakes is subject to non-solicitation restrictions for a period of at least one year and to non-competition restrictions for a period of at least six months following his employment period. Mr. Oakes resigned as Chief Financial Officer effective February 28,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Potential Termination Payments and Equity Awards</w:t>
      </w:r>
    </w:p>
    <w:p>
      <w:pPr>
        <w:spacing w:after="0" w:line="229"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The Employment Agreements for our Named Executive Officers, as described above, generally provide for cash payment in the event that their employment with the Company is terminated in certain circumstances by the Company without cause or by such Named Executive Officer for Good Reason (1) outside of a change of control and (2) in connection with a change of control. The potential payouts each Named Executive Officer may be eligible to receive in either instance under their respective employment agreements is calculated based upon the measurement criteria described above.</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If the Named Executive Officers covered by employment agreements or severance agreements had their employment terminated as of December 31, 2022, the Named Executive Officers would have been eligible to receive payments, depending upon whether the termination was for Good Reason or based upon a Change in Control, as set forth in the following table.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Payout Table</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termination payouts for Named Executive Officers as of December 31, 2022. These disclosed amounts are estimates only and do not necessarily reflect the actual amounts that would be paid to the Named Executive Officers, which would only be known at the time that they become eligible for payment and would only be payable if the events set forth in the table below occur.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Potential Termination Payments</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9"/>
          </w:tcPr>
          <w:p>
            <w:pPr>
              <w:jc w:val="right"/>
              <w:ind w:right="200"/>
              <w:spacing w:after="0" w:line="256" w:lineRule="exact"/>
              <w:rPr>
                <w:sz w:val="20"/>
                <w:szCs w:val="20"/>
                <w:color w:val="auto"/>
              </w:rPr>
            </w:pPr>
            <w:r>
              <w:rPr>
                <w:rFonts w:ascii="Times New Roman" w:cs="Times New Roman" w:eastAsia="Times New Roman" w:hAnsi="Times New Roman"/>
                <w:sz w:val="18"/>
                <w:szCs w:val="18"/>
                <w:b w:val="1"/>
                <w:bCs w:val="1"/>
                <w:color w:val="auto"/>
                <w:w w:val="97"/>
              </w:rPr>
              <w:t>Without Cause or for Good Reason</w:t>
            </w:r>
            <w:r>
              <w:rPr>
                <w:rFonts w:ascii="Times New Roman" w:cs="Times New Roman" w:eastAsia="Times New Roman" w:hAnsi="Times New Roman"/>
                <w:sz w:val="29"/>
                <w:szCs w:val="29"/>
                <w:b w:val="1"/>
                <w:bCs w:val="1"/>
                <w:color w:val="auto"/>
                <w:w w:val="97"/>
                <w:vertAlign w:val="superscript"/>
              </w:rPr>
              <w:t>(1)</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5"/>
          </w:tcPr>
          <w:p>
            <w:pPr>
              <w:ind w:left="100"/>
              <w:spacing w:after="0" w:line="256" w:lineRule="exact"/>
              <w:rPr>
                <w:sz w:val="20"/>
                <w:szCs w:val="20"/>
                <w:color w:val="auto"/>
              </w:rPr>
            </w:pP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29"/>
                <w:szCs w:val="29"/>
                <w:b w:val="1"/>
                <w:bCs w:val="1"/>
                <w:color w:val="auto"/>
                <w:vertAlign w:val="superscript"/>
              </w:rPr>
              <w:t>(2)</w:t>
            </w:r>
          </w:p>
        </w:tc>
        <w:tc>
          <w:tcPr>
            <w:tcW w:w="8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20"/>
                <w:szCs w:val="20"/>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4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4"/>
              </w:rPr>
              <w:t>Benefits</w:t>
            </w:r>
            <w:r>
              <w:rPr>
                <w:rFonts w:ascii="Times New Roman" w:cs="Times New Roman" w:eastAsia="Times New Roman" w:hAnsi="Times New Roman"/>
                <w:sz w:val="29"/>
                <w:szCs w:val="29"/>
                <w:b w:val="1"/>
                <w:bCs w:val="1"/>
                <w:color w:val="auto"/>
                <w:w w:val="94"/>
                <w:vertAlign w:val="superscript"/>
              </w:rPr>
              <w:t>(3)</w:t>
            </w:r>
          </w:p>
        </w:tc>
        <w:tc>
          <w:tcPr>
            <w:tcW w:w="2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and Bonus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160" w:type="dxa"/>
            <w:vAlign w:val="bottom"/>
            <w:gridSpan w:val="3"/>
          </w:tcPr>
          <w:p>
            <w:pPr>
              <w:jc w:val="center"/>
              <w:ind w:right="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Acceleration</w:t>
            </w:r>
            <w:r>
              <w:rPr>
                <w:rFonts w:ascii="Times New Roman" w:cs="Times New Roman" w:eastAsia="Times New Roman" w:hAnsi="Times New Roman"/>
                <w:sz w:val="29"/>
                <w:szCs w:val="29"/>
                <w:b w:val="1"/>
                <w:bCs w:val="1"/>
                <w:color w:val="auto"/>
                <w:w w:val="95"/>
                <w:vertAlign w:val="superscript"/>
              </w:rPr>
              <w:t>(4)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Bonus</w:t>
            </w:r>
          </w:p>
        </w:tc>
        <w:tc>
          <w:tcPr>
            <w:tcW w:w="18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Acceleration</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10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Raymond</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1,050,000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8,598</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1,094,456</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1,050,000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$ 1,094,456</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Oakes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19,626</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545,287</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525,000</w:t>
            </w:r>
          </w:p>
        </w:tc>
        <w:tc>
          <w:tcPr>
            <w:tcW w:w="1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19,626</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545,287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circumstances involving termination without cause or for Good Reason outside of any Change in Control.</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circumstances involving termination without cause or for Good Reason in connection with a Change in Control.</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health, dental, and life insurance coverage for a period of twelve months. The reported value is based upon the type of insurance coverage carried by each Named Executive Officer as of December 31, 2022 and is valued at the premiums in effect on December 31, 2022.</w:t>
      </w:r>
    </w:p>
    <w:p>
      <w:pPr>
        <w:jc w:val="both"/>
        <w:ind w:left="340" w:hanging="332"/>
        <w:spacing w:after="0" w:line="255"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unvested outstanding equity awards contain acceleration provisions, and assuming the applicability and operation of such provisions as of December 31, 2022, the Named Executive Officer could have realized the following values from acceleration (based on the closing price of $6.66 on December 30, 2022 over any applicable exercise price or par value payment obligation for such accelerated awards).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Agreements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Compensation of Outside Directors</w:t>
      </w:r>
    </w:p>
    <w:p>
      <w:pPr>
        <w:spacing w:after="0" w:line="227"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Annual Cash Compensation. </w:t>
      </w:r>
      <w:r>
        <w:rPr>
          <w:rFonts w:ascii="Times New Roman" w:cs="Times New Roman" w:eastAsia="Times New Roman" w:hAnsi="Times New Roman"/>
          <w:sz w:val="18"/>
          <w:szCs w:val="18"/>
          <w:color w:val="auto"/>
        </w:rPr>
        <w:t>Each of the Company’s non-employee directors receives an annual cash retainer of $24,000, payable in twelve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installments. In addition, the following Committee retainer amounts are payable to Committee members.</w:t>
      </w:r>
    </w:p>
    <w:p>
      <w:pPr>
        <w:spacing w:after="0" w:line="16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Audit Committee Chair receives an annual retainer of $5,000 per year, while Audit Committee members are entitled to receive an annual retainer of $1,000. The annual retainers are paid in twelve monthly installments and are in addition to the annual cash retainer for non-employee directors described above.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Compensation Committee Chair receives an annual retainer of $5,000 per year, while Compensation Committee members are entitled to receive an annual retainer of $1,000. The annual retainers are paid in twelve monthly installments and are in addition to the annual cash retainer for non-employee directors described above.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Chair receives an annual retainer of $5,000 per year, while Nominating and Corporate Governance Committee members are entitled to receive an annual retainer of $1,000. The annual retainers are paid in twelve monthly installments and are in addition to the annual cash retainer for non-employee directors described above.</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Currently, there are no annual retainer fees awarded to either the Merger and Acquisitions Committee Chair or the Merger and Acquisition Committee members.</w:t>
      </w:r>
    </w:p>
    <w:p>
      <w:pPr>
        <w:spacing w:after="0" w:line="160"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Options and Share-Based Awards. </w:t>
      </w:r>
      <w:r>
        <w:rPr>
          <w:rFonts w:ascii="Times New Roman" w:cs="Times New Roman" w:eastAsia="Times New Roman" w:hAnsi="Times New Roman"/>
          <w:sz w:val="18"/>
          <w:szCs w:val="18"/>
          <w:color w:val="auto"/>
        </w:rPr>
        <w:t>Following initial election to the Company’s Board of Directors, non-employee directors are eligible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restricted stock units as determined by the Board.</w:t>
      </w:r>
    </w:p>
    <w:p>
      <w:pPr>
        <w:spacing w:after="0" w:line="16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Board compensation guidelines described above are designed to (a) compensate Committee members through Committee cash retainers in order to provide compensation commensurate with relevant service level commitments for Committee service and (b) set overall Board compensation at a level that is competitive with market norms, in order to enable the Company to attract potential new directors and provide market-based remuneration for existing directors.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Non-Equity Incentive Plan Compensation. </w:t>
      </w:r>
      <w:r>
        <w:rPr>
          <w:rFonts w:ascii="Times New Roman" w:cs="Times New Roman" w:eastAsia="Times New Roman" w:hAnsi="Times New Roman"/>
          <w:sz w:val="18"/>
          <w:szCs w:val="18"/>
          <w:color w:val="auto"/>
        </w:rPr>
        <w:t>We do not provide Non-Equity Incentive Compensation to our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Pension Benefits. </w:t>
      </w:r>
      <w:r>
        <w:rPr>
          <w:rFonts w:ascii="Times New Roman" w:cs="Times New Roman" w:eastAsia="Times New Roman" w:hAnsi="Times New Roman"/>
          <w:sz w:val="18"/>
          <w:szCs w:val="18"/>
          <w:color w:val="auto"/>
        </w:rPr>
        <w:t>We do not have a pension plan and therefore, do not offer any such pension arrangements to our directors.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Outside Directors Compensation Table for 2022</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table below provides compensation information for the year ended December 31, 2022 for each non-employee member of our Board of Directors. Stuart Wilcox served on the Board until July 14, 2022, when he resigned in connection with his appointment as Chief Operating Officer, and Thomas Massie served on the Board until July 8, 2022, when he resigned from the Board and from his position as President and Chief Operating Officer. Max Holtzman was appointed to the Board on July 14,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Pension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Paid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w:t>
            </w:r>
          </w:p>
        </w:tc>
        <w:tc>
          <w:tcPr>
            <w:tcW w:w="120" w:type="dxa"/>
            <w:vAlign w:val="bottom"/>
          </w:tcPr>
          <w:p>
            <w:pPr>
              <w:spacing w:after="0"/>
              <w:rPr>
                <w:sz w:val="18"/>
                <w:szCs w:val="18"/>
                <w:color w:val="auto"/>
              </w:rPr>
            </w:pPr>
          </w:p>
        </w:tc>
        <w:tc>
          <w:tcPr>
            <w:tcW w:w="980" w:type="dxa"/>
            <w:vAlign w:val="bottom"/>
            <w:gridSpan w:val="3"/>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5"/>
                <w:szCs w:val="25"/>
                <w:b w:val="1"/>
                <w:bCs w:val="1"/>
                <w:color w:val="auto"/>
                <w:vertAlign w:val="superscript"/>
              </w:rPr>
              <w:t>(2)</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84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b w:val="1"/>
                <w:bCs w:val="1"/>
                <w:color w:val="auto"/>
                <w:w w:val="94"/>
              </w:rPr>
              <w:t>Cash</w:t>
            </w:r>
            <w:r>
              <w:rPr>
                <w:rFonts w:ascii="Times New Roman" w:cs="Times New Roman" w:eastAsia="Times New Roman" w:hAnsi="Times New Roman"/>
                <w:sz w:val="29"/>
                <w:szCs w:val="29"/>
                <w:b w:val="1"/>
                <w:bCs w:val="1"/>
                <w:color w:val="auto"/>
                <w:w w:val="94"/>
                <w:vertAlign w:val="superscript"/>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15"/>
                <w:szCs w:val="15"/>
                <w:b w:val="1"/>
                <w:bCs w:val="1"/>
                <w:color w:val="auto"/>
                <w:w w:val="91"/>
              </w:rPr>
              <w:t>(3)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center"/>
              <w:ind w:right="12"/>
              <w:spacing w:after="0"/>
              <w:rPr>
                <w:sz w:val="20"/>
                <w:szCs w:val="20"/>
                <w:color w:val="auto"/>
              </w:rPr>
            </w:pPr>
            <w:r>
              <w:rPr>
                <w:rFonts w:ascii="Times New Roman" w:cs="Times New Roman" w:eastAsia="Times New Roman" w:hAnsi="Times New Roman"/>
                <w:sz w:val="15"/>
                <w:szCs w:val="15"/>
                <w:b w:val="1"/>
                <w:bCs w:val="1"/>
                <w:color w:val="auto"/>
              </w:rPr>
              <w:t>(4)</w:t>
            </w:r>
          </w:p>
        </w:tc>
        <w:tc>
          <w:tcPr>
            <w:tcW w:w="120" w:type="dxa"/>
            <w:vAlign w:val="bottom"/>
          </w:tcPr>
          <w:p>
            <w:pPr>
              <w:spacing w:after="0"/>
              <w:rPr>
                <w:sz w:val="22"/>
                <w:szCs w:val="22"/>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22"/>
                <w:szCs w:val="22"/>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Guichao Hua</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18,422</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42,815</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J. Sokolow</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35,005</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38,089</w:t>
            </w:r>
          </w:p>
        </w:tc>
        <w:tc>
          <w:tcPr>
            <w:tcW w:w="0" w:type="dxa"/>
            <w:vAlign w:val="bottom"/>
          </w:tcPr>
          <w:p>
            <w:pPr>
              <w:spacing w:after="0"/>
              <w:rPr>
                <w:sz w:val="1"/>
                <w:szCs w:val="1"/>
                <w:color w:val="auto"/>
              </w:rPr>
            </w:pPr>
          </w:p>
        </w:tc>
      </w:tr>
      <w:tr>
        <w:trPr>
          <w:trHeight w:val="39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Stuart Wilcox </w:t>
            </w:r>
            <w:r>
              <w:rPr>
                <w:rFonts w:ascii="Times New Roman" w:cs="Times New Roman" w:eastAsia="Times New Roman" w:hAnsi="Times New Roman"/>
                <w:sz w:val="29"/>
                <w:szCs w:val="29"/>
                <w:color w:val="auto"/>
                <w:vertAlign w:val="superscript"/>
              </w:rPr>
              <w:t>(5)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24"/>
                <w:szCs w:val="2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15,080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dollar amount of all fees earned or paid in cash for services as a director, including monthly retainer fees and committee membership, as described above.</w:t>
      </w:r>
    </w:p>
    <w:p>
      <w:pPr>
        <w:ind w:left="34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amounts are calculated in accordance with the provisions of Financial Accounting Standards Board (“FASB”) Accounting Standard Codification Topic 718, “Compensation — Stock Compensation (“ASC Topic 718”).</w:t>
      </w:r>
    </w:p>
    <w:p>
      <w:pPr>
        <w:ind w:left="34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aggregate number of unvested restricted stock units outstanding for each current non-employee director were as follows: 267 for each of Messrs. Hua, Mahoney, Varier, Sokolow and Holtzman.</w:t>
      </w:r>
    </w:p>
    <w:p>
      <w:pPr>
        <w:ind w:left="34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aggregate number of unexercised stock option awards outstanding for each current non-employee director were as follows: 435 for Mr. Hua, 435 for Mr. Mahoney, 432 for Mr. Varier; 160 for Mr. Sokolow and none for Mr. Holtzman.</w:t>
      </w:r>
    </w:p>
    <w:p>
      <w:pPr>
        <w:jc w:val="both"/>
        <w:ind w:left="340" w:hanging="332"/>
        <w:spacing w:after="0" w:line="253"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in 2021, the Company entered into a strategic advisory consulting agreement with Mr. Wilcox leveraging his cannabis-related expertise in cultivation, extraction, supply chain optimization and industry networking. Per the terms of the agreement, the Company paid a $10,000 monthly consulting fee to Mr. Wilcox, which fee was in addition to his board-related monthly retainer and committee membership fees described above. The consulting agreement was terminated on July 14,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During 2022, Messrs. Mahoney, Wilcox, Sokolow and Holtzman each served as members of the Compensation Committee. Mr. Wilcox served as a member of the committee until his resignation from the Board on July 14, 2022 in connection with his appointment as Chief Operating Officer. Upon his appointment, Mr. Wilcox was removed as a member of the Compensation Committee. During 2022, no member of the Compensation Committee, aside from Mr. Wilcox being named as an executive officer of the Company concurrently with his removal from the Compensation Committee, is or has ever been one of our officers or an employee of the Company. None of our executive officers serves as a member of the board of directors or compensation committee of any entity that has one or more of its executive officers serving as a member of our Board of Directors or Compensation Committee.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Certain Stockholders, Directors and Executive Officers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as of October 1, 2023,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October 1, 2023, there were 58 record holders and 1,651,281 outstanding shares of our Company’s Common Stock.</w:t>
      </w:r>
    </w:p>
    <w:p>
      <w:pPr>
        <w:spacing w:after="0" w:line="18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October 1, 2023 through the exercise of any warrant, stock option or other right. The inclusion in this Annual Report on Form 10-K of such shares, however, does not constitute an admission that the named stockholder is a direct or indirect beneficial owner of such shares. Common stock subject to options or warrants currently exercisable, or exercisable within 60 days after October 1, 2023, are deemed outstanding for the purpose of computing the percentage ownership of the person holding those options or warrants but are not deemed outstanding for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ind w:firstLine="432"/>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40" w:type="dxa"/>
            <w:vAlign w:val="bottom"/>
          </w:tcPr>
          <w:p>
            <w:pPr>
              <w:spacing w:after="0"/>
              <w:rPr>
                <w:sz w:val="21"/>
                <w:szCs w:val="21"/>
                <w:color w:val="auto"/>
              </w:rPr>
            </w:pPr>
          </w:p>
        </w:tc>
        <w:tc>
          <w:tcPr>
            <w:tcW w:w="26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r>
      <w:tr>
        <w:trPr>
          <w:trHeight w:val="203"/>
        </w:trPr>
        <w:tc>
          <w:tcPr>
            <w:tcW w:w="864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top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7"/>
                <w:szCs w:val="17"/>
                <w:color w:val="auto"/>
              </w:rPr>
            </w:pPr>
          </w:p>
        </w:tc>
      </w:tr>
      <w:tr>
        <w:trPr>
          <w:trHeight w:val="277"/>
        </w:trPr>
        <w:tc>
          <w:tcPr>
            <w:tcW w:w="864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right"/>
              <w:ind w:right="40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9"/>
                <w:szCs w:val="29"/>
                <w:b w:val="1"/>
                <w:bCs w:val="1"/>
                <w:color w:val="auto"/>
                <w:vertAlign w:val="superscript"/>
              </w:rPr>
              <w:t>(1)</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Alyeska Investment Group, L.P. (2)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161,701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9.23%</w:t>
            </w:r>
          </w:p>
        </w:tc>
      </w:tr>
      <w:tr>
        <w:trPr>
          <w:trHeight w:val="257"/>
        </w:trPr>
        <w:tc>
          <w:tcPr>
            <w:tcW w:w="86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77 West Wacker Drive,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Chicago, IL 60601</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6"/>
        </w:trPr>
        <w:tc>
          <w:tcPr>
            <w:tcW w:w="86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29"/>
                <w:szCs w:val="29"/>
                <w:b w:val="1"/>
                <w:bCs w:val="1"/>
                <w:color w:val="auto"/>
                <w:vertAlign w:val="superscript"/>
              </w:rPr>
              <w:t>(3)(5)</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86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Raymond Chang </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356,772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Wilcox</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David Kessler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Guichao Hua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J. Sokolow</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Timothy Oakes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(10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365,912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with respect to any identified individual or group are calculated by dividing: (i) the sum of (a) the number of shares of Common Stock actually owned as of October 1, 2023 plus (b) the number of shares of Common Stock that may be acquired through the exercise of stock options, warrants or any other rights or the vesting of Restricted Stock Units within 60 days thereof (“Currently Exercisable Awards”) by (ii) the sum of 1,651,281 shares of Common Stock outstanding as of October 1, 2023, plus the amount referenced in clause (i)(b) for such individual or group.</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61,701 shares of Common Stock and warrants to purchase 100,000 shares of Common Stock. For purposes of the reporting requirements of the Exchange Act, Alyeska Fund GP, LLC and Anand Parekh are deemed to be beneficial owners of such securities. Information set forth above and in this note (2) is based upon the Schedule 13G filed by Alyeska Investment Group, L.P., Alyeska Fund GP, LLC and Anand Parekh on February 14, 2023.</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directors and executive officers listed above is c/o Agrify Corporation, 2468 Industrial Row Dr., Troy, MI 48084.</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options to purchase 6,063 shares of Common Stock that are exercisable within 60 days of October 1, 2023, (ii) 575 shares of Common Stock owned by Mr. Chang, (iii) 118,077 shares of common stock held by RTC3 2020 Irrevocable Family Trust, of which Mr. Chang retains the authority to remove the independent trustee, (iv) 648 shares of common stock held by NXT3J Capital, LLC, an entity controlled by Mr. Chang,</w:t>
      </w:r>
    </w:p>
    <w:p>
      <w:pPr>
        <w:spacing w:after="0" w:line="1" w:lineRule="exact"/>
        <w:rPr>
          <w:rFonts w:ascii="Times New Roman" w:cs="Times New Roman" w:eastAsia="Times New Roman" w:hAnsi="Times New Roman"/>
          <w:sz w:val="18"/>
          <w:szCs w:val="18"/>
          <w:color w:val="auto"/>
        </w:rPr>
      </w:pPr>
    </w:p>
    <w:p>
      <w:pPr>
        <w:jc w:val="both"/>
        <w:ind w:left="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warrants to purchase 317 shares of common stock associated with our 2020 convertible promissory notes held by RTC3 2020 Irrevocable Family Trust, (vi) options to purchase 186 shares of common stock held by Mr. Chang’s son that are exercisable within 60 days of October 1, 2023, and (vii) warrants to purchase 230,906 shares of Common Stock that are held by RTC3 2020 Irrevocable Family Trust, but only to the extent exercisable due to a 9.99% beneficial ownership limitation.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shares subject to options that are exercisable within 60 days of October 1, 2023: Mr. Wilcox, 0; Mr. Kessler, 770; Mr. Hua, 435; Mr. Holtzman, 0; Mr. Mahoney, 435; Mr. Varier 432; Mr. Sokolow, 160; Mr. Oakes, 0; and Mr. Massie, 954. Includes 136 shares of Common Stock underlying a warrant held by Mr. Wilcox.</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Equity Compensation Plan Table</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2022, for our 2022 Omnibus Equity Incentive Plan and 2020 Omnibus Equity Incentive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w:t>
            </w: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Shares Remaining</w:t>
            </w: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 under</w:t>
            </w: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Plans (Excluding</w:t>
            </w: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Reflected in</w:t>
            </w:r>
          </w:p>
        </w:tc>
      </w:tr>
      <w:tr>
        <w:trPr>
          <w:trHeight w:val="245"/>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0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Column (A))</w:t>
            </w:r>
          </w:p>
        </w:tc>
      </w:tr>
      <w:tr>
        <w:trPr>
          <w:trHeight w:val="216"/>
        </w:trPr>
        <w:tc>
          <w:tcPr>
            <w:tcW w:w="6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Omnibus Plan</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 Omnibus Plan</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executive officer or other agent of our Company, and otherwise to the full extent permitted under Nevada law and our Company’s amended and restated bylaws.</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order to identify and address concerns regarding related party transactions and their disclosures, the Company uses Director and Officer Questionnaires and its conduct and ethics policies. The Company also considers the independence of its directors.</w:t>
      </w:r>
    </w:p>
    <w:p>
      <w:pPr>
        <w:spacing w:after="0" w:line="16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Director and Officer Questionnaires are distributed to executive officers and directors at the beginning of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the Company was or is to be a participant and the amount involved exceeds $120,000, and in which any of the following had or will have a direct or indirect interest: (i) the individual; (ii) any director or executive officer of the Company; (iii) a nominee for director; (iv) an immediate family member of a director or executive officer of the Company; (v) an immediate family member of a nominee for director; (vi) a security holder of more than 5% of the common stock; or (vii) an immediate family member of the security holder. Responses provided within the questionnaire are reviewed by management of the Company to determine any necessary course of action.</w:t>
      </w:r>
    </w:p>
    <w:p>
      <w:pPr>
        <w:spacing w:after="0" w:line="19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It is the policy of the Company that all employees, directors and agents maintain the highest ethical standards and comply with all applicable legal requirements when conducting Company business. Guidelines regarding conflicts of interest are detailed in the Company’s Code of Conduct and Business Ethics, which was adopted by the Board. The Company’s Code of Conduct and Business Ethics policy is available on the Company’s website at </w:t>
      </w:r>
      <w:r>
        <w:rPr>
          <w:rFonts w:ascii="Times New Roman" w:cs="Times New Roman" w:eastAsia="Times New Roman" w:hAnsi="Times New Roman"/>
          <w:sz w:val="18"/>
          <w:szCs w:val="18"/>
          <w:i w:val="1"/>
          <w:iCs w:val="1"/>
          <w:color w:val="auto"/>
        </w:rPr>
        <w:t>https://ir.agrify.com</w:t>
      </w:r>
      <w:r>
        <w:rPr>
          <w:rFonts w:ascii="Times New Roman" w:cs="Times New Roman" w:eastAsia="Times New Roman" w:hAnsi="Times New Roman"/>
          <w:sz w:val="18"/>
          <w:szCs w:val="18"/>
          <w:color w:val="auto"/>
        </w:rPr>
        <w:t>. All Company employees must deal with vendors, customers and others doing business with the Company in a manner that avoids 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appearance of conflict between personal interests and those of the Company. Potential conflicts of interest may arise from any of the following:</w:t>
      </w:r>
    </w:p>
    <w:p>
      <w:pPr>
        <w:spacing w:after="0" w:line="183"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or indirect financial interest in any business or organization that is a Company vendor or competitor, if the employee or director can influence decisions with respect to the Company’s business with respect to such business or organization;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on the board of directors of, or being employed in any capacity by, a vendor, competitor or customer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ind w:left="440"/>
        <w:spacing w:after="0"/>
        <w:rPr>
          <w:sz w:val="20"/>
          <w:szCs w:val="20"/>
          <w:color w:val="auto"/>
        </w:rPr>
      </w:pPr>
      <w:r>
        <w:rPr>
          <w:rFonts w:ascii="Times New Roman" w:cs="Times New Roman" w:eastAsia="Times New Roman" w:hAnsi="Times New Roman"/>
          <w:sz w:val="18"/>
          <w:szCs w:val="18"/>
          <w:color w:val="auto"/>
        </w:rPr>
        <w:t>The Audit Committee is authorized to review all potential conflicts of interest involving directors and executive officers.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Relationships, including business, financial, personal, and family, may give rise to conflicts of interest or the appearance of a conflict. Employees should carefully evaluate their relationships as they relate to Company business to avoid conflict or the appearance of a conflict. To avoid conflicts of interest or the appearance of a conflict:</w:t>
      </w:r>
    </w:p>
    <w:p>
      <w:pPr>
        <w:spacing w:after="0" w:line="176" w:lineRule="exact"/>
        <w:rPr>
          <w:sz w:val="20"/>
          <w:szCs w:val="20"/>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and directors should not have an undisclosed relationship with, or financial interest in, any business that competes or deals with the Company; provided that the ownership of less than 1% of the outstanding shares, units or other interests of any class of publicly traded securities is acceptable.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are prohibited from directly or indirectly competing or performing services for any person or entity in competition with, the Company.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should comply with the policies set forth in this Code of Conduct and Business Ethics regarding the receipt or giving of gifts, favors or entertainment.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the Company’s business.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may not sell or lease equipment, materials or property to the Company without appropriate corporate authority.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should purchase Company equipment, materials or property only on terms available to the general public.</w:t>
      </w:r>
    </w:p>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Any employee or director who becomes aware of a conflict is required to bring it to the attention of a supervisor, management or other appropriate personnel.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Directors are expected and required to uphold the same dedication to corporate ethics as the Company’s employees.</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If a conflict of interest arises involving an executive officer or director, the Board must approve a waiver to the Code of Conduct and Business Ethics and if a director has the conflict, that director must abstain from the approval. Waivers are made on a case-by-case basis. The Board has not adopted a formal written policy with respect to waiving conflict of interests or approving related party transactions. In making this determination, the Board considered the infrequency in occurrence of these transactions. Any waivers to the Code of Conduct and Business Ethics granted to an executive officer or director shall be disclosed by the Company on its website at </w:t>
      </w:r>
      <w:r>
        <w:rPr>
          <w:rFonts w:ascii="Times New Roman" w:cs="Times New Roman" w:eastAsia="Times New Roman" w:hAnsi="Times New Roman"/>
          <w:sz w:val="18"/>
          <w:szCs w:val="18"/>
          <w:i w:val="1"/>
          <w:iCs w:val="1"/>
          <w:color w:val="auto"/>
        </w:rPr>
        <w:t>https://ir.agrify.com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 with Enozo</w:t>
      </w:r>
    </w:p>
    <w:p>
      <w:pPr>
        <w:spacing w:after="0" w:line="22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Guichao Hua, a member of our board of directors, and Raymond Chang, our Chairman of the Board and Chief Executive Officer, each have ownership interests and are board members of Enozo.</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March 9, 2020, the Company entered into a distribution agreement with Enozo Technologies Inc. (“Enozo”), for an initial term of five years with auto renewal for successive one-year periods unless earlier terminated. The agreement contains the following minimum purchases to retain exclusive distributor status for one of the Company’s products: for the period from the contract date until December 31, 2021 for $375,000, for the year ended December 31, 2022 for $750,000, and for the year ended December 31, 2023 for $1,100,000, which amount may increase by 3% for the later years. The Company had no purchases of Enozo product for the year ended December 31, 2022, compared to $40,000 for the year ended December 31, 2021, and this agreement was terminated in mid-2022.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 with RTC3 2020 Irrevocable Family Trust</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December 20, 2022, as part of our public offering of shares of Common Stock and warrants, the RTC3 2020 Irrevocable Family Trust purchased shares of Common Stock and warrants to purchase 1,154 shares of Common Stock. The purchase price per share of Common Stock and warrant was $2,600. Raymond Chang, our Chairman of the Board and Chief Executive Officer, retains the authority to remove the independent trustee of the RTC3 2020 Irrevocable Family Trust, although Mr. Chang does not have a pecuniary interest in our securities held by that trust.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 Purchases by RTC3 2020 Irrevocable Family Trust</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January 28, 2022, as part of our private placement financing, we entered into a Securities Purchase Agreement with parties including the RTC3 2020 Irrevocable Family Trust. Pursuant to that agreement, we sold 1,823 shares of Common Stock and warrants to purchase 1,372 shares of Common Stock to the RTC3 2020 Irrevocable Family Trust. The purchase price per share of Common Stock and partial warrant was $2,760.00. Raymond Chang, our Chairman of the Board and Chief Executive Officer, retains the authority to remove the independent trustee of the RTC3 2020 Irrevocable Family Trust, although Mr. Chang does not have a pecuniary interest in our securities held by that trust.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Greenstone Holdings (“Greenstone”)</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Greenstone is a related party because one of our former Agrify Brands employees and our VP of Engineering had a minority ownership, and is a customer of Agrify’s that is in the process of installing Vertical Farming Units (“VFUs”) in its indoor growing facility in Denver, Colorado. The Company has generated revenues from Greenstone through both construction services and the sale of VFUs. A current and former non-executive level employee owns approximately 27% and 10% of Greenstone, respectively. The Company has determined that Greenstone as a Variable Interest Entity, however it does not consolidate the operating results of Greenstone into its consolidated financial statements as Agrify does not have a “controlling interest” in Greenstone. Agrify reported revenues from Greenstone totaling $648,000 during the year ended December 31, 2022 and $9,429,000 during the year ended December 31, 2021. Additionally, the Company made purchases from Greenstone totaling approximately $1.0 million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the directors listed in Part III, Item 10 of this Annual Report on Form 10-K are “independent” as such term is currently defined by applicable Nasdaq rules, except for Messrs. Chang and Hua.</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has determined that all members of the Audit Committee, the Compensation Committee and the Nominating and Corporate Governance Committee of the Board of Directors are “independent” as such term is currently defined by Nasdaq rules. Additionally, the Board has Directors has determined that all members of the Audit Committee of the Board of Directors meet the criteria for independence set forth under the rules of the Securities and Exchange Commission.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aggregate fees billed by Marcum LLP (“Marcum”) for professional services rendered during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Types of Fees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418,695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23,433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15,450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473,131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380,070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the table above, “Audit Fees” are fees the Company paid to Marcum for professional services rendered connection with the audit of the Company’s consolidated financial statements, the review of consolidated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the Company’s consolidated financial statements (accounting consultations on transaction related matters including work related to our S-1 and S-3 fillings); and “Tax Fees” are fees billed by Marcum either for corporate income tax return preparation and filing services and/or individual expatriate income tax services and advice.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Non-Audit Services of Independent Auditor</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18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Audit Committee considers whether the provisions of these services are compatible with maintaining the auditor’s independence, and it determined such services for 2022 and 2021 were compatible.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and Schedules.</w:t>
      </w:r>
    </w:p>
    <w:p>
      <w:pPr>
        <w:spacing w:after="0" w:line="229"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required to be included in this report appear after the signature page to this report as a separate section beginning on page F-1.</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supplemental schedules have been omitted since the information is either included in the consolidated financial statements or the notes thereto or they are not required or are not applicable.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Index of this report appears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Plan of Merger and Equity Purchase Agreement, dated as of September 29, 2021, among the Registrant, Sinclair Scientific, LLC,</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Mass2Media, LLC dba PX2 Holdings, LLC, and each of the equity holders of Sinclair Scientific, LLC named therein (incorporated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reference to Exhibit 2.1 to the Registrant’s Current Report on Form 8-K filed with the Securities and Exchange Commission on October 5,</w:t>
              </w:r>
            </w:hyperlink>
          </w:p>
        </w:tc>
      </w:tr>
      <w:tr>
        <w:trPr>
          <w:trHeight w:val="222"/>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r:id="rId106">
              <w:r>
                <w:rPr>
                  <w:rFonts w:ascii="Times New Roman" w:cs="Times New Roman" w:eastAsia="Times New Roman" w:hAnsi="Times New Roman"/>
                  <w:sz w:val="18"/>
                  <w:szCs w:val="18"/>
                  <w:color w:val="0000EE"/>
                  <w:w w:val="94"/>
                </w:rPr>
                <w:t>2021</w:t>
              </w:r>
            </w:hyperlink>
          </w:p>
        </w:tc>
        <w:tc>
          <w:tcPr>
            <w:tcW w:w="1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rPr>
                <w:sz w:val="15"/>
                <w:szCs w:val="15"/>
                <w:color w:val="auto"/>
              </w:rPr>
            </w:pPr>
          </w:p>
        </w:tc>
        <w:tc>
          <w:tcPr>
            <w:tcW w:w="10100" w:type="dxa"/>
            <w:vAlign w:val="bottom"/>
            <w:tcBorders>
              <w:top w:val="single" w:sz="8" w:color="CCEEFF"/>
              <w:bottom w:val="single" w:sz="8" w:color="0000EE"/>
            </w:tcBorders>
            <w:gridSpan w:val="11"/>
          </w:tcPr>
          <w:p>
            <w:pPr>
              <w:spacing w:after="0" w:line="17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Amendment to Plan of Merger and Equity Purchase Agreement, dated as of October 1, 2021, between the Registrant and Sinclair Scientific,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LLC (incorporated by reference to Exhibit 2.2 to the Registrant’s Current Report on Form 8-K filed with the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Commission on October 4, 2021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Membership Interest Purchase Agreement, dated as of December 31, 2021, among the Registrant, PurePressure, LLC, Benjamin Britton as</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Member Representative, and each of the equity holders of PurePressure, LLC named therein (incorporated by reference to Exhibit 2.1 to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Registrant’s Current Report on Form 8-K filed with the Securities and Exchange Commission on January 5, 2022)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Merger Agreement, dated as of February 1, 2022, among the Registrant, LS Holdings Corp., Lab Society NewCo, LLC, Michael S.</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Maibach Jr. as Owner Representative, and each of the Owners named therein (incorporated by reference to Exhibit 2.1 to the Registrant’s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Current Report on Form 8-K filed with the Securities and Exchange Commission on February 2,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9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Articles of Incorporation of the Registrant, as amended (incorporated by reference to Exhibit 3.1 to the Registrant’s Amendment No. 1 to</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Registration Statement on Form S-1 filed with the Securities and Exchange Commission on January 13, 2021)</w:t>
              </w:r>
            </w:hyperlink>
          </w:p>
        </w:tc>
        <w:tc>
          <w:tcPr>
            <w:tcW w:w="216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10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Commission on January 13,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Bylaws of the Registrant (incorporated by reference to Exhibit 3.3 to the Registrant’s Amendment No. 2 to</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Registration Statement on Form S-1 filed with the Securities and Exchange Commission on January 26, 2021)</w:t>
              </w:r>
            </w:hyperlink>
          </w:p>
        </w:tc>
        <w:tc>
          <w:tcPr>
            <w:tcW w:w="216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Certificate of Amendment to the Articles of Incorporation of the Registrant, filed July 11, 2022 (incorporated by reference to Exhibit 3.1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Certificate of Amendment to the Articles of Incorporation of the Registrant, filed October 17, 2022 (incorporated by reference to Exhibit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10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with the Securities and Exchange Commission on October 17, 2022).</w:t>
              </w:r>
            </w:hyperlink>
          </w:p>
        </w:tc>
        <w:tc>
          <w:tcPr>
            <w:tcW w:w="1000" w:type="dxa"/>
            <w:vAlign w:val="bottom"/>
            <w:tcBorders>
              <w:bottom w:val="single" w:sz="8" w:color="CCEEFF"/>
            </w:tcBorders>
            <w:gridSpan w:val="2"/>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Certificate of Amendment to the Articles of Incorporation of the Registrant, filed March 1, 2023 (incorporated by reference to Exhibit 3.1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to the Registrant’s Current Report filed with the Securities and Exchange Commission on March 3, 2023.</w:t>
              </w:r>
            </w:hyperlink>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0" w:type="dxa"/>
            <w:vAlign w:val="bottom"/>
            <w:tcBorders>
              <w:top w:val="single" w:sz="8" w:color="0000EE"/>
              <w:bottom w:val="single" w:sz="8" w:color="auto"/>
            </w:tcBorders>
            <w:gridSpan w:val="4"/>
          </w:tcPr>
          <w:p>
            <w:pPr>
              <w:ind w:left="440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EE"/>
              <w:right w:val="single" w:sz="8" w:color="CCEEFF"/>
            </w:tcBorders>
            <w:gridSpan w:val="17"/>
            <w:shd w:val="clear" w:color="auto" w:fill="CCEEFF"/>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Common Stock Certificate (incorporated by reference to Exhibit 4.1 to the Registrant’s Amendment No. 2 to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Statement on Form S-1 filed with the Securities and Exchange Commission on January 26, 2021)</w:t>
              </w:r>
            </w:hyperlink>
          </w:p>
        </w:tc>
        <w:tc>
          <w:tcPr>
            <w:tcW w:w="3080" w:type="dxa"/>
            <w:vAlign w:val="bottom"/>
            <w:tcBorders>
              <w:bottom w:val="single" w:sz="8" w:color="CCEEFF"/>
              <w:right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Representative’s Warrant dated February 19, 2021 (incorporated by reference to Exhibit 4.2 to the Registrant’s Registration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Statement on Form S-1 filed with the Securities and Exchange Commission on February 11, 2021)</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Form of Representative’s Warrant dated January 27, 2021 (incorporated by reference to Exhibit 4.2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Registration Statement on Form S-1 filed with the Securities and Exchange Commission on January 26, 2021)</w:t>
              </w:r>
            </w:hyperlink>
          </w:p>
        </w:tc>
        <w:tc>
          <w:tcPr>
            <w:tcW w:w="216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Warrant issued to Noteholders (incorporated by reference to Exhibit 4.3 to the Registrant’s Registration Statement on Form S-1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filed with the Securities and Exchange Commission on December 22, 2020)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Description of Registrant’s Securities (incorporated by reference to Exhibit 4.5 to the Registrant’s Annual Report on Form 10-K filed with</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the Securities and Exchange Commission on April 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Form of Common Stock Purchase Warrant dated January 28, 2022 (incorporated by reference to Exhibit 4.2 to the Registrant’s Current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Report on Form 8-K filed with the Securities and Exchange Commission on January 26,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Senior Secured Note (incorporated by reference to Exhibit 4.1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Securities and Exchange Commission on August 19, 2022).</w:t>
              </w:r>
            </w:hyperlink>
          </w:p>
        </w:tc>
        <w:tc>
          <w:tcPr>
            <w:tcW w:w="580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Warrant Exchange Warrant (incorporated by reference to Exhibit 4.2 to the Registrant’s Current Report on Form 8-K filed with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Securities and Exchange Commission on August 19,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Note Exchange Warrant (incorporated by reference to Exhibit 4.3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Securities and Exchange Commission on August 19, 2022).</w:t>
              </w:r>
            </w:hyperlink>
          </w:p>
        </w:tc>
        <w:tc>
          <w:tcPr>
            <w:tcW w:w="580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of Pre-Funded Warrant (incorporated by reference to Exhibit 4.1 to the Registrant’s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Securities and Exchange Commission on December 16,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Common Warrant (incorporated by reference to Exhibit 4.</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Securities and Exchange Commission on December 16,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Senior Secured Convertible Note (incorporated by reference to Exhibit 4.1 to the Registrant’s Current Report on Form 8-K filed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with the Securities and Exchange Commission on March 9,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Amendment to Senior Secured Note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Securities and Exchange Commission on March 9,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Exchange Warrant, dated October 27, 2023 (incorporated by reference to Exhibit 4.1 to the Registrant’s Current Report on Form 8-K filed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with the Securities and Exchange Commission on October 30,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Abeyance Warrant, dated October 27, 2023 (incorporated by reference to Exhibit 4.2 to the Registrant’s Current Report on Form 8-K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9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with the Securities and Exchange Commission on October 30, 2023)</w:t>
              </w:r>
            </w:hyperlink>
          </w:p>
        </w:tc>
        <w:tc>
          <w:tcPr>
            <w:tcW w:w="5160" w:type="dxa"/>
            <w:vAlign w:val="bottom"/>
            <w:tcBorders>
              <w:bottom w:val="single" w:sz="8" w:color="CCEEFF"/>
              <w:right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Common Stock Purchase Warrant, dated October 27, 2023 (incorporated by reference to Exhibit 4.3 to the Registrant’s Current Report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8-K filed with the Securities and Exchange Commission on October 30, 2023)</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Amended and Restated Junior Secured Promissory Note (incorporated by reference to Exhibit 4.4 to the Registrant’s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8-K filed with the Securities and Exchange Commission on October 30, 2023)</w:t>
              </w:r>
            </w:hyperlink>
          </w:p>
        </w:tc>
        <w:tc>
          <w:tcPr>
            <w:tcW w:w="402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Junior Secured Promissory Note (incorporated by reference to Exhibit 4.5 to the Registrant’s Current Report on Form 8-K filed with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Securities and Exchange Commission on October 30,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Operating Agreement of Agrify-Valiant, LLC dated December 8, 2019 (incorporated by reference to Exhibit 10.1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812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Registration Statement on Form S-1 filed with the Securities and Exchange Commission on December 22, 2020)</w:t>
              </w:r>
            </w:hyperlink>
          </w:p>
        </w:tc>
        <w:tc>
          <w:tcPr>
            <w:tcW w:w="198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Distribution Agreement dated June 7, 2019 between the Registrant and Bluezone Products, Inc.± (incorporated by reference to Exhibit 10.2</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to the Registrant’s Registration Statement on Form S-1 filed with the Securities and Exchange Commission on December 22, 2020)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Distribution Agreement dated March 9, 2020 between the Registrant and Enozo Technologies Inc.±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the Registrant’s Registration Statement on Form S-1 filed with the Securities and Exchange Commission on December 22, 2020)</w:t>
              </w:r>
            </w:hyperlink>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Purchase Agreement dated as of July 28, 2020 between the Registrant and 4D Bios Inc.± (incorporated by reference to Exhibit 10.4 to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Registrant’s Registration Statement on Form S-1 filed with the Securities and Exchange Commission on December 22, 2020)</w:t>
              </w:r>
            </w:hyperlink>
          </w:p>
        </w:tc>
        <w:tc>
          <w:tcPr>
            <w:tcW w:w="0" w:type="dxa"/>
            <w:vAlign w:val="bottom"/>
          </w:tcPr>
          <w:p>
            <w:pPr>
              <w:spacing w:after="0"/>
              <w:rPr>
                <w:sz w:val="1"/>
                <w:szCs w:val="1"/>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4740" w:type="dxa"/>
            <w:vAlign w:val="bottom"/>
            <w:tcBorders>
              <w:top w:val="single" w:sz="8" w:color="0000EE"/>
              <w:bottom w:val="single" w:sz="8" w:color="auto"/>
            </w:tcBorders>
            <w:gridSpan w:val="5"/>
          </w:tcPr>
          <w:p>
            <w:pPr>
              <w:ind w:left="440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18"/>
            <w:shd w:val="clear" w:color="auto" w:fill="CCEEFF"/>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Employment Agreement dated as of January 4, 2021 between the Registrant and Raymond Chang  (incorporated by reference to Exhibit</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Registrant’s Annual Report on Form 10-K filed with the Securities and Exchange Commission on April 2, 2021)</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18"/>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2020 Omnibus Equity Incentive Plan (incorporated by reference to Exhibit 10.13 to the Registrant’s Registration Statement on Form S-1</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filed with the Securities and Exchange Commission on December 22, 2020)</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Intellectual Property Assignment and Transfer Agreement by and among the Registrant, Agrify Brands, LLC and The Holden Company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effective as of January 1, 2020 (incorporated by reference to Exhibit 10.16 to the Registrant’s Registration Statement on Form S-1 filed</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510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with the Securities and Exchange Commission on December 22, 2020)</w:t>
              </w:r>
            </w:hyperlink>
          </w:p>
        </w:tc>
        <w:tc>
          <w:tcPr>
            <w:tcW w:w="5000" w:type="dxa"/>
            <w:vAlign w:val="bottom"/>
            <w:tcBorders>
              <w:bottom w:val="single" w:sz="8" w:color="CCEEFF"/>
            </w:tcBorders>
            <w:gridSpan w:val="12"/>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Supply Agreement by and among the Registrant and Mack Molding Co. dated December 7, 2020 ± (incorporated by reference to Exhibit</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0000EE"/>
                </w:rPr>
                <w:t xml:space="preserve"> to the Registrant’s Amendment No. 1 to Registration Statement on Form S-1 filed with the Securities and Exchange Commission on</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January 13, 2021)</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Amended and Restated Operating Agreement of Agrify Brands, LLC effective as of August 12, 2020 (incorporated by reference to Exhibit</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0000EE"/>
                </w:rPr>
                <w:t xml:space="preserve"> to the Registrant’s Registration Statement on Form S-1 filed with the Securities and Exchange Commission on December 22, 2020)</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Indemnification Agreement with directors and executive officers (incorporated by reference to Exhibit 10.18 to the Registrant’s</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Registration Statement on Form S-1 filed with the Securities and Exchange Commission on February 11, 2021)</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Employment Agreement, dated as of November 10, 2021, between the Registrant and Timothy Oakes † (incorporated by reference to</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99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Exhibit 10.2 to the Registrant’s Current Report on Form 8-K filed with the Securities and Exchange Commission on November 15, 2021)</w:t>
              </w:r>
            </w:hyperlink>
          </w:p>
        </w:tc>
        <w:tc>
          <w:tcPr>
            <w:tcW w:w="200" w:type="dxa"/>
            <w:vAlign w:val="bottom"/>
            <w:tcBorders>
              <w:bottom w:val="single" w:sz="8" w:color="CCEEFF"/>
            </w:tcBorders>
            <w:gridSpan w:val="3"/>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Securities Purchase Agreement, dated as of January 25, 2022, between the Registrant and the Purchasers party thereto</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(incorporated by reference to Exhibit 10.1 to the Registrant’s Current Report on Form 8-K filed with the Securities and Exchange</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Commission on January 26, 2022</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Securities Purchase Agreement, dated as of March 14, 2022, between the Registrant and High Trail Special Situations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(incorporated by reference to Exhibit 10.1 to the Registrant’s Current Report on Form 8-K filed with the Securities and Exchange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Commission on March 18, 2022)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Agrify Corporation 2022 Omnibus Equity Incentive Plan (incorporated by reference to Appendix A to the Registrant’s Definitive Proxy</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Statement on Schedule 14A filed with the Securities and Exchange Commission on April 29, 2022)</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Agrify Corporation 2022 Employee Stock Purchase Plan (incorporated by reference to Appendix B to the Registrant’s Definitive Proxy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Statement on Schedule 14A filed with the Securities and Exchange Commission on April 29,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Separation Agreement of Thomas Massie, dated as of July 8, 2022 (incorporated by reference to Exhibit 10.2 to the Registrant’s Current</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Report on Form 8-K filed with the Securities and Exchange Commission on July 14, 2022).</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Employment Agreement, dated as of July 14, 2022, between the Registrant and Stuart Wilcox (incorporated by reference to Exhibit 10.1 to</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Exchange Agreement, dated as of August 18, 2022, between the Registrant and High Trail Special Situations LLC (incorporated by</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reference to Exhibit 10.1 to the Registrant’s Current Report on Form 8-K filed with the Securities and Exchange Commission on August 19,</w:t>
              </w:r>
            </w:hyperlink>
          </w:p>
        </w:tc>
      </w:tr>
      <w:tr>
        <w:trPr>
          <w:trHeight w:val="196"/>
        </w:trPr>
        <w:tc>
          <w:tcPr>
            <w:tcW w:w="1140" w:type="dxa"/>
            <w:vAlign w:val="bottom"/>
          </w:tcPr>
          <w:p>
            <w:pPr>
              <w:spacing w:after="0"/>
              <w:rPr>
                <w:sz w:val="17"/>
                <w:szCs w:val="17"/>
                <w:color w:val="auto"/>
              </w:rPr>
            </w:pPr>
          </w:p>
        </w:tc>
        <w:tc>
          <w:tcPr>
            <w:tcW w:w="700" w:type="dxa"/>
            <w:vAlign w:val="bottom"/>
            <w:gridSpan w:val="2"/>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2022).</w:t>
              </w:r>
            </w:hyperlink>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Equity Distribution Agreement, dated as of October 18, 2022, between the Registrant and Canaccord Genuity LLC (incorporated by</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reference to Exhibit 1.1 to the Registrant’s Current Report on Form 8-K filed with the Securities and Exchange Commission on October 18,</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2022).</w:t>
              </w:r>
            </w:hyperlink>
          </w:p>
        </w:tc>
        <w:tc>
          <w:tcPr>
            <w:tcW w:w="600" w:type="dxa"/>
            <w:vAlign w:val="bottom"/>
            <w:tcBorders>
              <w:top w:val="single" w:sz="8" w:color="0000EE"/>
            </w:tcBorders>
            <w:shd w:val="clear" w:color="auto" w:fill="CCEEFF"/>
          </w:tcPr>
          <w:p>
            <w:pPr>
              <w:spacing w:after="0"/>
              <w:rPr>
                <w:sz w:val="17"/>
                <w:szCs w:val="17"/>
                <w:color w:val="auto"/>
              </w:rPr>
            </w:pPr>
          </w:p>
        </w:tc>
        <w:tc>
          <w:tcPr>
            <w:tcW w:w="10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6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1120" w:type="dxa"/>
            <w:vAlign w:val="bottom"/>
            <w:tcBorders>
              <w:top w:val="single" w:sz="8" w:color="0000EE"/>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86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7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Employment Agreement, dated as of July 25, 2022, between the Registrant and Timothy Hayden (incorporated by reference to Exhibit 10.1</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to the Registrant’s Current Report on Form 8-K filed with the Securities and Exchange Commission on January 24, 2023)</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Exchange Agreement, dated as of March 8, 2023, between the Registrant and High Trail Special Situations LLC (incorporated by reference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to Exhibit 10.1 to the Registrant’s Current Report on Form 8-K filed with the Securities and Exchange Commission on March 9, 2023)</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Company and Investor Acknowledgment, dated as of October 27, 2023, between the Registrant and CP acquisitions LLC (incorporated by</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reference to Exhibit 10.1 to the Registrant’s Current Report on Form 8-K filed with the Securities and Exchange Commission on October</w:t>
              </w:r>
            </w:hyperlink>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30, 2023)</w:t>
              </w:r>
            </w:hyperlink>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6"/>
        </w:trPr>
        <w:tc>
          <w:tcPr>
            <w:tcW w:w="11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Letter Agreement, dated as of October 27, 2023, between the Registrant and High Trail Special Situations LLC (incorporated by reference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to Exhibit 10.2 to the Registrant’s Current Report on Form 8-K filed with the Securities and Exchange Commission on October 30, 2023)</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Modification Agreement, effective as of October 18, 2023, between the Registrant and Mack Molding Company (incorporated by reference</w:t>
              </w:r>
            </w:hyperlink>
          </w:p>
        </w:tc>
      </w:tr>
      <w:tr>
        <w:trPr>
          <w:trHeight w:val="196"/>
        </w:trPr>
        <w:tc>
          <w:tcPr>
            <w:tcW w:w="1140" w:type="dxa"/>
            <w:vAlign w:val="bottom"/>
          </w:tcPr>
          <w:p>
            <w:pPr>
              <w:spacing w:after="0"/>
              <w:rPr>
                <w:sz w:val="17"/>
                <w:szCs w:val="17"/>
                <w:color w:val="auto"/>
              </w:rPr>
            </w:pPr>
          </w:p>
        </w:tc>
        <w:tc>
          <w:tcPr>
            <w:tcW w:w="10100" w:type="dxa"/>
            <w:vAlign w:val="bottom"/>
            <w:gridSpan w:val="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to Exhibit 10.3 to the Registrant’s Current Report on Form 8-K filed with the Securities and Exchange Commission on October 30, 2023)</w:t>
              </w:r>
            </w:hyperlink>
          </w:p>
        </w:tc>
      </w:tr>
      <w:tr>
        <w:trPr>
          <w:trHeight w:val="21"/>
        </w:trPr>
        <w:tc>
          <w:tcPr>
            <w:tcW w:w="114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1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Code of Ethics of Agrify Corporation Applicable To Directors, Officers And Employees (incorporated by reference to Exhibit 14.1 to the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Registrant’s Registration Statement on Form S-1 filed with the Securities and Exchange Commission on December 22, 2020)</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902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the Registrant</w:t>
            </w:r>
          </w:p>
        </w:tc>
        <w:tc>
          <w:tcPr>
            <w:tcW w:w="1080" w:type="dxa"/>
            <w:vAlign w:val="bottom"/>
            <w:tcBorders>
              <w:top w:val="single" w:sz="8" w:color="CCEEFF"/>
            </w:tcBorders>
            <w:gridSpan w:val="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43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5740" w:type="dxa"/>
            <w:vAlign w:val="bottom"/>
            <w:tcBorders>
              <w:bottom w:val="single" w:sz="8" w:color="CCEEFF"/>
            </w:tcBorders>
            <w:gridSpan w:val="5"/>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and Accounting Officer  Pursuant to Securities Exchange Act Rules</w:t>
            </w:r>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13a-14(a) and 15(d)-14(a), as adopted Pursuant to Section 302 of the Sarbanes-Oxley Act of 2002</w:t>
            </w:r>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and Accounting Officer Pursuant to 18 U.S.C. Section 1350, as adopted</w:t>
            </w: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28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580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9" w:lineRule="exact"/>
        <w:rPr>
          <w:sz w:val="20"/>
          <w:szCs w:val="20"/>
          <w:color w:val="auto"/>
        </w:rPr>
      </w:pPr>
    </w:p>
    <w:p>
      <w:pPr>
        <w:ind w:left="400" w:hanging="325"/>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from this exhibit in reliance upon Item 601(a)(5) of Regulation S-K.</w:t>
      </w:r>
    </w:p>
    <w:p>
      <w:pPr>
        <w:spacing w:after="0" w:line="27" w:lineRule="exact"/>
        <w:rPr>
          <w:rFonts w:ascii="Times New Roman" w:cs="Times New Roman" w:eastAsia="Times New Roman" w:hAnsi="Times New Roman"/>
          <w:sz w:val="18"/>
          <w:szCs w:val="18"/>
          <w:color w:val="auto"/>
        </w:rPr>
      </w:pPr>
    </w:p>
    <w:p>
      <w:pPr>
        <w:ind w:left="520" w:right="5800" w:hanging="44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compensatory plan, or arrangement. * Filed herewith.</w:t>
      </w:r>
    </w:p>
    <w:p>
      <w:pPr>
        <w:ind w:left="720" w:hanging="321"/>
        <w:spacing w:after="0"/>
        <w:tabs>
          <w:tab w:leader="none" w:pos="7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692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AGRIFY CORPORATION</w:t>
            </w:r>
          </w:p>
        </w:tc>
      </w:tr>
      <w:tr>
        <w:trPr>
          <w:trHeight w:val="4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27, 2023</w:t>
            </w:r>
          </w:p>
        </w:tc>
        <w:tc>
          <w:tcPr>
            <w:tcW w:w="69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Raymond Chang</w:t>
            </w:r>
          </w:p>
        </w:tc>
      </w:tr>
      <w:tr>
        <w:trPr>
          <w:trHeight w:val="194"/>
        </w:trPr>
        <w:tc>
          <w:tcPr>
            <w:tcW w:w="43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4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By: Raymond Chang</w:t>
            </w:r>
          </w:p>
        </w:tc>
      </w:tr>
      <w:tr>
        <w:trPr>
          <w:trHeight w:val="220"/>
        </w:trPr>
        <w:tc>
          <w:tcPr>
            <w:tcW w:w="4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16"/>
        </w:trPr>
        <w:tc>
          <w:tcPr>
            <w:tcW w:w="4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tc>
      </w:tr>
      <w:tr>
        <w:trPr>
          <w:trHeight w:val="234"/>
        </w:trPr>
        <w:tc>
          <w:tcPr>
            <w:tcW w:w="4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and Accounting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42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27, 2023</w:t>
            </w:r>
          </w:p>
        </w:tc>
      </w:tr>
      <w:tr>
        <w:trPr>
          <w:trHeight w:val="184"/>
        </w:trPr>
        <w:tc>
          <w:tcPr>
            <w:tcW w:w="45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Raymond Chang</w:t>
            </w:r>
          </w:p>
        </w:tc>
        <w:tc>
          <w:tcPr>
            <w:tcW w:w="120" w:type="dxa"/>
            <w:vAlign w:val="bottom"/>
          </w:tcPr>
          <w:p>
            <w:pPr>
              <w:spacing w:after="0"/>
              <w:rPr>
                <w:sz w:val="16"/>
                <w:szCs w:val="16"/>
                <w:color w:val="auto"/>
              </w:rPr>
            </w:pPr>
          </w:p>
        </w:tc>
        <w:tc>
          <w:tcPr>
            <w:tcW w:w="43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(Principal Executive Officer and Principal Financial and</w:t>
            </w:r>
          </w:p>
        </w:tc>
        <w:tc>
          <w:tcPr>
            <w:tcW w:w="224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2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Guichao Hua</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27,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Guichao Hua</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27,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27,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 Holtzman</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27,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Leonard Sokolow</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27,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Leonard Sokolow</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37"/>
        </w:trPr>
        <w:tc>
          <w:tcPr>
            <w:tcW w:w="45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4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AGRIFY CORPORATION AND SUBSIDIARIES</w:t>
            </w:r>
          </w:p>
        </w:tc>
        <w:tc>
          <w:tcPr>
            <w:tcW w:w="228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280" w:type="dxa"/>
            <w:vAlign w:val="bottom"/>
          </w:tcPr>
          <w:p>
            <w:pPr>
              <w:spacing w:after="0"/>
              <w:rPr>
                <w:sz w:val="20"/>
                <w:szCs w:val="20"/>
                <w:color w:val="auto"/>
              </w:rPr>
            </w:pPr>
          </w:p>
        </w:tc>
      </w:tr>
      <w:tr>
        <w:trPr>
          <w:trHeight w:val="432"/>
        </w:trPr>
        <w:tc>
          <w:tcPr>
            <w:tcW w:w="896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Fiscal Years Ended December 31, 2022 and 2021:</w:t>
            </w:r>
          </w:p>
        </w:tc>
        <w:tc>
          <w:tcPr>
            <w:tcW w:w="228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6"/>
        </w:trPr>
        <w:tc>
          <w:tcPr>
            <w:tcW w:w="36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Independent Auditors’ Report (PCAOB ID # 688)</w:t>
            </w:r>
          </w:p>
        </w:tc>
        <w:tc>
          <w:tcPr>
            <w:tcW w:w="5340" w:type="dxa"/>
            <w:vAlign w:val="bottom"/>
            <w:tcBorders>
              <w:bottom w:val="single" w:sz="8" w:color="CCEEFF"/>
            </w:tcBorders>
            <w:gridSpan w:val="2"/>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8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280" w:type="dxa"/>
            <w:vAlign w:val="bottom"/>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6680" w:type="dxa"/>
            <w:vAlign w:val="bottom"/>
            <w:tcBorders>
              <w:bottom w:val="single" w:sz="8" w:color="CCEEFF"/>
            </w:tcBorders>
            <w:gridSpan w:val="6"/>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5"/>
        </w:trPr>
        <w:tc>
          <w:tcPr>
            <w:tcW w:w="180" w:type="dxa"/>
            <w:vAlign w:val="bottom"/>
          </w:tcPr>
          <w:p>
            <w:pPr>
              <w:spacing w:after="0"/>
              <w:rPr>
                <w:sz w:val="15"/>
                <w:szCs w:val="15"/>
                <w:color w:val="auto"/>
              </w:rPr>
            </w:pPr>
          </w:p>
        </w:tc>
        <w:tc>
          <w:tcPr>
            <w:tcW w:w="87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228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18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522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6"/>
        </w:trPr>
        <w:tc>
          <w:tcPr>
            <w:tcW w:w="180" w:type="dxa"/>
            <w:vAlign w:val="bottom"/>
          </w:tcPr>
          <w:p>
            <w:pPr>
              <w:spacing w:after="0"/>
              <w:rPr>
                <w:sz w:val="15"/>
                <w:szCs w:val="15"/>
                <w:color w:val="auto"/>
              </w:rPr>
            </w:pPr>
          </w:p>
        </w:tc>
        <w:tc>
          <w:tcPr>
            <w:tcW w:w="87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280" w:type="dxa"/>
            <w:vAlign w:val="bottom"/>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18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9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280" w:type="dxa"/>
            <w:vAlign w:val="bottom"/>
            <w:shd w:val="clear" w:color="auto" w:fill="CCEEFF"/>
          </w:tcPr>
          <w:p>
            <w:pPr>
              <w:jc w:val="center"/>
              <w:ind w:left="1190"/>
              <w:spacing w:after="0" w:line="176" w:lineRule="exact"/>
              <w:rPr>
                <w:sz w:val="20"/>
                <w:szCs w:val="20"/>
                <w:color w:val="auto"/>
              </w:rPr>
            </w:pPr>
            <w:r>
              <w:rPr>
                <w:rFonts w:ascii="Times New Roman" w:cs="Times New Roman" w:eastAsia="Times New Roman" w:hAnsi="Times New Roman"/>
                <w:sz w:val="18"/>
                <w:szCs w:val="18"/>
                <w:color w:val="auto"/>
                <w:w w:val="98"/>
              </w:rPr>
              <w:t>F-8 – F-61</w:t>
            </w:r>
          </w:p>
        </w:tc>
      </w:tr>
      <w:tr>
        <w:trPr>
          <w:trHeight w:val="655"/>
        </w:trPr>
        <w:tc>
          <w:tcPr>
            <w:tcW w:w="180" w:type="dxa"/>
            <w:vAlign w:val="bottom"/>
            <w:tcBorders>
              <w:top w:val="single" w:sz="8" w:color="0000EE"/>
              <w:bottom w:val="single" w:sz="8" w:color="auto"/>
            </w:tcBorders>
          </w:tcPr>
          <w:p>
            <w:pPr>
              <w:spacing w:after="0"/>
              <w:rPr>
                <w:sz w:val="24"/>
                <w:szCs w:val="24"/>
                <w:color w:val="auto"/>
              </w:rPr>
            </w:pPr>
          </w:p>
        </w:tc>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220" w:type="dxa"/>
            <w:vAlign w:val="bottom"/>
            <w:tcBorders>
              <w:top w:val="single" w:sz="8" w:color="CCEEFF"/>
              <w:bottom w:val="single" w:sz="8" w:color="auto"/>
            </w:tcBorders>
          </w:tcPr>
          <w:p>
            <w:pPr>
              <w:jc w:val="center"/>
              <w:ind w:right="1370"/>
              <w:spacing w:after="0"/>
              <w:rPr>
                <w:sz w:val="20"/>
                <w:szCs w:val="20"/>
                <w:color w:val="auto"/>
              </w:rPr>
            </w:pPr>
            <w:r>
              <w:rPr>
                <w:rFonts w:ascii="Times New Roman" w:cs="Times New Roman" w:eastAsia="Times New Roman" w:hAnsi="Times New Roman"/>
                <w:sz w:val="18"/>
                <w:szCs w:val="18"/>
                <w:color w:val="auto"/>
                <w:w w:val="95"/>
              </w:rPr>
              <w:t>F-1</w:t>
            </w:r>
          </w:p>
        </w:tc>
        <w:tc>
          <w:tcPr>
            <w:tcW w:w="22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6" w:name="page97"/>
    <w:bookmarkEnd w:id="9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Agrify Corporation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Agrify Corporation and Subsidiaries (the “Company”) as of December 31, 2022 and 2021, the related consolidated statements of operations, stockholders’ deficit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44,550</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$4,605 and $1,415 at December 31, 2022 and 2021,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 of reserves of $32,422 and $942 at December 31, 2022 and 2021, respectively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21,396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Loans receivable, net of allowance for doubtful accounts of $33,050 and $0 at December 31, 2022 and 2021,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12,214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50,090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69,687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182,048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20,543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28,833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4,112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70,602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43,590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17)</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5,000,000 and 2,500,000 shares authorized at December 31, 2022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2021, respectively, 1,038,298 and 111,035 shares issued and outstanding at December 31, 2022 and 2021,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680" w:type="dxa"/>
            <w:vAlign w:val="bottom"/>
          </w:tcPr>
          <w:p>
            <w:pPr>
              <w:ind w:left="340"/>
              <w:spacing w:after="0" w:line="271" w:lineRule="exact"/>
              <w:rPr>
                <w:sz w:val="20"/>
                <w:szCs w:val="20"/>
                <w:color w:val="auto"/>
              </w:rPr>
            </w:pPr>
            <w:r>
              <w:rPr>
                <w:rFonts w:ascii="Times New Roman" w:cs="Times New Roman" w:eastAsia="Times New Roman" w:hAnsi="Times New Roman"/>
                <w:sz w:val="18"/>
                <w:szCs w:val="18"/>
                <w:color w:val="auto"/>
              </w:rPr>
              <w:t xml:space="preserve">respectively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3"/>
                <w:szCs w:val="23"/>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237,875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196,034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(247,148)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(58,975)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 equity attributable to Agrify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69,687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$2,417 and $31,439 from related parties, respectively)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90,054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54,625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73,354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30,807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9,338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69,904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(193,326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51,461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extinguishment of notes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(38,985)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5,042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line="202" w:lineRule="exact"/>
              <w:rPr>
                <w:sz w:val="20"/>
                <w:szCs w:val="20"/>
                <w:color w:val="auto"/>
              </w:rPr>
            </w:pPr>
            <w:r>
              <w:rPr>
                <w:rFonts w:ascii="Times New Roman" w:cs="Times New Roman" w:eastAsia="Times New Roman" w:hAnsi="Times New Roman"/>
                <w:sz w:val="15"/>
                <w:szCs w:val="15"/>
                <w:color w:val="auto"/>
              </w:rPr>
              <w:t xml:space="preserve">Net loss per share attributable to Common Stockholders – basic and diluted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8680" w:type="dxa"/>
            <w:vAlign w:val="bottom"/>
            <w:vMerge w:val="continue"/>
          </w:tcPr>
          <w:p>
            <w:pPr>
              <w:spacing w:after="0"/>
              <w:rPr>
                <w:sz w:val="14"/>
                <w:szCs w:val="14"/>
                <w:color w:val="auto"/>
              </w:rPr>
            </w:pPr>
          </w:p>
        </w:tc>
        <w:tc>
          <w:tcPr>
            <w:tcW w:w="24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spacing w:after="0"/>
              <w:rPr>
                <w:sz w:val="14"/>
                <w:szCs w:val="14"/>
                <w:color w:val="auto"/>
              </w:rPr>
            </w:pP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22"/>
        </w:trPr>
        <w:tc>
          <w:tcPr>
            <w:tcW w:w="868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100" w:type="dxa"/>
            <w:vAlign w:val="bottom"/>
            <w:gridSpan w:val="2"/>
          </w:tcPr>
          <w:p>
            <w:pPr>
              <w:jc w:val="right"/>
              <w:ind w:right="141"/>
              <w:spacing w:after="0" w:line="95" w:lineRule="exact"/>
              <w:rPr>
                <w:sz w:val="20"/>
                <w:szCs w:val="20"/>
                <w:color w:val="auto"/>
              </w:rPr>
            </w:pPr>
            <w:r>
              <w:rPr>
                <w:rFonts w:ascii="Times New Roman" w:cs="Times New Roman" w:eastAsia="Times New Roman" w:hAnsi="Times New Roman"/>
                <w:sz w:val="10"/>
                <w:szCs w:val="10"/>
                <w:color w:val="auto"/>
              </w:rPr>
              <w:t>(902.19</w:t>
            </w:r>
          </w:p>
        </w:tc>
        <w:tc>
          <w:tcPr>
            <w:tcW w:w="240" w:type="dxa"/>
            <w:vAlign w:val="bottom"/>
            <w:vMerge w:val="continue"/>
          </w:tcPr>
          <w:p>
            <w:pPr>
              <w:spacing w:after="0"/>
              <w:rPr>
                <w:sz w:val="10"/>
                <w:szCs w:val="10"/>
                <w:color w:val="auto"/>
              </w:rPr>
            </w:pPr>
          </w:p>
        </w:tc>
        <w:tc>
          <w:tcPr>
            <w:tcW w:w="980" w:type="dxa"/>
            <w:vAlign w:val="bottom"/>
            <w:gridSpan w:val="2"/>
          </w:tcPr>
          <w:p>
            <w:pPr>
              <w:jc w:val="right"/>
              <w:ind w:right="21"/>
              <w:spacing w:after="0" w:line="95" w:lineRule="exact"/>
              <w:rPr>
                <w:sz w:val="20"/>
                <w:szCs w:val="20"/>
                <w:color w:val="auto"/>
              </w:rPr>
            </w:pPr>
            <w:r>
              <w:rPr>
                <w:rFonts w:ascii="Times New Roman" w:cs="Times New Roman" w:eastAsia="Times New Roman" w:hAnsi="Times New Roman"/>
                <w:sz w:val="10"/>
                <w:szCs w:val="10"/>
                <w:color w:val="auto"/>
              </w:rPr>
              <w:t>(340.75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shd w:val="clear" w:color="auto" w:fill="CCEEFF"/>
          </w:tcPr>
          <w:p>
            <w:pPr>
              <w:spacing w:after="0" w:line="277" w:lineRule="exact"/>
              <w:rPr>
                <w:sz w:val="20"/>
                <w:szCs w:val="20"/>
                <w:color w:val="auto"/>
              </w:rPr>
            </w:pPr>
            <w:r>
              <w:rPr>
                <w:rFonts w:ascii="Times New Roman" w:cs="Times New Roman" w:eastAsia="Times New Roman" w:hAnsi="Times New Roman"/>
                <w:sz w:val="18"/>
                <w:szCs w:val="18"/>
                <w:color w:val="auto"/>
              </w:rPr>
              <w:t xml:space="preserve">Weighted-average common shares outstanding – basic and diluted </w:t>
            </w:r>
            <w:r>
              <w:rPr>
                <w:rFonts w:ascii="Times New Roman" w:cs="Times New Roman" w:eastAsia="Times New Roman" w:hAnsi="Times New Roman"/>
                <w:sz w:val="29"/>
                <w:szCs w:val="29"/>
                <w:color w:val="auto"/>
                <w:vertAlign w:val="superscript"/>
              </w:rPr>
              <w:t>(1)</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8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208,573</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95,455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210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0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A</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59"/>
        </w:trPr>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1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Paid-In-   Accumulated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(Deficit)</w:t>
            </w:r>
          </w:p>
        </w:tc>
      </w:tr>
      <w:tr>
        <w:trPr>
          <w:trHeight w:val="229"/>
        </w:trPr>
        <w:tc>
          <w:tcPr>
            <w:tcW w:w="8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8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 Agrify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5"/>
        </w:trPr>
        <w:tc>
          <w:tcPr>
            <w:tcW w:w="21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Balance at January 1, 2021</w:t>
            </w:r>
          </w:p>
        </w:tc>
        <w:tc>
          <w:tcPr>
            <w:tcW w:w="76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21,058</w:t>
            </w:r>
          </w:p>
        </w:tc>
        <w:tc>
          <w:tcPr>
            <w:tcW w:w="140" w:type="dxa"/>
            <w:vAlign w:val="bottom"/>
          </w:tcPr>
          <w:p>
            <w:pPr>
              <w:spacing w:after="0"/>
              <w:rPr>
                <w:sz w:val="16"/>
                <w:szCs w:val="16"/>
                <w:color w:val="auto"/>
              </w:rPr>
            </w:pPr>
          </w:p>
        </w:tc>
        <w:tc>
          <w:tcPr>
            <w:tcW w:w="360" w:type="dxa"/>
            <w:vAlign w:val="bottom"/>
          </w:tcPr>
          <w:p>
            <w:pPr>
              <w:jc w:val="right"/>
              <w:ind w:right="170"/>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60"/>
              <w:spacing w:after="0" w:line="18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line="185" w:lineRule="exact"/>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jc w:val="right"/>
              <w:ind w:right="176"/>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ind w:left="280"/>
              <w:spacing w:after="0" w:line="185"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Beneficial conversion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feature associated with</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Convertible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Promissory Notes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Notes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8,485</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 Initial Public</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Offering (“IPO”),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fees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31,050</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 Secondary</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public offering, net of</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31,945</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in connection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 acquisition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Preferred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Stock</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6,865</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Precision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Cascade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3,332</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PurePressure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1,202</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3,288</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3,770</w:t>
            </w:r>
          </w:p>
        </w:tc>
        <w:tc>
          <w:tcPr>
            <w:tcW w:w="3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21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Balance at December 31,</w:t>
            </w: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82"/>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111,035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p>
        </w:tc>
      </w:tr>
      <w:tr>
        <w:trPr>
          <w:trHeight w:val="20"/>
        </w:trPr>
        <w:tc>
          <w:tcPr>
            <w:tcW w:w="2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-3925570</wp:posOffset>
            </wp:positionV>
            <wp:extent cx="7132320" cy="548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-3102610</wp:posOffset>
            </wp:positionV>
            <wp:extent cx="7132320" cy="548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(26,510)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(6,679)</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(6,454)</w:t>
            </w:r>
          </w:p>
        </w:tc>
      </w:tr>
      <w:tr>
        <w:trPr>
          <w:trHeight w:val="41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5,552</w:t>
            </w:r>
          </w:p>
        </w:tc>
        <w:tc>
          <w:tcPr>
            <w:tcW w:w="3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60" w:type="dxa"/>
            <w:vAlign w:val="bottom"/>
          </w:tcPr>
          <w:p>
            <w:pPr>
              <w:spacing w:after="0"/>
              <w:rPr>
                <w:sz w:val="24"/>
                <w:szCs w:val="24"/>
                <w:color w:val="auto"/>
              </w:rPr>
            </w:pPr>
          </w:p>
        </w:tc>
      </w:tr>
      <w:tr>
        <w:trPr>
          <w:trHeight w:val="86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3,869</w:t>
            </w:r>
          </w:p>
        </w:tc>
        <w:tc>
          <w:tcPr>
            <w:tcW w:w="3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3,869</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60" w:type="dxa"/>
            <w:vAlign w:val="bottom"/>
          </w:tcPr>
          <w:p>
            <w:pPr>
              <w:spacing w:after="0"/>
              <w:rPr>
                <w:sz w:val="24"/>
                <w:szCs w:val="24"/>
                <w:color w:val="auto"/>
              </w:rPr>
            </w:pPr>
          </w:p>
        </w:tc>
      </w:tr>
      <w:tr>
        <w:trPr>
          <w:trHeight w:val="432"/>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13,100</w:t>
            </w:r>
          </w:p>
        </w:tc>
        <w:tc>
          <w:tcPr>
            <w:tcW w:w="3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13,100</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60" w:type="dxa"/>
            <w:vAlign w:val="bottom"/>
          </w:tcPr>
          <w:p>
            <w:pPr>
              <w:spacing w:after="0"/>
              <w:rPr>
                <w:sz w:val="24"/>
                <w:szCs w:val="24"/>
                <w:color w:val="auto"/>
              </w:rPr>
            </w:pPr>
          </w:p>
        </w:tc>
      </w:tr>
      <w:tr>
        <w:trPr>
          <w:trHeight w:val="86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56,961</w:t>
            </w:r>
          </w:p>
        </w:tc>
        <w:tc>
          <w:tcPr>
            <w:tcW w:w="3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56,961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56,961</w:t>
            </w:r>
          </w:p>
        </w:tc>
        <w:tc>
          <w:tcPr>
            <w:tcW w:w="60" w:type="dxa"/>
            <w:vAlign w:val="bottom"/>
          </w:tcPr>
          <w:p>
            <w:pPr>
              <w:spacing w:after="0"/>
              <w:rPr>
                <w:sz w:val="24"/>
                <w:szCs w:val="24"/>
                <w:color w:val="auto"/>
              </w:rPr>
            </w:pPr>
          </w:p>
        </w:tc>
      </w:tr>
      <w:tr>
        <w:trPr>
          <w:trHeight w:val="86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79,839</w:t>
            </w:r>
          </w:p>
        </w:tc>
        <w:tc>
          <w:tcPr>
            <w:tcW w:w="3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79,839</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79,839</w:t>
            </w:r>
          </w:p>
        </w:tc>
        <w:tc>
          <w:tcPr>
            <w:tcW w:w="60" w:type="dxa"/>
            <w:vAlign w:val="bottom"/>
          </w:tcPr>
          <w:p>
            <w:pPr>
              <w:spacing w:after="0"/>
              <w:rPr>
                <w:sz w:val="24"/>
                <w:szCs w:val="24"/>
                <w:color w:val="auto"/>
              </w:rPr>
            </w:pPr>
          </w:p>
        </w:tc>
      </w:tr>
      <w:tr>
        <w:trPr>
          <w:trHeight w:val="64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24"/>
                <w:szCs w:val="24"/>
                <w:color w:val="auto"/>
              </w:rPr>
            </w:pPr>
          </w:p>
        </w:tc>
      </w:tr>
      <w:tr>
        <w:trPr>
          <w:trHeight w:val="432"/>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12,355</w:t>
            </w:r>
          </w:p>
        </w:tc>
        <w:tc>
          <w:tcPr>
            <w:tcW w:w="3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60" w:type="dxa"/>
            <w:vAlign w:val="bottom"/>
          </w:tcPr>
          <w:p>
            <w:pPr>
              <w:spacing w:after="0"/>
              <w:rPr>
                <w:sz w:val="24"/>
                <w:szCs w:val="24"/>
                <w:color w:val="auto"/>
              </w:rPr>
            </w:pPr>
          </w:p>
        </w:tc>
      </w:tr>
      <w:tr>
        <w:trPr>
          <w:trHeight w:val="41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2,211</w:t>
            </w:r>
          </w:p>
        </w:tc>
        <w:tc>
          <w:tcPr>
            <w:tcW w:w="3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60" w:type="dxa"/>
            <w:vAlign w:val="bottom"/>
          </w:tcPr>
          <w:p>
            <w:pPr>
              <w:spacing w:after="0"/>
              <w:rPr>
                <w:sz w:val="24"/>
                <w:szCs w:val="24"/>
                <w:color w:val="auto"/>
              </w:rPr>
            </w:pPr>
          </w:p>
        </w:tc>
      </w:tr>
      <w:tr>
        <w:trPr>
          <w:trHeight w:val="216"/>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60" w:type="dxa"/>
            <w:vAlign w:val="bottom"/>
          </w:tcPr>
          <w:p>
            <w:pPr>
              <w:spacing w:after="0"/>
              <w:rPr>
                <w:sz w:val="18"/>
                <w:szCs w:val="18"/>
                <w:color w:val="auto"/>
              </w:rPr>
            </w:pPr>
          </w:p>
        </w:tc>
      </w:tr>
      <w:tr>
        <w:trPr>
          <w:trHeight w:val="216"/>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r>
      <w:tr>
        <w:trPr>
          <w:trHeight w:val="24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(32,465)</w:t>
            </w:r>
          </w:p>
        </w:tc>
        <w:tc>
          <w:tcPr>
            <w:tcW w:w="3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(32,465)</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(32,325)</w:t>
            </w:r>
          </w:p>
        </w:tc>
      </w:tr>
      <w:tr>
        <w:trPr>
          <w:trHeight w:val="27"/>
        </w:trPr>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66"/>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w w:val="95"/>
              </w:rPr>
              <w:t>196,034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(58,975</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137,059</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137,424</w:t>
            </w:r>
          </w:p>
        </w:tc>
        <w:tc>
          <w:tcPr>
            <w:tcW w:w="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-16510</wp:posOffset>
            </wp:positionV>
            <wp:extent cx="55753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55753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220"/>
            <w:col w:w="5220"/>
          </w:cols>
          <w:pgMar w:left="320" w:top="873"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Preferred 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w:t>
            </w:r>
          </w:p>
        </w:tc>
        <w:tc>
          <w:tcPr>
            <w:tcW w:w="20" w:type="dxa"/>
            <w:vAlign w:val="bottom"/>
          </w:tcPr>
          <w:p>
            <w:pPr>
              <w:spacing w:after="0"/>
              <w:rPr>
                <w:sz w:val="18"/>
                <w:szCs w:val="18"/>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59"/>
        </w:trPr>
        <w:tc>
          <w:tcPr>
            <w:tcW w:w="2100" w:type="dxa"/>
            <w:vAlign w:val="bottom"/>
          </w:tcPr>
          <w:p>
            <w:pPr>
              <w:spacing w:after="0"/>
              <w:rPr>
                <w:sz w:val="22"/>
                <w:szCs w:val="22"/>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6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40" w:type="dxa"/>
            <w:vAlign w:val="bottom"/>
          </w:tcPr>
          <w:p>
            <w:pPr>
              <w:spacing w:after="0"/>
              <w:rPr>
                <w:sz w:val="22"/>
                <w:szCs w:val="22"/>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r>
      <w:tr>
        <w:trPr>
          <w:trHeight w:val="236"/>
        </w:trPr>
        <w:tc>
          <w:tcPr>
            <w:tcW w:w="2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 Agrify</w:t>
            </w: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196,034</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198"/>
        </w:trPr>
        <w:tc>
          <w:tcPr>
            <w:tcW w:w="21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4,319</w:t>
            </w:r>
          </w:p>
        </w:tc>
        <w:tc>
          <w:tcPr>
            <w:tcW w:w="40" w:type="dxa"/>
            <w:vAlign w:val="bottom"/>
          </w:tcPr>
          <w:p>
            <w:pPr>
              <w:spacing w:after="0"/>
              <w:rPr>
                <w:sz w:val="20"/>
                <w:szCs w:val="20"/>
                <w:color w:val="auto"/>
              </w:rPr>
            </w:pPr>
          </w:p>
        </w:tc>
      </w:tr>
      <w:tr>
        <w:trPr>
          <w:trHeight w:val="198"/>
        </w:trPr>
        <w:tc>
          <w:tcPr>
            <w:tcW w:w="21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warrants, and</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prefunded warrants in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private placement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20,105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14,824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14,824</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14,824</w:t>
            </w:r>
          </w:p>
        </w:tc>
        <w:tc>
          <w:tcPr>
            <w:tcW w:w="40" w:type="dxa"/>
            <w:vAlign w:val="bottom"/>
            <w:shd w:val="clear" w:color="auto" w:fill="CCEEFF"/>
          </w:tcPr>
          <w:p>
            <w:pPr>
              <w:spacing w:after="0"/>
              <w:rPr>
                <w:sz w:val="20"/>
                <w:szCs w:val="20"/>
                <w:color w:val="auto"/>
              </w:rPr>
            </w:pPr>
          </w:p>
        </w:tc>
      </w:tr>
      <w:tr>
        <w:trPr>
          <w:trHeight w:val="198"/>
        </w:trPr>
        <w:tc>
          <w:tcPr>
            <w:tcW w:w="21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Confidentially marketed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public offering</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594,232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3,270</w:t>
            </w:r>
          </w:p>
        </w:tc>
        <w:tc>
          <w:tcPr>
            <w:tcW w:w="40" w:type="dxa"/>
            <w:vAlign w:val="bottom"/>
          </w:tcPr>
          <w:p>
            <w:pPr>
              <w:spacing w:after="0"/>
              <w:rPr>
                <w:sz w:val="20"/>
                <w:szCs w:val="20"/>
                <w:color w:val="auto"/>
              </w:rPr>
            </w:pPr>
          </w:p>
        </w:tc>
      </w:tr>
      <w:tr>
        <w:trPr>
          <w:trHeight w:val="198"/>
        </w:trPr>
        <w:tc>
          <w:tcPr>
            <w:tcW w:w="21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through an “at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market” offering,</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of fees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306,628</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15,042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15,042</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15,042</w:t>
            </w:r>
          </w:p>
        </w:tc>
        <w:tc>
          <w:tcPr>
            <w:tcW w:w="40" w:type="dxa"/>
            <w:vAlign w:val="bottom"/>
            <w:shd w:val="clear" w:color="auto" w:fill="CCEEFF"/>
          </w:tcPr>
          <w:p>
            <w:pPr>
              <w:spacing w:after="0"/>
              <w:rPr>
                <w:sz w:val="20"/>
                <w:szCs w:val="20"/>
                <w:color w:val="auto"/>
              </w:rPr>
            </w:pPr>
          </w:p>
        </w:tc>
      </w:tr>
      <w:tr>
        <w:trPr>
          <w:trHeight w:val="198"/>
        </w:trPr>
        <w:tc>
          <w:tcPr>
            <w:tcW w:w="21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for</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liabilities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2,220</w:t>
            </w:r>
          </w:p>
        </w:tc>
        <w:tc>
          <w:tcPr>
            <w:tcW w:w="40" w:type="dxa"/>
            <w:vAlign w:val="bottom"/>
          </w:tcPr>
          <w:p>
            <w:pPr>
              <w:spacing w:after="0"/>
              <w:rPr>
                <w:sz w:val="20"/>
                <w:szCs w:val="20"/>
                <w:color w:val="auto"/>
              </w:rPr>
            </w:pPr>
          </w:p>
        </w:tc>
      </w:tr>
      <w:tr>
        <w:trPr>
          <w:trHeight w:val="198"/>
        </w:trPr>
        <w:tc>
          <w:tcPr>
            <w:tcW w:w="21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Acquisition of Lab</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Society</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1,904</w:t>
            </w:r>
          </w:p>
        </w:tc>
        <w:tc>
          <w:tcPr>
            <w:tcW w:w="40" w:type="dxa"/>
            <w:vAlign w:val="bottom"/>
            <w:shd w:val="clear" w:color="auto" w:fill="CCEEFF"/>
          </w:tcPr>
          <w:p>
            <w:pPr>
              <w:spacing w:after="0"/>
              <w:rPr>
                <w:sz w:val="20"/>
                <w:szCs w:val="20"/>
                <w:color w:val="auto"/>
              </w:rPr>
            </w:pPr>
          </w:p>
        </w:tc>
      </w:tr>
      <w:tr>
        <w:trPr>
          <w:trHeight w:val="216"/>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r>
      <w:tr>
        <w:trPr>
          <w:trHeight w:val="216"/>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shd w:val="clear" w:color="auto" w:fill="CCEEFF"/>
          </w:tcPr>
          <w:p>
            <w:pPr>
              <w:spacing w:after="0"/>
              <w:rPr>
                <w:sz w:val="18"/>
                <w:szCs w:val="18"/>
                <w:color w:val="auto"/>
              </w:rPr>
            </w:pPr>
          </w:p>
        </w:tc>
      </w:tr>
      <w:tr>
        <w:trPr>
          <w:trHeight w:val="198"/>
        </w:trPr>
        <w:tc>
          <w:tcPr>
            <w:tcW w:w="21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Vesting of restricted stock</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(188,173)</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(188,173)</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(188,307)</w:t>
            </w:r>
          </w:p>
        </w:tc>
      </w:tr>
      <w:tr>
        <w:trPr>
          <w:trHeight w:val="171"/>
        </w:trPr>
        <w:tc>
          <w:tcPr>
            <w:tcW w:w="210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at December 31,</w:t>
            </w: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r>
        <w:trPr>
          <w:trHeight w:val="268"/>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1,038,298</w:t>
            </w:r>
          </w:p>
        </w:tc>
        <w:tc>
          <w:tcPr>
            <w:tcW w:w="640" w:type="dxa"/>
            <w:vAlign w:val="bottom"/>
            <w:gridSpan w:val="2"/>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237,875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(247,148) $</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(9,041)</w:t>
            </w:r>
          </w:p>
        </w:tc>
        <w:tc>
          <w:tcPr>
            <w:tcW w:w="40" w:type="dxa"/>
            <w:vAlign w:val="bottom"/>
          </w:tcPr>
          <w:p>
            <w:pPr>
              <w:spacing w:after="0"/>
              <w:rPr>
                <w:sz w:val="23"/>
                <w:szCs w:val="23"/>
                <w:color w:val="auto"/>
              </w:rPr>
            </w:pPr>
          </w:p>
        </w:tc>
      </w:tr>
      <w:tr>
        <w:trPr>
          <w:trHeight w:val="34"/>
        </w:trPr>
        <w:tc>
          <w:tcPr>
            <w:tcW w:w="210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(188,173)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(32,465)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3,047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on goodwill and intangible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69,904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extinguishment of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38,985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(51,461)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36,694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31,480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4,459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in connection with the issuance of stock options and restricted stock units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4,319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shares in connection with acquisition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from disposal of fixed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2,912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attributed to non-controlling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(30,248)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3,222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11,236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(8,555)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(8,134)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intangibles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(294,687)</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(62,209)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329,009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fixed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loans receivable,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(23,009)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contingent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(3,330)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escrow account related to Sinclair acquisition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business combination, net of cash acquired</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(3,517)</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(35,908)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debt and warrants in Security Purchase Agreement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61,817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Common Stock and warrants in private placement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25,796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Common Stock through an “at the market” offering, net of fees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15,042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IPO, net of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Secondary public offering, net of fees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confidentially marketed public offering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8,193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debt in private placement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(35,497)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notes payable, 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other financing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(1,557)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12,014</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p>
      <w:pPr>
        <w:sectPr>
          <w:pgSz w:w="11900" w:h="16838" w:orient="portrait"/>
          <w:cols w:equalWidth="0" w:num="1">
            <w:col w:w="11240"/>
          </w:cols>
          <w:pgMar w:left="320" w:top="873" w:right="339" w:bottom="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12,014</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 at the end of period</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20,457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taxes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information</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sold for loan receivable to customer</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55,627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leading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 </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believes it is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well-positioned to capture market share and create a dominant market position in the indoor cannabis sector.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nine wholly-owned subsidiaries, which are collectively referred to as the “Subsidiaries” and the Company also has ownership interests in certain companies. (Please refer to Exhibit 21.1 for further details.)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Annual Report on Form 10-K has been retroactively adjusted to reflect the impact of these reverse stock splits.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Initial Public Offering and Secondary Public Offering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 2021, the Company closed its initial public offering, or (“IPO”), of 31,050 shares of its Common Stock (inclusive of 4,050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333-251616 and 333-252490), which was declared effective by the Securities Exchange Commission (“SEC”) on January 27, 2021. In the IPO, Maxim Group LLC and Roth Capital Partners acted as the underwriters. The IPO price for shares of Common Stock was $2,000.00 per share. The total gross proceeds from the IPO were $62.1 million.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deducting underwriting discounts and commissions of $4 million and offering expenses paid by the Company of approximately $1 million, the net proceeds from the IPO were approximately $57 million. The Company used the net proceeds from the IPO for its working capital needs, to support revenue growth, increase inventory to meet customer demand forecasts, and support operational growth.</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19, 2021, the Company consummated a secondary public offering (the “February Offering”) of 27,778 shares of its Common Stock for a price of $2,700.00 per share, less certain underwriting discounts, and commissions. On March 22, 2021, the Company closed on the sale of an additional 4,167 shares of Common Stock on the same terms and conditions pursuant to the exercise of the underwriters’ over-allotment option. The exercise of the over-allotment option brought the total number of shares of Common Stock sold by the Company in connection with the February Offering to 31,945 shares and the total net proceeds received in connection with the February Offering to approximately $80 million, after deducting underwriting discounts and offering expenses. The Company used the net proceeds from the IPO for its working capital needs, to support revenue growth, increase inventory, meet customer demand forecasts, and support operational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16, 2022, the Company entered into an underwriting agreement (the “Underwriting Agreement”) with Canaccord Genuity LLC as the underwriter, pursuant to which the Company agreed to issue and sell an aggregate of 594,232 shares of its Common Stock, and, in lieu of Common Stock to certain investors that so chose, pre-funded warrants (the “Pre-Funded 2022 Warrants”) to purchase 75,000 shares of our Common Stock, and accompanying warrants (the “December 2022 Warrants”) to purchase 1,338,462 shares of the Company’s Common Stock (the “Offering”). The shares of Common Stock (or Pre-Funded 2022 Warrants) and the accompanying December 2022 Warrants will be issued separately but can only be purchased together in this Offering. Additional information regarding the Company’s December 2022 Warrants may be found in Note 4 – Fair Value Measures and Note 12 – Stockholders’ Equity, included elsewhere in the notes to the consolidated financial statements.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gross proceeds to the Company from the Offering were approximately $8.7 million including offering costs of approximately $0.5 million for broker fees and legal expenses, for net proceeds of $8.2 million. The Company has used the net proceeds from the Offering, together with its existing cash resources, for working capital and general corporate purposes, which may include capital expenditures and repayment of debt.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4, 2022, the Company received a deficiency letter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exercised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19, 2023, the Company received a new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July 19, 2023, the Company received a notice from Nasdaq confirming its recompliance with the minimum bid price rule.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disclosed in the Current Report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10-K, the First Quarter 2023 Form 10-Q and the Second Quarter 2023 Form 10-Q without unreasonable effort or expense.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ind w:left="340"/>
        <w:spacing w:after="0"/>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Notice had no immediate effect on the listing of the Company’s common stock on The Nasdaq Stock Market LLC.</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timely requested a hearing before the Nasdaq Hearings Panel (the “Panel”), and the Panel scheduled a hearing for January 11, 2024. In connection with the hearing request, the Company requested that the stay be extended through the hearing and the expiration of any additional extension period granted by the Panel following the hearing. In that regard, pursuant to the Nasdaq Listing Rules, the Panel granted the additional extension period. However, there can be no assurance that the Company will be able to regain compliance by the end of any additional extension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Paycheck Protection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 PPP Loan. On February 18, 2022, the Company applied for forgiveness of the outstanding balance of the PPP Loan and the application was denied by the SBA on March 18,2022. However, on June 23, 2022, the Company received a letter from Bank of America agreeing to extend the maturity date to May 7, 2025 and the loan will bear interest at a rate of 1.00% per year. The PPP loan is payable in 34 equal combined monthly principal and interest payments of approximately $24 thousand that commenced on August 7, 2022.</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2020, the Company received a separate PPP loan in the amount of $45,000. In September 2021, this loan was 100% forgiven by the SBA. The forgiveness of this loan is reflected in the 2021 Consolidated Statement of Operations as a gain on forgiveness.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and include the accounts of Agrify Corporation and its wholly-owned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wholly-owned subsidiaries, which include Teejan Podponics International LLC (“TPI”), Agrify-Valiant LLC (“Agrify-Valiant”), and Agrify Brands, LLC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194" w:lineRule="exact"/>
        <w:rPr>
          <w:sz w:val="20"/>
          <w:szCs w:val="20"/>
          <w:color w:val="auto"/>
        </w:rPr>
      </w:pPr>
    </w:p>
    <w:p>
      <w:pPr>
        <w:jc w:val="both"/>
        <w:ind w:firstLine="379"/>
        <w:spacing w:after="0" w:line="254" w:lineRule="auto"/>
        <w:rPr>
          <w:sz w:val="20"/>
          <w:szCs w:val="20"/>
          <w:color w:val="auto"/>
        </w:rPr>
      </w:pPr>
      <w:r>
        <w:rPr>
          <w:rFonts w:ascii="Times New Roman" w:cs="Times New Roman" w:eastAsia="Times New Roman" w:hAnsi="Times New Roman"/>
          <w:sz w:val="18"/>
          <w:szCs w:val="18"/>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consolidated financial statements’ issuance date. The following matters raise substantial doubt about the Company’s ability to continue as a going concern within one year after the date the consolidated financial statements are issued.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has negative cash flows from operations and a working capital deficiency. The Company also has an accumulated deficit of approximately $247.1 million as of December 31, 2022.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markets, including under its at-the-market continuous equity offering (“ATM” or “ATM Program”).</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$20.5 million of cash, cash equivalents, and restricted cash. The Company’s restricted cash is associated with its senior secured note (the “Exchange Note”) and was $10.0 million as of December 31, 2022. Additional information regarding the Company’s Exchange Note may be found in Note 9 – Debt, included elsewhere in the notes to the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Canaccord Genuity LLC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Program at an average price of $50.85 per share, resulting in gross proceeds of $15.6 million, and net proceeds of $15.0 million after commissions and fees to the Agent totaling $468 thousand and legal fees totaling $75 thousand. Subsequent to December 31, 2022 through April 1, 2023, after which time the ATM program was discontinued, the Company sold an additional 323,082 shares of Common Stock under the ATM at an average price of $4.93, resulting in gross proceeds of $1.6 million and net proceeds of $1.6 million after commissions and fees to the Agent totaling $48 thousand. $3.0 million of the proceeds under the ATM Program were used to repay amounts due to the Investor under the Exchange Note. The Company used the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which implies the Company believes these conditions raise substantial doubt about its ability to continue as a going concern within the next twelve-months from the date these consolidated financial statements are available to be issued. The Company’s continuation as a going concern is dependent upon its ability to obtain the necessary debt or equity financing to continue operations until the Company begins generating sufficient cash flows from operations to meet its obligations. If the Company is unable raise additional funds, it may be forced to cease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 consolidated financial statements do not include any adjustments to reflect the potential future effects on the recoverability and classification of assets or the amounts and classifications of liabilities that may result should the Company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notes receivable, the valuation and recognition of stock-based compensation expense, valuation allowance for deferred tax assets, the valuation of inventory, and useful life of fixed assets and intangible assets. The Company bases its estimates on historical experience, known trends and other market-specific information,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amounts in the Company’s prior period consolidated financial statements have been reclassified to conform to the presentation of the current period consolidated financial statements. In this Form 10-K, the Company has reclassified selling, general and administrative expenses to two separate line items in the accompanying consolidated statements of operations as general and administrative expenses and selling and marketing expenses for the years ended December 31, 2022 and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Company effected a 1-for-10 reverse stock split of its Common Stock on October 18, 2022 and a 1-for-20 reverse stock split of its Common Stock on July 5, 2023. All share and per share information has been retroactively adjusted to give effect to the reverse stock split for all periods presented unless otherwise indicated. The shares of Common Stock retained a par value of $0.001 per share. Accordingly, the Stockholders’ equity section of the Consolidated Balance Sheet reflects the reverse stock split by reclassifying from “Common Stock” to “Additional paid-in capital” an amount equal to the par value of the decreased shares resulting from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consists principally of cash and deposits with maturities of three months or less as of December 31, 2022 and 2021. All cash equivalents are carried at cost, which approximates fair value. Restricted cash represents cash required to be held as collateral for the Company’s Notes. Accordingly, these balances contain restrictions as to their availability and usage and are classified as restricted cash in the consolidated balance sheets. Additional information relating to the Company’s Notes may be found in Note 9 – Debt, included elsewhere in the notes to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restricted cash,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show customers who account for 10% or more of the Company’s total revenues and 10% or more of the Company’s accounts receivable for the periods presented.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2022 and 2021, the Company’s customers that accounted for 10% or more of the total revenue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8"/>
                <w:szCs w:val="18"/>
                <w:color w:val="auto"/>
              </w:rPr>
            </w:pPr>
          </w:p>
        </w:tc>
        <w:tc>
          <w:tcPr>
            <w:tcW w:w="24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1"/>
                <w:szCs w:val="21"/>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0" w:type="dxa"/>
            <w:vAlign w:val="bottom"/>
          </w:tcPr>
          <w:p>
            <w:pPr>
              <w:spacing w:after="0"/>
              <w:rPr>
                <w:sz w:val="1"/>
                <w:szCs w:val="1"/>
                <w:color w:val="auto"/>
              </w:rPr>
            </w:pP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England Innovation Academy (“NEIA”) – Related Party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198"/>
        </w:trPr>
        <w:tc>
          <w:tcPr>
            <w:tcW w:w="5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Greenstone Holdings (“Greenstone”) – Greenstone is a related party because one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the Company’s former Agrify Brands employees and its VP of Engineering</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had a minority ownership</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revenue, as a percentage of total revenue, was less than 10%</w:t>
      </w:r>
    </w:p>
    <w:p>
      <w:pPr>
        <w:spacing w:after="0" w:line="22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and 2021, the Company’s customers that accounted for 10% or more of the total accounts receivable, net,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1"/>
                <w:szCs w:val="21"/>
                <w:color w:val="auto"/>
              </w:rPr>
            </w:pPr>
          </w:p>
        </w:tc>
        <w:tc>
          <w:tcPr>
            <w:tcW w:w="2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Accounts</w:t>
            </w: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 – Related Party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48.4%</w:t>
            </w:r>
          </w:p>
        </w:tc>
      </w:tr>
      <w:tr>
        <w:trPr>
          <w:trHeight w:val="257"/>
        </w:trPr>
        <w:tc>
          <w:tcPr>
            <w:tcW w:w="5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Company Customer Number – 126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22"/>
                <w:szCs w:val="22"/>
                <w:color w:val="auto"/>
              </w:rPr>
            </w:pPr>
          </w:p>
        </w:tc>
        <w:tc>
          <w:tcPr>
            <w:tcW w:w="11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8"/>
              </w:rPr>
              <w:t>21.3%</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15095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32.9%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10888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12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23.5%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16491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11.5%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accounts receivable balance, as a percentage of total accounts receivable balance, was less than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accounts receivable balance was fully reserved at December 31, 2022 due to an ongoing dispute with the customer.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physical inventory at least once annually at all inventory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w:t>
            </w:r>
          </w:p>
        </w:tc>
      </w:tr>
      <w:tr>
        <w:trPr>
          <w:trHeight w:val="216"/>
        </w:trPr>
        <w:tc>
          <w:tcPr>
            <w:tcW w:w="45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45"/>
        </w:trPr>
        <w:tc>
          <w:tcPr>
            <w:tcW w:w="4500" w:type="dxa"/>
            <w:vAlign w:val="bottom"/>
            <w:tcBorders>
              <w:bottom w:val="single" w:sz="8" w:color="CCEEFF"/>
            </w:tcBorders>
          </w:tcPr>
          <w:p>
            <w:pPr>
              <w:spacing w:after="0"/>
              <w:rPr>
                <w:sz w:val="21"/>
                <w:szCs w:val="21"/>
                <w:color w:val="auto"/>
              </w:rPr>
            </w:pPr>
          </w:p>
        </w:tc>
        <w:tc>
          <w:tcPr>
            <w:tcW w:w="54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54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to 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740" w:type="dxa"/>
            <w:vAlign w:val="bottom"/>
            <w:gridSpan w:val="2"/>
          </w:tcPr>
          <w:p>
            <w:pPr>
              <w:jc w:val="center"/>
              <w:ind w:left="533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6740" w:type="dxa"/>
            <w:vAlign w:val="bottom"/>
            <w:gridSpan w:val="2"/>
            <w:shd w:val="clear" w:color="auto" w:fill="CCEEFF"/>
          </w:tcPr>
          <w:p>
            <w:pPr>
              <w:jc w:val="center"/>
              <w:ind w:left="533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6740" w:type="dxa"/>
            <w:vAlign w:val="bottom"/>
            <w:gridSpan w:val="2"/>
          </w:tcPr>
          <w:p>
            <w:pPr>
              <w:jc w:val="center"/>
              <w:ind w:left="53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6740" w:type="dxa"/>
            <w:vAlign w:val="bottom"/>
            <w:gridSpan w:val="2"/>
            <w:shd w:val="clear" w:color="auto" w:fill="CCEEFF"/>
          </w:tcPr>
          <w:p>
            <w:pPr>
              <w:jc w:val="center"/>
              <w:ind w:left="53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4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54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54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198"/>
        </w:trPr>
        <w:tc>
          <w:tcPr>
            <w:tcW w:w="450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Lower of</w:t>
            </w:r>
          </w:p>
        </w:tc>
      </w:tr>
      <w:tr>
        <w:trPr>
          <w:trHeight w:val="216"/>
        </w:trPr>
        <w:tc>
          <w:tcPr>
            <w:tcW w:w="45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estimated useful</w:t>
            </w:r>
          </w:p>
        </w:tc>
      </w:tr>
      <w:tr>
        <w:trPr>
          <w:trHeight w:val="216"/>
        </w:trPr>
        <w:tc>
          <w:tcPr>
            <w:tcW w:w="45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life or remaining</w:t>
            </w:r>
          </w:p>
        </w:tc>
      </w:tr>
      <w:tr>
        <w:trPr>
          <w:trHeight w:val="23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2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 term</w:t>
            </w:r>
          </w:p>
        </w:tc>
      </w:tr>
      <w:tr>
        <w:trPr>
          <w:trHeight w:val="655"/>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F-15</w:t>
            </w:r>
          </w:p>
        </w:tc>
      </w:tr>
    </w:tbl>
    <w:p>
      <w:pPr>
        <w:sectPr>
          <w:pgSz w:w="11900" w:h="16838" w:orient="portrait"/>
          <w:cols w:equalWidth="0" w:num="1">
            <w:col w:w="11240"/>
          </w:cols>
          <w:pgMar w:left="320" w:top="877" w:right="339" w:bottom="55" w:gutter="0" w:footer="0" w:header="0"/>
        </w:sectPr>
      </w:pPr>
    </w:p>
    <w:bookmarkStart w:id="111" w:name="page112"/>
    <w:bookmarkEnd w:id="11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 and any resulting gain or loss are included in the consolidated statements of operations in the period of retirement or disposal.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During construction, costs are accumulated in a construction-in-progress account, with no depreciation. Upon completion, costs are transferred to the appropriate asset account, and depreciation begins when the asset is placed into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goodwill. Accordingly, the Company concluded that the entire carrying value of its goodwill was impaired, resulting in a second-quarter impairment charge of $54.7 million. Additional information regarding the Company’s interim testing on goodwill may be found in Note 7 – Goodwill and Intangible Assets, Net,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initially records intangible assets at their estimated fair values and reviews these assets periodically for impairment. Identifiable intangible assets, which consist principally of customer-related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useful lives are as follows:</w:t>
            </w:r>
          </w:p>
        </w:tc>
        <w:tc>
          <w:tcPr>
            <w:tcW w:w="7220" w:type="dxa"/>
            <w:vAlign w:val="bottom"/>
          </w:tcPr>
          <w:p>
            <w:pPr>
              <w:spacing w:after="0"/>
              <w:rPr>
                <w:sz w:val="20"/>
                <w:szCs w:val="20"/>
                <w:color w:val="auto"/>
              </w:rPr>
            </w:pPr>
          </w:p>
        </w:tc>
      </w:tr>
      <w:tr>
        <w:trPr>
          <w:trHeight w:val="216"/>
        </w:trPr>
        <w:tc>
          <w:tcPr>
            <w:tcW w:w="4020" w:type="dxa"/>
            <w:vAlign w:val="bottom"/>
          </w:tcPr>
          <w:p>
            <w:pPr>
              <w:spacing w:after="0"/>
              <w:rPr>
                <w:sz w:val="18"/>
                <w:szCs w:val="18"/>
                <w:color w:val="auto"/>
              </w:rPr>
            </w:pPr>
          </w:p>
        </w:tc>
        <w:tc>
          <w:tcPr>
            <w:tcW w:w="722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7220" w:type="dxa"/>
            <w:vAlign w:val="bottom"/>
            <w:shd w:val="clear" w:color="auto" w:fill="CCEEFF"/>
          </w:tcPr>
          <w:p>
            <w:pPr>
              <w:jc w:val="center"/>
              <w:ind w:left="5890"/>
              <w:spacing w:after="0"/>
              <w:rPr>
                <w:sz w:val="20"/>
                <w:szCs w:val="20"/>
                <w:color w:val="auto"/>
              </w:rPr>
            </w:pPr>
            <w:r>
              <w:rPr>
                <w:rFonts w:ascii="Times New Roman" w:cs="Times New Roman" w:eastAsia="Times New Roman" w:hAnsi="Times New Roman"/>
                <w:sz w:val="18"/>
                <w:szCs w:val="18"/>
                <w:color w:val="auto"/>
              </w:rPr>
              <w:t>5 to 7 years</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7220" w:type="dxa"/>
            <w:vAlign w:val="bottom"/>
          </w:tcPr>
          <w:p>
            <w:pPr>
              <w:jc w:val="center"/>
              <w:ind w:left="5890"/>
              <w:spacing w:after="0"/>
              <w:rPr>
                <w:sz w:val="20"/>
                <w:szCs w:val="20"/>
                <w:color w:val="auto"/>
              </w:rPr>
            </w:pPr>
            <w:r>
              <w:rPr>
                <w:rFonts w:ascii="Times New Roman" w:cs="Times New Roman" w:eastAsia="Times New Roman" w:hAnsi="Times New Roman"/>
                <w:sz w:val="18"/>
                <w:szCs w:val="18"/>
                <w:color w:val="auto"/>
              </w:rPr>
              <w:t>5 to 8 years</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7220" w:type="dxa"/>
            <w:vAlign w:val="bottom"/>
            <w:shd w:val="clear" w:color="auto" w:fill="CCEEFF"/>
          </w:tcPr>
          <w:p>
            <w:pPr>
              <w:jc w:val="center"/>
              <w:ind w:left="589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7220" w:type="dxa"/>
            <w:vAlign w:val="bottom"/>
          </w:tcPr>
          <w:p>
            <w:pPr>
              <w:jc w:val="center"/>
              <w:ind w:left="5890"/>
              <w:spacing w:after="0"/>
              <w:rPr>
                <w:sz w:val="20"/>
                <w:szCs w:val="20"/>
                <w:color w:val="auto"/>
              </w:rPr>
            </w:pPr>
            <w:r>
              <w:rPr>
                <w:rFonts w:ascii="Times New Roman" w:cs="Times New Roman" w:eastAsia="Times New Roman" w:hAnsi="Times New Roman"/>
                <w:sz w:val="18"/>
                <w:szCs w:val="18"/>
                <w:color w:val="auto"/>
              </w:rPr>
              <w:t>5 to 8 years</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7220" w:type="dxa"/>
            <w:vAlign w:val="bottom"/>
            <w:shd w:val="clear" w:color="auto" w:fill="CCEEFF"/>
          </w:tcPr>
          <w:p>
            <w:pPr>
              <w:jc w:val="center"/>
              <w:ind w:left="5890"/>
              <w:spacing w:after="0"/>
              <w:rPr>
                <w:sz w:val="20"/>
                <w:szCs w:val="20"/>
                <w:color w:val="auto"/>
              </w:rPr>
            </w:pPr>
            <w:r>
              <w:rPr>
                <w:rFonts w:ascii="Times New Roman" w:cs="Times New Roman" w:eastAsia="Times New Roman" w:hAnsi="Times New Roman"/>
                <w:sz w:val="18"/>
                <w:szCs w:val="18"/>
                <w:color w:val="auto"/>
              </w:rPr>
              <w:t>3 to 5 years</w:t>
            </w:r>
          </w:p>
        </w:tc>
      </w:tr>
      <w:tr>
        <w:trPr>
          <w:trHeight w:val="655"/>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F-16</w:t>
            </w:r>
          </w:p>
        </w:tc>
      </w:tr>
    </w:tbl>
    <w:p>
      <w:pPr>
        <w:sectPr>
          <w:pgSz w:w="11900" w:h="16838" w:orient="portrait"/>
          <w:cols w:equalWidth="0" w:num="1">
            <w:col w:w="11240"/>
          </w:cols>
          <w:pgMar w:left="320" w:top="877" w:right="339" w:bottom="1440" w:gutter="0" w:footer="0" w:header="0"/>
        </w:sectPr>
      </w:pPr>
    </w:p>
    <w:bookmarkStart w:id="112" w:name="page113"/>
    <w:bookmarkEnd w:id="11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intangible assets. Accordingly, the Company concluded that the entire carrying value of its intangible assets should be impaired, resulting in a second-quarter impairment charge of $15.2 million. Additional information regarding the Company’s interim testing on intangible assets may be found in Note 7 – Goodwill and Intangible Assets, Net,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the Company identify and record certain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determines that an instrument is not a derivative liability, it then evaluates whether there is a BCF, by comparing the commitment date fair value to the effective current conversion price of the instrument. The Company records a BCF as a debt discount which is amortized to interest expense over the life of the respective note using the effective interest method. BCFs that are contingent upon the occurrence of a future event are recognized when the contingency is resolved. Additionally, adoption of ASU 2020-06 simplifies the accounting for convertible instruments by eliminating the cash conversion and the BCF accounting models for convertible debt and convertible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18, 2022, the Company reached an agreement with its institutional lender to amend its existing Securities Purchase Agreement and entered into a Securities Exchange Agreement (the “August 2022 Exchange Agreement”). Pursuant to the August 2022 Exchange Agreement, the Company issued a new warrant to purchase 71,139 shares of Common Stock (the “Note Exchange Warrant”) and modified an existing warrant (the “SPA Warrant”) to purchase up to an aggregate of 34,406 shares of Common Stock. The Company exchanged the SPA Warrant for a new warrant for the same number of underlying shares but with a reduced exercise price (the “Modified Warrants” and, collectively with the Note Exchange Warrant, the “August 2022 Warrants”). Additional information regarding the August 2022 Exchange Agreement and August 2022 Warrants may be found in Note 4 – Fair Value Measures and Note 9 – Debt, included elsewhere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includes amounts collected or billed in excess of revenue that the Company can recognize. The Company recognizes deferred revenue and non-current deferred revenue as revenue as the related performance obligation is satisfied. The Company records deferred revenue that will be recognized during the succeeding twelve-month period as a current liability on the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accounts payable and accrued expenses. The estimated fair values of accounts receivable and accounts payable approximate their carrying values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directors, and consultants,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4 – Fair Value Measures, included elsewhere in the notes to the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(1) equipment sales, (2) providing services and (3) construction contracts.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the Company recognizes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in the form of royalties, revenue share, monthly fees, and service credits at contract inception and it is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years ended December 31, 2022 and 2021, the Company did not have any such financial income.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$553 thousand and $398 thousand for December 31, 2022 and 2021,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capitalizes certain software engineering efforts related to the continued development of Agrify Insights™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2022, tax years 2017 through 2021 remain open for audit by the Internal Revenue Service (“IRS”). The Company has received no notice of audit from the IRS for any of the open tax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the Company recorded a deferred tax liability of approximately $25 thousand, comprised of its change in deferred tax liability during the year related to its indefinite-lived intangible asset balance. The indefinite-lived intangibles are not all available as a source of income and thus are not fully available to offset the Company’s deferred tax assets. As of December 31, 2022, the Company has federal and state net operating loss (“NOL”) carryforwards of approximately $96.7 million and $71.6 million, respectively. There was no federal income tax expense for the years ended December 31, 2022 and 2021 due to the Company’s net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reverse stock splits effected on January 12, 2021, October 18, 2022 and July 5, 2023. Net loss per share was calculated based on the weighted-average number of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an Entity’s Own Equity (Subtopic 815-40): Accounting for Convertible Instruments and Contracts in an Entity’s Own Equity. The amendments in ASU No. 2020-06 simplify the complexity associated with applying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adoption of this new accounting guidance had no impact on the Company’s consolidated financial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for fiscal years beginning after December 15, 2022. The Company does not expect that the application of ASU No. 2016-13 will have a material impact on the presentation of its results of operations, financial position, or disclosures.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Company does not expect that the application of ASU 2021-08 will have a material impact on the presentation of its results of operations, financial position, or disclosures.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Note 2 — Revenue and Deferred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disaggregated by the timing of revenue recognition: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34,813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2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23,446</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36,235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58,259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59,859</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the Company’s revenue disaggregated by revenue type: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Facility build-outs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Extraction solutions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40" w:lineRule="exact"/>
        <w:rPr>
          <w:sz w:val="20"/>
          <w:szCs w:val="20"/>
          <w:color w:val="auto"/>
        </w:rPr>
      </w:pPr>
    </w:p>
    <w:p>
      <w:pPr>
        <w:spacing w:after="0"/>
        <w:tabs>
          <w:tab w:leader="none" w:pos="84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711</w:t>
        <w:tab/>
        <w:t>$</w:t>
      </w:r>
      <w:r>
        <w:rPr>
          <w:sz w:val="20"/>
          <w:szCs w:val="20"/>
          <w:color w:val="auto"/>
        </w:rPr>
        <w:tab/>
      </w:r>
      <w:r>
        <w:rPr>
          <w:rFonts w:ascii="Times New Roman" w:cs="Times New Roman" w:eastAsia="Times New Roman" w:hAnsi="Times New Roman"/>
          <w:sz w:val="18"/>
          <w:szCs w:val="18"/>
          <w:color w:val="auto"/>
        </w:rPr>
        <w:t>11,354</w:t>
      </w:r>
    </w:p>
    <w:p>
      <w:pPr>
        <w:spacing w:after="0" w:line="27" w:lineRule="exact"/>
        <w:rPr>
          <w:sz w:val="20"/>
          <w:szCs w:val="20"/>
          <w:color w:val="auto"/>
        </w:rPr>
      </w:pPr>
    </w:p>
    <w:p>
      <w:pPr>
        <w:ind w:left="2360" w:hanging="1411"/>
        <w:spacing w:after="0"/>
        <w:tabs>
          <w:tab w:leader="none" w:pos="2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23,12936,193</w:t>
      </w:r>
    </w:p>
    <w:p>
      <w:pPr>
        <w:spacing w:after="0" w:line="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34,34512,304</w:t>
      </w:r>
    </w:p>
    <w:p>
      <w:pPr>
        <w:spacing w:after="0" w:line="58" w:lineRule="exact"/>
        <w:rPr>
          <w:sz w:val="20"/>
          <w:szCs w:val="20"/>
          <w:color w:val="auto"/>
        </w:rPr>
      </w:pPr>
    </w:p>
    <w:p>
      <w:pPr>
        <w:spacing w:after="0"/>
        <w:tabs>
          <w:tab w:leader="none" w:pos="62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58,259</w:t>
        <w:tab/>
        <w:t>$</w:t>
      </w:r>
      <w:r>
        <w:rPr>
          <w:sz w:val="20"/>
          <w:szCs w:val="20"/>
          <w:color w:val="auto"/>
        </w:rPr>
        <w:tab/>
      </w:r>
      <w:r>
        <w:rPr>
          <w:rFonts w:ascii="Times New Roman" w:cs="Times New Roman" w:eastAsia="Times New Roman" w:hAnsi="Times New Roman"/>
          <w:sz w:val="18"/>
          <w:szCs w:val="18"/>
          <w:color w:val="auto"/>
        </w:rPr>
        <w:t>59,859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Company’s current deferred revenue balance for the years ended December 31, 2022 and 2021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13,392</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(13,052)</w:t>
            </w: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revenue –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revenue balances primarily consist of customer deposits on the Company’s cultivation and extraction solutions equipment. As of December 31, 2022 and 2021, all of the Company’s deferred revenue balances were reported as current liabilities in the accompanying consolidated balance sheets.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2022, the Company recognized $2.7 million of revenue that was deferred during 2021. And, during the year ended December 31, 2021, the Company recognized $120 thousand of revenue that was deferred during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Consolidated Balance Sheet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December 31, 2022 and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NEIA, a related party, accounted for $3 thousand and $3.5 million of the Company’s accounts receivable, net as of December 31, 2022 and 2021,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changes in the allowance for doubtful accounts consisted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3,418</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Allowance for doubtful accounts -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Bad debt expense was $3.4 million and $1.2 million for the years ended December 31, 2022 and 2021,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December 31, 2022 and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issuance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note receivables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60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note receivables relate to the current portion of one of its loan receivable balances related to the total turn-key solution (“TTK Solution”) program.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December 31, 2022 and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was $1.7 million and $655 thousand,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non-current assets consisted of the following as of December 31, 2022 and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commissions expense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2022 and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Sales tax payable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Accrued acquisition liabilities </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3,502</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16,380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28,764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7"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payable primarily represents identified sales and use tax liabilities arising from the acquisition of Precision and Cascade. These amounts are included as part of the initial purchase price allocations and are the subject matter of an indemnification claim under the Precision and Cascade acquisition agreement.</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acquisition liabilities include both the contingent consideration and the value of held-back Common Stock associated with the 2022 acquisition of Lab Society and the 2021 acquisitions of PurePressure, Cascade, and Precision.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Accrued Warranty Costs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accrued liability for estimated future warranty costs: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accrual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398</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 accrued for warranties issued during period</w:t>
            </w:r>
          </w:p>
        </w:tc>
        <w:tc>
          <w:tcPr>
            <w:tcW w:w="24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accrual –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553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Assets and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ind w:left="340"/>
        <w:spacing w:after="0"/>
        <w:rPr>
          <w:sz w:val="20"/>
          <w:szCs w:val="20"/>
          <w:color w:val="auto"/>
        </w:rPr>
      </w:pPr>
      <w:r>
        <w:rPr>
          <w:rFonts w:ascii="Times New Roman" w:cs="Times New Roman" w:eastAsia="Times New Roman" w:hAnsi="Times New Roman"/>
          <w:sz w:val="17"/>
          <w:szCs w:val="17"/>
          <w:color w:val="auto"/>
        </w:rPr>
        <w:t>At December 31, 2022 and 2021, the Company’s assets and liabilities measured at fair value on a recurring basis were as follows: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312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340" w:hanging="161"/>
        <w:spacing w:after="0" w:line="250" w:lineRule="auto"/>
        <w:rPr>
          <w:sz w:val="20"/>
          <w:szCs w:val="20"/>
          <w:color w:val="auto"/>
        </w:rPr>
      </w:pPr>
      <w:r>
        <w:rPr>
          <w:rFonts w:ascii="Times New Roman" w:cs="Times New Roman" w:eastAsia="Times New Roman" w:hAnsi="Times New Roman"/>
          <w:sz w:val="18"/>
          <w:szCs w:val="18"/>
          <w:color w:val="auto"/>
        </w:rPr>
        <w:t>Mutual funds (included in cash and cash equivalents in 2021)</w:t>
      </w:r>
    </w:p>
    <w:p>
      <w:pPr>
        <w:spacing w:after="0" w:line="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Municipal bonds</w:t>
      </w:r>
    </w:p>
    <w:p>
      <w:pPr>
        <w:spacing w:after="0" w:line="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Corporate bonds</w:t>
      </w:r>
    </w:p>
    <w:p>
      <w:pPr>
        <w:spacing w:after="0" w:line="18"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7"/>
        </w:trPr>
        <w:tc>
          <w:tcPr>
            <w:tcW w:w="120" w:type="dxa"/>
            <w:vAlign w:val="bottom"/>
          </w:tcPr>
          <w:p>
            <w:pPr>
              <w:spacing w:after="0"/>
              <w:rPr>
                <w:sz w:val="18"/>
                <w:szCs w:val="18"/>
                <w:color w:val="auto"/>
              </w:rPr>
            </w:pPr>
          </w:p>
        </w:tc>
        <w:tc>
          <w:tcPr>
            <w:tcW w:w="392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 Types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gridSpan w:val="10"/>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 Types</w:t>
            </w:r>
          </w:p>
        </w:tc>
        <w:tc>
          <w:tcPr>
            <w:tcW w:w="20" w:type="dxa"/>
            <w:vAlign w:val="bottom"/>
          </w:tcPr>
          <w:p>
            <w:pPr>
              <w:spacing w:after="0"/>
              <w:rPr>
                <w:sz w:val="18"/>
                <w:szCs w:val="18"/>
                <w:color w:val="auto"/>
              </w:rPr>
            </w:pPr>
          </w:p>
        </w:tc>
      </w:tr>
      <w:tr>
        <w:trPr>
          <w:trHeight w:val="245"/>
        </w:trPr>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1"/>
                <w:szCs w:val="21"/>
                <w:color w:val="auto"/>
              </w:rPr>
            </w:pPr>
          </w:p>
        </w:tc>
      </w:tr>
      <w:tr>
        <w:trPr>
          <w:trHeight w:val="84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9,961</w:t>
            </w:r>
          </w:p>
        </w:tc>
        <w:tc>
          <w:tcPr>
            <w:tcW w:w="12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9,961</w:t>
            </w:r>
          </w:p>
        </w:tc>
      </w:tr>
      <w:tr>
        <w:trPr>
          <w:trHeight w:val="234"/>
        </w:trPr>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20"/>
                <w:szCs w:val="20"/>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427</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34,589</w:t>
            </w:r>
          </w:p>
        </w:tc>
        <w:tc>
          <w:tcPr>
            <w:tcW w:w="12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34,589</w:t>
            </w:r>
          </w:p>
        </w:tc>
      </w:tr>
      <w:tr>
        <w:trPr>
          <w:trHeight w:val="27"/>
        </w:trPr>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44,728</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-908050</wp:posOffset>
            </wp:positionV>
            <wp:extent cx="7132320" cy="411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-359410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2180" w:space="200"/>
            <w:col w:w="88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6,137</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January</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 Warrants</w:t>
            </w:r>
          </w:p>
        </w:tc>
        <w:tc>
          <w:tcPr>
            <w:tcW w:w="4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March</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Warrants</w:t>
            </w:r>
          </w:p>
        </w:tc>
        <w:tc>
          <w:tcPr>
            <w:tcW w:w="42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August</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 Warrants</w:t>
            </w:r>
          </w:p>
        </w:tc>
        <w:tc>
          <w:tcPr>
            <w:tcW w:w="4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2022 Warrants</w:t>
            </w:r>
          </w:p>
        </w:tc>
        <w:tc>
          <w:tcPr>
            <w:tcW w:w="420" w:type="dxa"/>
            <w:vAlign w:val="bottom"/>
          </w:tcPr>
          <w:p>
            <w:pPr>
              <w:spacing w:after="0"/>
              <w:rPr>
                <w:sz w:val="21"/>
                <w:szCs w:val="21"/>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5,854</w:t>
            </w:r>
          </w:p>
        </w:tc>
        <w:tc>
          <w:tcPr>
            <w:tcW w:w="2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5,854</w:t>
            </w:r>
          </w:p>
        </w:tc>
        <w:tc>
          <w:tcPr>
            <w:tcW w:w="400" w:type="dxa"/>
            <w:vAlign w:val="bottom"/>
          </w:tcPr>
          <w:p>
            <w:pPr>
              <w:spacing w:after="0"/>
              <w:rPr>
                <w:sz w:val="21"/>
                <w:szCs w:val="21"/>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w w:val="99"/>
              </w:rPr>
              <w:t>F-28</w:t>
            </w: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marketable securities, warrant liabilities, and contingent consideration. Fair value information for each of these instruments as well as other balances of the Company are as follows:</w:t>
      </w:r>
    </w:p>
    <w:p>
      <w:pPr>
        <w:spacing w:after="0" w:line="162" w:lineRule="exact"/>
        <w:rPr>
          <w:sz w:val="20"/>
          <w:szCs w:val="20"/>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receivable, accounts payable, accrued expenses, and deferred revenue liabilities approximate their fair values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classified as current held-to-maturity securities are recorded at amortized cost, which at December 31, 2022, approximated fair value.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deferred consideration was recorded in connection with acquisitions during the fourth quarter of fiscal 2021 and the first quarter of fiscal 2022 using an estimated fair value discount at the time of the transactions. As of December 31, 2022 and 2021, the carrying value of the deferred consideration approximated fair value.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and 2021, the Company held investments in municipal bonds and corporate bonds.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composition of the Company’s marketable securities are as follows: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marketable securities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9,961</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34,589</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44,550</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At December 31, 2022, marketable securities consisted of the following:</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Current marketable securities (due within 1 year)</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30"/>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F-29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 December 31, 2021, marketable securities consisted of the following:</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24"/>
                <w:szCs w:val="24"/>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0" w:type="dxa"/>
            <w:vAlign w:val="bottom"/>
          </w:tcPr>
          <w:p>
            <w:pPr>
              <w:spacing w:after="0"/>
              <w:rPr>
                <w:sz w:val="21"/>
                <w:szCs w:val="21"/>
                <w:color w:val="auto"/>
              </w:rPr>
            </w:pPr>
          </w:p>
        </w:tc>
        <w:tc>
          <w:tcPr>
            <w:tcW w:w="120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Current marketable securities (due within 1 year)</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9,952</w:t>
            </w:r>
          </w:p>
        </w:tc>
      </w:tr>
      <w:tr>
        <w:trPr>
          <w:trHeight w:val="23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34,517</w:t>
            </w:r>
          </w:p>
        </w:tc>
      </w:tr>
      <w:tr>
        <w:trPr>
          <w:trHeight w:val="250"/>
        </w:trPr>
        <w:tc>
          <w:tcPr>
            <w:tcW w:w="7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A description of the Company’s acquisitions completed during the first quarter of 2022 and fiscal 2021 are included within Note 8 – Business Combinations, included elsewhere in the notes to the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and Common Stock issued for contingent liabilities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(5,550)</w:t>
            </w: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(2,156)</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consideration –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included contingent consideration within accrued expenses and other current liabilities in its consolidated balance sheets as of December 31, 2022 and 2021.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below for additional information related to each acquisition’s contingent consideration.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PurePressure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$602 thousand and their second earn-out by approximately $170 thousand. As required by ASC Topic 805 Business Combination (“ASC 805”), the change in contingent consideration was recorded as a reduction in operating expenses during the third and fourth quarters of 2022,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Lab Society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and their second earn-out by approximately $484 thousand. As required by ASC 805, the change in contingent consideration was recorded as a reduction in operating expenses during the second and fourth quarters of 2022,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6" w:name="page127"/>
    <w:bookmarkEnd w:id="12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Precision and Cascade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$121 thousand to reflect the final contingent consideration amount due. This amount was recorded as an increase in operating expenses during the second quarter of 2022. During the year ended December 31, 2022, the Company made the final payment on the contingent consideration of approximately $5.6 million to the members of Precision and Cascade. Additional information regarding the Company’s final payment to Precision and Cascade may be found in Note 8 – Business Combinations, included elsewhere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December 31, 2022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January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for the year ended December 31,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6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w:t>
            </w:r>
          </w:p>
        </w:tc>
        <w:tc>
          <w:tcPr>
            <w:tcW w:w="6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1,496.00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6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(Treasury yield)</w:t>
            </w:r>
          </w:p>
        </w:tc>
        <w:tc>
          <w:tcPr>
            <w:tcW w:w="6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655"/>
        </w:trPr>
        <w:tc>
          <w:tcPr>
            <w:tcW w:w="38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jc w:val="right"/>
              <w:ind w:right="4370"/>
              <w:spacing w:after="0"/>
              <w:rPr>
                <w:sz w:val="20"/>
                <w:szCs w:val="20"/>
                <w:color w:val="auto"/>
              </w:rPr>
            </w:pPr>
            <w:r>
              <w:rPr>
                <w:rFonts w:ascii="Times New Roman" w:cs="Times New Roman" w:eastAsia="Times New Roman" w:hAnsi="Times New Roman"/>
                <w:sz w:val="18"/>
                <w:szCs w:val="18"/>
                <w:color w:val="auto"/>
              </w:rPr>
              <w:t>F-31</w:t>
            </w: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7" w:name="page128"/>
    <w:bookmarkEnd w:id="127"/>
    <w:p>
      <w:pPr>
        <w:ind w:left="340"/>
        <w:spacing w:after="0"/>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Level 3 warrant liabilities for the year ended December 31, 2022:</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liabilities – beginning of period</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Initial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liabilities – end of period</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8" w:lineRule="exact"/>
        <w:rPr>
          <w:sz w:val="20"/>
          <w:szCs w:val="20"/>
          <w:color w:val="auto"/>
        </w:rPr>
      </w:pPr>
    </w:p>
    <w:p>
      <w:pPr>
        <w:ind w:left="940" w:hanging="935"/>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10,969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(10,965)</w:t>
      </w:r>
    </w:p>
    <w:p>
      <w:pPr>
        <w:spacing w:after="0" w:line="58" w:lineRule="exact"/>
        <w:rPr>
          <w:sz w:val="20"/>
          <w:szCs w:val="20"/>
          <w:color w:val="auto"/>
        </w:rPr>
      </w:pPr>
    </w:p>
    <w:p>
      <w:pPr>
        <w:ind w:left="1020" w:hanging="1015"/>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March 2022 Warrants</w:t>
            </w: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for the year ended December 31, 2022:</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9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430.00</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7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(Treasury yield)</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9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29,522</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(31,133)</w:t>
            </w:r>
          </w:p>
        </w:tc>
        <w:tc>
          <w:tcPr>
            <w:tcW w:w="0" w:type="dxa"/>
            <w:vAlign w:val="bottom"/>
          </w:tcPr>
          <w:p>
            <w:pPr>
              <w:spacing w:after="0"/>
              <w:rPr>
                <w:sz w:val="1"/>
                <w:szCs w:val="1"/>
                <w:color w:val="auto"/>
              </w:rPr>
            </w:pPr>
          </w:p>
        </w:tc>
      </w:tr>
      <w:tr>
        <w:trPr>
          <w:trHeight w:val="250"/>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Component of loss on debt extinguishment</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23"/>
        </w:trPr>
        <w:tc>
          <w:tcPr>
            <w:tcW w:w="9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 liabilities – end of period</w:t>
            </w: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97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August 2022 Warrants</w:t>
            </w: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9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for the year ended December 31, 2022: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97.96%</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(Treasury yield)</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655"/>
        </w:trPr>
        <w:tc>
          <w:tcPr>
            <w:tcW w:w="97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F-32</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128" w:name="page129"/>
    <w:bookmarkEnd w:id="128"/>
    <w:p>
      <w:pPr>
        <w:ind w:left="340"/>
        <w:spacing w:after="0"/>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Level 3 warrant liabilities for the year ended December 31, 2022:</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liabilities – beginning of period</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Initial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Warrants settled in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liabilities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95"/>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375"/>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8" w:lineRule="exact"/>
        <w:rPr>
          <w:sz w:val="20"/>
          <w:szCs w:val="20"/>
          <w:color w:val="auto"/>
        </w:rPr>
      </w:pPr>
    </w:p>
    <w:p>
      <w:pPr>
        <w:ind w:left="935" w:hanging="935"/>
        <w:spacing w:after="0"/>
        <w:tabs>
          <w:tab w:leader="none" w:pos="9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10,212</w:t>
      </w:r>
    </w:p>
    <w:p>
      <w:pPr>
        <w:spacing w:after="0" w:line="9"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(9,876)</w:t>
      </w:r>
    </w:p>
    <w:p>
      <w:pPr>
        <w:spacing w:after="0" w:line="9" w:lineRule="exact"/>
        <w:rPr>
          <w:rFonts w:ascii="Times New Roman" w:cs="Times New Roman" w:eastAsia="Times New Roman" w:hAnsi="Times New Roman"/>
          <w:sz w:val="18"/>
          <w:szCs w:val="18"/>
          <w:color w:val="auto"/>
        </w:rPr>
      </w:pPr>
    </w:p>
    <w:p>
      <w:pPr>
        <w:ind w:left="77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w:t>
      </w:r>
    </w:p>
    <w:p>
      <w:pPr>
        <w:spacing w:after="0" w:line="58" w:lineRule="exact"/>
        <w:rPr>
          <w:sz w:val="20"/>
          <w:szCs w:val="20"/>
          <w:color w:val="auto"/>
        </w:rPr>
      </w:pPr>
    </w:p>
    <w:p>
      <w:pPr>
        <w:ind w:left="935" w:hanging="935"/>
        <w:spacing w:after="0"/>
        <w:tabs>
          <w:tab w:leader="none" w:pos="9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877" w:right="3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December 2022 Warrants</w:t>
            </w: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for the year ended December 31, 2022:</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9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8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(Treasury yield)</w:t>
            </w: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year ended December 31, 2022:</w:t>
      </w:r>
    </w:p>
    <w:p>
      <w:pPr>
        <w:sectPr>
          <w:pgSz w:w="11900" w:h="16838" w:orient="portrait"/>
          <w:cols w:equalWidth="0" w:num="1">
            <w:col w:w="11240"/>
          </w:cols>
          <w:pgMar w:left="320" w:top="87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liabilities – beginning of period</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Initial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liabilities – end of period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95"/>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375"/>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8" w:lineRule="exact"/>
        <w:rPr>
          <w:sz w:val="20"/>
          <w:szCs w:val="20"/>
          <w:color w:val="auto"/>
        </w:rPr>
      </w:pPr>
    </w:p>
    <w:p>
      <w:pPr>
        <w:ind w:left="935" w:hanging="935"/>
        <w:spacing w:after="0"/>
        <w:tabs>
          <w:tab w:leader="none" w:pos="9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4,924</w:t>
      </w:r>
    </w:p>
    <w:p>
      <w:pPr>
        <w:spacing w:after="0" w:line="9"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930</w:t>
      </w:r>
    </w:p>
    <w:p>
      <w:pPr>
        <w:spacing w:after="0" w:line="58" w:lineRule="exact"/>
        <w:rPr>
          <w:sz w:val="20"/>
          <w:szCs w:val="20"/>
          <w:color w:val="auto"/>
        </w:rPr>
      </w:pPr>
    </w:p>
    <w:p>
      <w:pPr>
        <w:ind w:left="695" w:hanging="695"/>
        <w:spacing w:after="0"/>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877"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Note 5 — Loans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portion of the capital raised from the Company’s IPO was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$11.3 million in loan reserves during the fourth quarter of 2022, related to three customer balances that were fully or partially reserved.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15, 2022, the Company provided a notice of default under the term loan agreement between the Company and Bud &amp; Mary’s (the “Bud</w:t>
      </w:r>
    </w:p>
    <w:p>
      <w:pPr>
        <w:spacing w:after="0" w:line="27" w:lineRule="exact"/>
        <w:rPr>
          <w:sz w:val="20"/>
          <w:szCs w:val="20"/>
          <w:color w:val="auto"/>
        </w:rPr>
      </w:pPr>
    </w:p>
    <w:p>
      <w:pPr>
        <w:jc w:val="both"/>
        <w:ind w:firstLine="8"/>
        <w:spacing w:after="0" w:line="252" w:lineRule="auto"/>
        <w:tabs>
          <w:tab w:leader="none" w:pos="2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million outstanding balance in the third quarter of 2022 due to the litigation and the uncertainty of the customer’s ability to repay the outstanding balance.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established a reserve of approximately $12.5 million specifically related to Greenstone. Greenstone is a related party because one of the Company’s former Agrify Brands employees and its VP of Engineering had a minority ownership.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Greenstone is a related party as of December 31, 2022 and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breakdown of loans receivable by customer as of December 31, 2022 and 2021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Bud &amp; Mary’s – TTK Solution</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Greenstone – TTK Solution – Greenstone is a related party because one of the Company’s former Agrify Brands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employees and its VP of Engineering had a minority ownership</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12,457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136 – TTK Solution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125 – TTK Solution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Company Customer Number 71 – Non-TTK Solution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3,178</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Company Customer Number 140 – TTK Solution </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6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TTK Solution – Allowance for doubtful accounts </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(33,050)</w:t>
            </w:r>
          </w:p>
        </w:tc>
        <w:tc>
          <w:tcPr>
            <w:tcW w:w="2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loan receivable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loan receivable is included within Note 3 – Supplemental Consolidated Balance Sheet Information, included elsewhere in the notes to the consolidated financial statements.</w:t>
      </w: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was written off at December 31, 2022 due to the cancellation of this TTK Solution project.</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established an allowance for doubtful accounts of approximately $14.7 million related to Bud &amp; Mary’s ongoing litigation. Approximately $12.5 million relates to Greenstone, which is a related party because one of the Company’s former Agrify Brands employees and its VP of Engineering had a minority ownership, consisting of capital advances, accrued interest, and VFUs sales. Approximately $4.5 million relates to Hannah, and $1.4 million relates to WhiteCloud.</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At this time, the Company is not aware of, nor has it identified any risk or potential performance failure associated with any of its TTK Solution arrangements, other than the noted exceptions of Bud &amp; Mary’s TTK Solution and Greenstone TTK Solution, which is a related party, as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analyzed whether any of the above customers are a VIE in accordance with ASC 810 and if so, whether the Company is the primary beneficiary requiring consolidation. Based on the Company’s analysis, the Company has determined that Greenstone, which is a related party because one of the Company’s former Agrify Brands employees and its VP of Engineering had a minority ownership, is a VIE. As of December 31, 2022, two of the Company’s employees own approximately 36.6% of the equity of Greenstone, however, since the Company is not the primary beneficiary and does not hold significant influence over Greenstone business decisions, the Company is not required to consolidate Greenstone.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2022 and 2021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24,960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15,506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13,352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Inventory,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2"/>
              </w:rPr>
              <w:t>53,818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21,440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(32,422)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21,396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slow-moving, and defective inventory. The Company calculates inventory reserves for obsolete, slow-moving, or defective items as the difference between the cost of inventory and its estimated net realizable value. The reserves are based upon management’s expected method of disposition.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the Company’s inventory reserve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in inventory reserves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31,480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there was an impairment-triggering event during the quarter ended June 30, 2022 that required the Company to perform a detailed analysis of the current carrying value of its goodwill and intangible assets. For goodwill and intangible asset impairment testing purposes, the Company has one reporting unit.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Company’s market capitalization fell below total net assets. In addition, financial performance continued to weaken during the quarter, which was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goodwill and intangible assets.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goodwill and intangible assets, which totaled $54.7 million and $15.2 million, respectively.</w:t>
      </w:r>
    </w:p>
    <w:p>
      <w:pPr>
        <w:sectPr>
          <w:pgSz w:w="11900" w:h="16838" w:orient="portrait"/>
          <w:cols w:equalWidth="0" w:num="1">
            <w:col w:w="11240"/>
          </w:cols>
          <w:pgMar w:left="320" w:top="877" w:right="339" w:bottom="144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goodwill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 acquired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Goodwill purchase accounting adjustment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 impairment loss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Intangible assets, net as of December 31, 2022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r>
      <w:tr>
        <w:trPr>
          <w:trHeight w:val="198"/>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50,090</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632</w:t>
            </w:r>
          </w:p>
        </w:tc>
        <w:tc>
          <w:tcPr>
            <w:tcW w:w="20" w:type="dxa"/>
            <w:vAlign w:val="bottom"/>
          </w:tcPr>
          <w:p>
            <w:pPr>
              <w:spacing w:after="0"/>
              <w:rPr>
                <w:sz w:val="17"/>
                <w:szCs w:val="17"/>
                <w:color w:val="auto"/>
              </w:rPr>
            </w:pP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4,368</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49,458</w:t>
            </w:r>
          </w:p>
        </w:tc>
      </w:tr>
    </w:tbl>
    <w:p>
      <w:pPr>
        <w:ind w:left="2280" w:hanging="1421"/>
        <w:spacing w:after="0"/>
        <w:tabs>
          <w:tab w:leader="none" w:pos="2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(54,747)—</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$50,090</w:t>
            </w:r>
          </w:p>
        </w:tc>
      </w:tr>
      <w:tr>
        <w:trPr>
          <w:trHeight w:val="21"/>
        </w:trPr>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gridSpan w:val="9"/>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Accumulated Amortization and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00" w:type="dxa"/>
            <w:vAlign w:val="bottom"/>
            <w:gridSpan w:val="10"/>
          </w:tcPr>
          <w:p>
            <w:pPr>
              <w:ind w:left="480"/>
              <w:spacing w:after="0"/>
              <w:rPr>
                <w:sz w:val="20"/>
                <w:szCs w:val="20"/>
                <w:color w:val="auto"/>
              </w:rPr>
            </w:pPr>
            <w:r>
              <w:rPr>
                <w:rFonts w:ascii="Times New Roman" w:cs="Times New Roman" w:eastAsia="Times New Roman" w:hAnsi="Times New Roman"/>
                <w:sz w:val="18"/>
                <w:szCs w:val="18"/>
                <w:b w:val="1"/>
                <w:bCs w:val="1"/>
                <w:color w:val="auto"/>
              </w:rPr>
              <w:t>Intangible Assets, Gross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right"/>
              <w:ind w:right="81"/>
              <w:spacing w:after="0" w:line="194" w:lineRule="exact"/>
              <w:rPr>
                <w:sz w:val="20"/>
                <w:szCs w:val="20"/>
                <w:color w:val="auto"/>
              </w:rPr>
            </w:pPr>
            <w:r>
              <w:rPr>
                <w:rFonts w:ascii="Times New Roman" w:cs="Times New Roman" w:eastAsia="Times New Roman" w:hAnsi="Times New Roman"/>
                <w:sz w:val="18"/>
                <w:szCs w:val="18"/>
                <w:b w:val="1"/>
                <w:bCs w:val="1"/>
                <w:color w:val="auto"/>
              </w:rPr>
              <w:t>Expense and</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0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9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8"/>
                <w:szCs w:val="18"/>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(6,587)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(6,889)</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Acquired developed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(6,152)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(6,343)</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(1,202)</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80" w:type="dxa"/>
            <w:vAlign w:val="bottom"/>
          </w:tcPr>
          <w:p>
            <w:pPr>
              <w:spacing w:after="0"/>
              <w:rPr>
                <w:sz w:val="20"/>
                <w:szCs w:val="20"/>
                <w:color w:val="auto"/>
              </w:rPr>
            </w:pPr>
          </w:p>
        </w:tc>
        <w:tc>
          <w:tcPr>
            <w:tcW w:w="38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140" w:type="dxa"/>
            <w:vAlign w:val="bottom"/>
            <w:vMerge w:val="continue"/>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2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14,072</w:t>
            </w:r>
          </w:p>
        </w:tc>
        <w:tc>
          <w:tcPr>
            <w:tcW w:w="94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601"/>
              <w:spacing w:after="0"/>
              <w:rPr>
                <w:sz w:val="20"/>
                <w:szCs w:val="20"/>
                <w:color w:val="auto"/>
              </w:rPr>
            </w:pPr>
            <w:r>
              <w:rPr>
                <w:rFonts w:ascii="Times New Roman" w:cs="Times New Roman" w:eastAsia="Times New Roman" w:hAnsi="Times New Roman"/>
                <w:sz w:val="18"/>
                <w:szCs w:val="18"/>
                <w:color w:val="auto"/>
              </w:rPr>
              <w:t>F-36</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132" w:name="page133"/>
    <w:bookmarkEnd w:id="132"/>
    <w:p>
      <w:pPr>
        <w:ind w:left="340"/>
        <w:spacing w:after="0"/>
        <w:rPr>
          <w:sz w:val="20"/>
          <w:szCs w:val="20"/>
          <w:color w:val="auto"/>
        </w:rPr>
      </w:pPr>
      <w:r>
        <w:rPr>
          <w:rFonts w:ascii="Times New Roman" w:cs="Times New Roman" w:eastAsia="Times New Roman" w:hAnsi="Times New Roman"/>
          <w:sz w:val="18"/>
          <w:szCs w:val="18"/>
          <w:color w:val="auto"/>
        </w:rPr>
        <w:t>Intangible assets, net as of December 31, 2021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9"/>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Intangible Assets, Gross</w:t>
            </w:r>
          </w:p>
        </w:tc>
        <w:tc>
          <w:tcPr>
            <w:tcW w:w="180" w:type="dxa"/>
            <w:vAlign w:val="bottom"/>
          </w:tcPr>
          <w:p>
            <w:pPr>
              <w:spacing w:after="0"/>
              <w:rPr>
                <w:sz w:val="21"/>
                <w:szCs w:val="21"/>
                <w:color w:val="auto"/>
              </w:rPr>
            </w:pPr>
          </w:p>
        </w:tc>
        <w:tc>
          <w:tcPr>
            <w:tcW w:w="272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220" w:type="dxa"/>
            <w:vAlign w:val="bottom"/>
          </w:tcPr>
          <w:p>
            <w:pPr>
              <w:spacing w:after="0"/>
              <w:rPr>
                <w:sz w:val="16"/>
                <w:szCs w:val="16"/>
                <w:color w:val="auto"/>
              </w:rPr>
            </w:pPr>
          </w:p>
        </w:tc>
        <w:tc>
          <w:tcPr>
            <w:tcW w:w="1100" w:type="dxa"/>
            <w:vAlign w:val="bottom"/>
            <w:tcBorders>
              <w:top w:val="single" w:sz="8" w:color="auto"/>
            </w:tcBorders>
            <w:gridSpan w:val="3"/>
          </w:tcPr>
          <w:p>
            <w:pPr>
              <w:jc w:val="right"/>
              <w:ind w:right="161"/>
              <w:spacing w:after="0" w:line="194"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5"/>
              </w:rPr>
              <w:t>December 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0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6"/>
              </w:rPr>
              <w:t>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6"/>
              </w:rPr>
              <w:t>(227)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w:t>
            </w:r>
          </w:p>
        </w:tc>
        <w:tc>
          <w:tcPr>
            <w:tcW w:w="18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(213)</w:t>
            </w:r>
          </w:p>
        </w:tc>
        <w:tc>
          <w:tcPr>
            <w:tcW w:w="720" w:type="dxa"/>
            <w:vAlign w:val="bottom"/>
          </w:tcPr>
          <w:p>
            <w:pPr>
              <w:spacing w:after="0"/>
              <w:rPr>
                <w:sz w:val="18"/>
                <w:szCs w:val="18"/>
                <w:color w:val="auto"/>
              </w:rPr>
            </w:pP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2"/>
              </w:rPr>
              <w:t>(302)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Acquired developed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(191)</w:t>
            </w:r>
          </w:p>
        </w:tc>
        <w:tc>
          <w:tcPr>
            <w:tcW w:w="7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2"/>
              </w:rPr>
              <w:t>(191)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1,202</w:t>
            </w:r>
          </w:p>
        </w:tc>
        <w:tc>
          <w:tcPr>
            <w:tcW w:w="18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w:t>
            </w:r>
          </w:p>
        </w:tc>
        <w:tc>
          <w:tcPr>
            <w:tcW w:w="720" w:type="dxa"/>
            <w:vAlign w:val="bottom"/>
          </w:tcPr>
          <w:p>
            <w:pPr>
              <w:spacing w:after="0"/>
              <w:rPr>
                <w:sz w:val="18"/>
                <w:szCs w:val="18"/>
                <w:color w:val="auto"/>
              </w:rPr>
            </w:pP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2"/>
              </w:rPr>
              <w:t>(100)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20" w:type="dxa"/>
            <w:vAlign w:val="bottom"/>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vMerge w:val="continue"/>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(880</w:t>
            </w:r>
          </w:p>
        </w:tc>
        <w:tc>
          <w:tcPr>
            <w:tcW w:w="140" w:type="dxa"/>
            <w:vAlign w:val="bottom"/>
            <w:vMerge w:val="continue"/>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recorded in general and administrative expense in the consolidated statements of operations were $1.4 million and $655 thousand for the years ended December 31,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Lab Society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 2022, the Company entered into an Agreement and Plan of Merger (the “Merger Agreement”) with Lab Society, a newly-formed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“Lab Society Acquisition”).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withheld 638 of the Buyer Shares issuable to the Owners (the “Holdback Lab Buyer Shares”) for the purpose of securing any post-closing adjustment owed to the Company and any claim for indemnification or payment of damages to which the Company may be entitled under the Merger Agreement. During the third quarter of 2022, 139 of the Holdback Lab Buyer Shares were forfeited after the finalization of the net working capital settlement. The remaining 499 Holdback Lab Buyer Shares were released following the twelve-month anniversary of the Closing Date in accordance with and subject to the conditions of the Merger Agreement.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 Additional information regarding the Company’s contingent consideration arrangements may be found in Note 4 – Fair Value Measures, included elsewhere in the notes to the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3" w:name="page134"/>
    <w:bookmarkEnd w:id="13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related to the acquisition, totaled approximately $66 thousand and $0 for the years ended December 31, 2022 and 2021, respectively. All transaction and related costs were expensed as incurred and are included in general and administrative expense.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prepared purchase price allocations for the business combination. The following table sets forth the components and the allocation of the purchase price for the business combination: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 proceeds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4,002</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expenses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 buyer shares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Holdback buyer shares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Earn-out consideration</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r>
      <w:tr>
        <w:trPr>
          <w:trHeight w:val="23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36"/>
        </w:trPr>
        <w:tc>
          <w:tcPr>
            <w:tcW w:w="100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purchase price, net of cash acquired</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7,402</w:t>
            </w:r>
          </w:p>
        </w:tc>
        <w:tc>
          <w:tcPr>
            <w:tcW w:w="100" w:type="dxa"/>
            <w:vAlign w:val="bottom"/>
            <w:tcBorders>
              <w:bottom w:val="single" w:sz="8" w:color="CCEEFF"/>
            </w:tcBorders>
          </w:tcPr>
          <w:p>
            <w:pPr>
              <w:spacing w:after="0"/>
              <w:rPr>
                <w:sz w:val="18"/>
                <w:szCs w:val="18"/>
                <w:color w:val="auto"/>
              </w:rPr>
            </w:pP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allocation of purchase price</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2,130</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receivables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 of-use assets, net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refundable taxes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2,462</w:t>
            </w:r>
          </w:p>
        </w:tc>
      </w:tr>
      <w:tr>
        <w:trPr>
          <w:trHeight w:val="237"/>
        </w:trPr>
        <w:tc>
          <w:tcPr>
            <w:tcW w:w="10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7,967</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220" w:type="dxa"/>
            <w:vAlign w:val="bottom"/>
          </w:tcPr>
          <w:p>
            <w:pPr>
              <w:spacing w:after="0"/>
              <w:rPr>
                <w:sz w:val="18"/>
                <w:szCs w:val="18"/>
                <w:color w:val="auto"/>
              </w:rPr>
            </w:pP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6"/>
        </w:trPr>
        <w:tc>
          <w:tcPr>
            <w:tcW w:w="4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Identified intangible assets</w:t>
            </w:r>
          </w:p>
        </w:tc>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4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4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37"/>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4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w:t>
            </w:r>
          </w:p>
        </w:tc>
        <w:tc>
          <w:tcPr>
            <w:tcW w:w="1220" w:type="dxa"/>
            <w:vAlign w:val="bottom"/>
          </w:tcPr>
          <w:p>
            <w:pPr>
              <w:spacing w:after="0"/>
              <w:rPr>
                <w:sz w:val="20"/>
                <w:szCs w:val="20"/>
                <w:color w:val="auto"/>
              </w:rPr>
            </w:pPr>
          </w:p>
        </w:tc>
      </w:tr>
      <w:tr>
        <w:trPr>
          <w:trHeight w:val="21"/>
        </w:trPr>
        <w:tc>
          <w:tcPr>
            <w:tcW w:w="4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55"/>
        </w:trPr>
        <w:tc>
          <w:tcPr>
            <w:tcW w:w="40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3"/>
          </w:tcPr>
          <w:p>
            <w:pPr>
              <w:jc w:val="right"/>
              <w:ind w:right="3100"/>
              <w:spacing w:after="0"/>
              <w:rPr>
                <w:sz w:val="20"/>
                <w:szCs w:val="20"/>
                <w:color w:val="auto"/>
              </w:rPr>
            </w:pPr>
            <w:r>
              <w:rPr>
                <w:rFonts w:ascii="Times New Roman" w:cs="Times New Roman" w:eastAsia="Times New Roman" w:hAnsi="Times New Roman"/>
                <w:sz w:val="18"/>
                <w:szCs w:val="18"/>
                <w:color w:val="auto"/>
              </w:rPr>
              <w:t>F-38</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34" w:name="page135"/>
    <w:bookmarkEnd w:id="13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initial fair value estimates related to the various identified intangible assets of Lab Society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Goodwill and Intangible Assets, Net, included elsewhere in the notes to the consolidated financial statements.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amount of revenue of Lab Society included in the consolidated statements of operations from the acquisition date of February 1, 2022 to December 31, 2022 was $4.5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Precision and Cascade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29, 2021 (the “Execution Date”), the Company entered into a Plan of Merger and Equity Purchase Agreement, as amended by an amendment dated October 1, 2021 (as amended, the “Purchase Agreement”), with Sinclair Scientific, LLC, a Delaware limited liability company (“Sinclair”), Mass2Media, LLC, Precision, a Michigan limited liability company; and each of the equity holders of Sinclair named therein (collectively, the “Sinclair Members”). On October 1, 2021, the Company consummated the transactions contemplated by the Purchase Agreement.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Purchase Agreement, Sinclair transferred to the Company, and the Company purchased (the “Interest Purchase”) from Sinclair, 100% of the equity interests of Cascade, a Delaware limited liability company, such that immediately after the consummation of such Interest Purchase, Cascade became a wholly-owned subsidiary of the Company, and Precision merged (the “Merger”) with and into a newly-formed wholly-owned subsidiary of the Company, Precision Extraction NewCo, LLC.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aggregate consideration for the Interest Purchase and the Merger consisted of the sum of $30 million in cash, plus consideration payable to holders of outstanding Sinclair equity awards, subject to certain adjustments for working capital, cash, and indebtedness, payable in connection with the Interest Purchase; the number of shares of Common Stock, subject to adjustment, equal to the quotient of $20.0 million divided by the volume weighted average price per share of Common Stock on The Nasdaq Capital Market for the 30 consecutive trading days ending on the Execution Date (the “VWAP Price”), issuable in connection with the Merger; Holdback Buyer Shares; and the True-Up Buyer Shares, issuable in connection with the Merger.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withheld 588 shares issuable to certain members (the “Holdback Buyer Shares”) for the purpose of securing any post-closing adjustment owed to the Company and any claim for indemnification or payment of damages to which the Company may be entitled under the Purchase Agreement. These shares were not released as of December 31,2022.</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Purchase Agreement included customary post-closing adjustments, representations and warranties, and covenants of the parties. The Sinclair Members became entitled to additional shares of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10, 2022, the Company entered into a post-closing adjustment settlement agreement (“Agreement”) with Sinclair. The Agreement was entered into in connection with the Purchase Agreement. According to the Purchase Agreement, $2.5 million was held by the escrow agent as the Adjustment Escrow Amount, $4.5 million was held by the escrow agent as the Indemnity Escrow Amount. On August 17, 2022, the Company made the final Aggregate True-up Payment of approximately $5.6 million, of which $3.3 million was paid in cash and 435 True-Up Buyer Shares were released to the Sinclair Members, and the Company received $1.4 million from the Adjustment Escrow Amount, and the remaining $1.1 million balance of the Adjustment Escrow Amount became part of the Indemnity Escrow Amount.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related to the acquisition, totaled approximately $63 thousand and $4.0 million for the years ended December 31, 2022 and 2021, respectively. All transaction and related costs were expensed as incurred and are included in general and administrative expense.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to Sinclair Members at the close</w:t>
            </w:r>
          </w:p>
        </w:tc>
        <w:tc>
          <w:tcPr>
            <w:tcW w:w="566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contributed to escrow accounts at the close</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excess net working capital</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issued at the close</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14,535</w:t>
            </w:r>
          </w:p>
        </w:tc>
      </w:tr>
      <w:tr>
        <w:trPr>
          <w:trHeight w:val="23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contingent consideration to be achieved</w:t>
            </w:r>
          </w:p>
        </w:tc>
        <w:tc>
          <w:tcPr>
            <w:tcW w:w="5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3,953</w:t>
            </w:r>
          </w:p>
        </w:tc>
      </w:tr>
      <w:tr>
        <w:trPr>
          <w:trHeight w:val="210"/>
        </w:trPr>
        <w:tc>
          <w:tcPr>
            <w:tcW w:w="47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5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49,918</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4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net of cash acquired</w:t>
            </w:r>
          </w:p>
        </w:tc>
        <w:tc>
          <w:tcPr>
            <w:tcW w:w="5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allocation of purchase price</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6,761</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receivables</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web costs, net</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(9,223)</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(5,419)</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(1,961)</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9,889</w:t>
            </w:r>
          </w:p>
        </w:tc>
      </w:tr>
      <w:tr>
        <w:trPr>
          <w:trHeight w:val="23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45,002</w:t>
            </w:r>
          </w:p>
        </w:tc>
      </w:tr>
      <w:tr>
        <w:trPr>
          <w:trHeight w:val="210"/>
        </w:trPr>
        <w:tc>
          <w:tcPr>
            <w:tcW w:w="472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purchase price</w:t>
            </w:r>
          </w:p>
        </w:tc>
        <w:tc>
          <w:tcPr>
            <w:tcW w:w="5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49,918</w:t>
            </w:r>
          </w:p>
        </w:tc>
        <w:tc>
          <w:tcPr>
            <w:tcW w:w="100" w:type="dxa"/>
            <w:vAlign w:val="bottom"/>
            <w:tcBorders>
              <w:top w:val="single" w:sz="8" w:color="CCEEFF"/>
            </w:tcBorders>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3"/>
          </w:tcPr>
          <w:p>
            <w:pPr>
              <w:jc w:val="right"/>
              <w:ind w:right="4490"/>
              <w:spacing w:after="0"/>
              <w:rPr>
                <w:sz w:val="20"/>
                <w:szCs w:val="20"/>
                <w:color w:val="auto"/>
              </w:rPr>
            </w:pPr>
            <w:r>
              <w:rPr>
                <w:rFonts w:ascii="Times New Roman" w:cs="Times New Roman" w:eastAsia="Times New Roman" w:hAnsi="Times New Roman"/>
                <w:sz w:val="18"/>
                <w:szCs w:val="18"/>
                <w:color w:val="auto"/>
              </w:rPr>
              <w:t>F-40</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36" w:name="page137"/>
    <w:bookmarkEnd w:id="13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Identified intangible assets consist of trade names, technology, non-compete agreements, and customer relationships. The fair value of intangible assets and the determination of their respective useful lives were made in accordance with ASC 805 and are outlined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220" w:type="dxa"/>
            <w:vAlign w:val="bottom"/>
          </w:tcPr>
          <w:p>
            <w:pPr>
              <w:spacing w:after="0"/>
              <w:rPr>
                <w:sz w:val="18"/>
                <w:szCs w:val="18"/>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Identified intangible assets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to 7 years</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to 8 years</w:t>
            </w: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Goodwill and Intangible Assets, Net, included elsewhere in the 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PurePressure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Acquisition consisted of $4.0 million in cash, subject to certain adjustments for working capital, cash, and indebtedness of PurePressure at closing; 1,646 shares of Common Stock (the “Buyer Shares”); and the Earn-out Consideration (as defined below), to the extent earned.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withheld 444 of the Buyer Shares issuable to certain Members (the “Holdback Buyer Shares”) for the purpose of securing any post-closing adjustment owed to the Company and any claim for indemnification or payment of damages to which the Company may be entitled under the Pure Purchase Agreement. During the third quarter of 2022, 72 of the Holdback Buyer Shares were forfeited after the finalization of the net working capital settlement. On January 31, 2023, the remaining 372 Holdback Buyer Shares were released, including 6 Holdback Buyer Shares that were withheld to cover a tax indemnification claim in accordance with the Purchase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7" w:name="page138"/>
    <w:bookmarkEnd w:id="13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Common Stock (collectively, the “Earn-out Consideration”). Additional information regarding the Company’s contingent consideration arrangements may be found in Note 4 – Fair Value Measures, included elsewhere in the notes to the consolidated financial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customary limitations,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related to the acquisition, totaled approximately $563 thousand and $0 for the years ended December 31, 2022 and 2021, respectively. All transaction and related costs were expensed as incurred and are included in general and administrative expense.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prepared purchase price allocations for the business combination. The following table sets forth the components and the allocation of the purchase price for the business combination: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 proceeds</w:t>
            </w:r>
          </w:p>
        </w:tc>
        <w:tc>
          <w:tcPr>
            <w:tcW w:w="59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3,613</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Indebtedness paid</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expenses</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 buyer shares</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Holdback buyer shares</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consideration</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3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5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0"/>
        </w:trPr>
        <w:tc>
          <w:tcPr>
            <w:tcW w:w="45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54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7,950</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4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net of cash acquired</w:t>
            </w:r>
          </w:p>
        </w:tc>
        <w:tc>
          <w:tcPr>
            <w:tcW w:w="5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5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allocation of purchase price</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9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receivables</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current</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non-current</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3,037</w:t>
            </w:r>
          </w:p>
        </w:tc>
      </w:tr>
      <w:tr>
        <w:trPr>
          <w:trHeight w:val="223"/>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4,542</w:t>
            </w:r>
          </w:p>
        </w:tc>
      </w:tr>
      <w:tr>
        <w:trPr>
          <w:trHeight w:val="223"/>
        </w:trPr>
        <w:tc>
          <w:tcPr>
            <w:tcW w:w="4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w:t>
            </w:r>
          </w:p>
        </w:tc>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4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3"/>
          </w:tcPr>
          <w:p>
            <w:pPr>
              <w:jc w:val="right"/>
              <w:ind w:right="4530"/>
              <w:spacing w:after="0"/>
              <w:rPr>
                <w:sz w:val="20"/>
                <w:szCs w:val="20"/>
                <w:color w:val="auto"/>
              </w:rPr>
            </w:pPr>
            <w:r>
              <w:rPr>
                <w:rFonts w:ascii="Times New Roman" w:cs="Times New Roman" w:eastAsia="Times New Roman" w:hAnsi="Times New Roman"/>
                <w:sz w:val="18"/>
                <w:szCs w:val="18"/>
                <w:color w:val="auto"/>
              </w:rPr>
              <w:t>F-42</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38" w:name="page139"/>
    <w:bookmarkEnd w:id="13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1"/>
                <w:szCs w:val="21"/>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Identified intangible assets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3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0"/>
        </w:trPr>
        <w:tc>
          <w:tcPr>
            <w:tcW w:w="8680" w:type="dxa"/>
            <w:vAlign w:val="bottom"/>
            <w:tcBorders>
              <w:top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identified intangible assets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3,037</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Goodwill and Intangible Assets, Net, included elsewhere in the notes to the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Debt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Exchange Note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Navitas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 of debt discount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 net of current unamortized debt discount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(28,833)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w:t>
            </w:r>
          </w:p>
        </w:tc>
      </w:tr>
      <w:tr>
        <w:trPr>
          <w:trHeight w:val="223"/>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$65.0 million, less applicable expenses, as set forth in the Securities Purchase Agreement, a senior secured promissory note in an aggregate principal amount of $65.0 million (the “SPA Note”), and a SPA Warrant to purchase up to an aggregate of 34,406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Securities Exchange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18, 2022, the Company reached an agreement with the Investor to amend its existing senior SPA Note and entered into the August 2022 Exchange Agreement. Pursuant to the August 2022 Exchange Agreement, the Company partially paid $35.2 million along with approximately $300 thousand in repayments for other fees under the SPA Note and exchanged the remaining balance of the SPA Note for an Exchange Note with an aggregate original principal amount of $35.0 million and a new Note Exchange Warrant to purchase 71,139 shares of Common Stock and modified an existing SPA Warrants to purchase up to an aggregate of 34,406 shares of Common Stock. The Company exchanged the SPA Warrant for new August 2022 Warrants.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the Company and ranks senior to all indebtedness of the Company.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Investor will be entitled to a cash sweep of 20% of the proceeds received by the Company in connection with any equity financing, which will reduce the outstanding principal amount under the Exchange Note.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9" w:name="page140"/>
    <w:bookmarkEnd w:id="13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the Company may prepay all of the Exchange Note by redemption at a price equal to 102.5% of the then-outstanding principal amount under the Note plus accrued but unpaid interest. The Investor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Investor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Exchange Note is fully repaid, the Investor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Modified Warrant has an exercise price of $430.00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Note Exchange Warrant has an exercise price of $246.00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completed a qualified equity financing of at least $15.0 million, which requirement was satisfied with sales under the ATM Program, the Note Exchange Warrant’s exercise price would have been reduced to the extent the Company issued securities, subject 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August 2022 Warrants will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issued 2,000 shares of its Common Stock pursuant to the cashless exercise of August 2022 Warrants. As of December 31, 2022, the Company had outstanding liability-classified August 2022 Warrants that allow the Investor to purchase 100,544 shares of the Company’s Common Stock. Additional information regarding the Company’s August 2022 Warrants may be found in Note 1 – Overview, Basis of Presentation, and Significant Accounting Policies and Note 4 – Fair Value Measures, included elsewhere in the notes to the consolidated financial statements.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short-term and long-term portions of the Exchange Note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216"/>
        </w:trPr>
        <w:tc>
          <w:tcPr>
            <w:tcW w:w="3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Payable,</w:t>
            </w:r>
          </w:p>
        </w:tc>
      </w:tr>
      <w:tr>
        <w:trPr>
          <w:trHeight w:val="245"/>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Short-Term</w:t>
            </w:r>
          </w:p>
        </w:tc>
        <w:tc>
          <w:tcPr>
            <w:tcW w:w="10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3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(3,414)</w:t>
            </w:r>
          </w:p>
        </w:tc>
      </w:tr>
      <w:tr>
        <w:trPr>
          <w:trHeight w:val="223"/>
        </w:trPr>
        <w:tc>
          <w:tcPr>
            <w:tcW w:w="3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5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3"/>
          </w:tcPr>
          <w:p>
            <w:pPr>
              <w:jc w:val="right"/>
              <w:ind w:right="1530"/>
              <w:spacing w:after="0"/>
              <w:rPr>
                <w:sz w:val="20"/>
                <w:szCs w:val="20"/>
                <w:color w:val="auto"/>
              </w:rPr>
            </w:pPr>
            <w:r>
              <w:rPr>
                <w:rFonts w:ascii="Times New Roman" w:cs="Times New Roman" w:eastAsia="Times New Roman" w:hAnsi="Times New Roman"/>
                <w:sz w:val="18"/>
                <w:szCs w:val="18"/>
                <w:color w:val="auto"/>
              </w:rPr>
              <w:t>F-44</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Paycheck Protection Program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Loans under the Coronavirus Aid, Relief, and Economic Security Act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2020, the Company entered into a PPP Loan with Bank of America pursuant to the PPP under the CARES Act administered by the SBA.</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received total proceeds of approximately $779 thousand from the unsecured PPP Loan, which was originally scheduled to mature on May 7, 2022. The Company applied for forgiveness on the $779 thousand of PPP loan, but forgiveness was denied by the SBA. On June 23, 2022, the Company received a letter from Bank of America agreeing to extend the maturity date to May 7, 2025 and the loan bears interest at a rate of 1.00% per year. The PPP loan is payable in 34 equal combined monthly principal and interest payments of approximately $24 thousand that commenced on August 7, 2022.</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breakdown of PPP Loan balances by current and non-current as of December 31, 2022 and 2021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8"/>
        </w:trPr>
        <w:tc>
          <w:tcPr>
            <w:tcW w:w="7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 current</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 non-current</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PPP Loan outstanding</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656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PurePressure SBA Debt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the acquisition of PurePressure, $159 thousand of debt remained outstanding from a standard SBA loan as of December 31, 2021. This debt was paid off during the year ended December 31, 2022 as a part of the PurePressure acquisition.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December 31, 2022, future minimum principal payments for all debt were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32,247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r>
      <w:tr>
        <w:trPr>
          <w:trHeight w:val="23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0"/>
                <w:szCs w:val="20"/>
                <w:color w:val="auto"/>
              </w:rPr>
            </w:pPr>
          </w:p>
        </w:tc>
      </w:tr>
      <w:tr>
        <w:trPr>
          <w:trHeight w:val="210"/>
        </w:trPr>
        <w:tc>
          <w:tcPr>
            <w:tcW w:w="100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future payments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32,654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Company’s used its incremental borrowing rate as the discount rate for purposes of determining the present value of its lease liabilities. At December 31, 2022 and 2021, the Company’s weighted-average discount rate utilized for its leases was 7.29% and 7.16%,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The Company’s finance leases have remaining lease terms of one year to five years.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ind w:left="340"/>
        <w:spacing w:after="0"/>
        <w:rPr>
          <w:sz w:val="20"/>
          <w:szCs w:val="20"/>
          <w:color w:val="auto"/>
        </w:rPr>
      </w:pPr>
      <w:r>
        <w:rPr>
          <w:rFonts w:ascii="Times New Roman" w:cs="Times New Roman" w:eastAsia="Times New Roman" w:hAnsi="Times New Roman"/>
          <w:sz w:val="18"/>
          <w:szCs w:val="18"/>
          <w:color w:val="auto"/>
        </w:rPr>
        <w:t>Additional information on the Company’s operating and financing lease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 cost: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868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Right-of-use assets, net</w:t>
      </w:r>
    </w:p>
    <w:p>
      <w:pPr>
        <w:spacing w:after="0" w:line="237"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7"/>
          <w:szCs w:val="17"/>
          <w:color w:val="auto"/>
        </w:rPr>
        <w:t>Finance lease assets</w:t>
      </w:r>
    </w:p>
    <w:p>
      <w:pPr>
        <w:spacing w:after="0" w:line="61"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18"/>
          <w:szCs w:val="18"/>
          <w:color w:val="auto"/>
        </w:rPr>
        <w:t>Total lease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lease right-</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of-use assets, net</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2,210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w:t>
            </w:r>
          </w:p>
        </w:tc>
        <w:tc>
          <w:tcPr>
            <w:tcW w:w="400" w:type="dxa"/>
            <w:vAlign w:val="bottom"/>
          </w:tcPr>
          <w:p>
            <w:pPr>
              <w:spacing w:after="0"/>
              <w:rPr>
                <w:sz w:val="18"/>
                <w:szCs w:val="18"/>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261</w:t>
            </w:r>
          </w:p>
        </w:tc>
        <w:tc>
          <w:tcPr>
            <w:tcW w:w="3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4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-187960</wp:posOffset>
            </wp:positionV>
            <wp:extent cx="713232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420"/>
          </w:cols>
          <w:pgMar w:left="320" w:top="877"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spacing w:after="0"/>
              <w:rPr>
                <w:sz w:val="17"/>
                <w:szCs w:val="17"/>
                <w:color w:val="auto"/>
              </w:rPr>
            </w:pPr>
          </w:p>
        </w:tc>
        <w:tc>
          <w:tcPr>
            <w:tcW w:w="3780" w:type="dxa"/>
            <w:vAlign w:val="bottom"/>
            <w:gridSpan w:val="2"/>
            <w:shd w:val="clear" w:color="auto" w:fill="CCEEFF"/>
          </w:tcPr>
          <w:p>
            <w:pPr>
              <w:ind w:left="2000"/>
              <w:spacing w:after="0" w:line="198" w:lineRule="exact"/>
              <w:rPr>
                <w:sz w:val="20"/>
                <w:szCs w:val="20"/>
                <w:color w:val="auto"/>
              </w:rPr>
            </w:pPr>
            <w:r>
              <w:rPr>
                <w:rFonts w:ascii="Times New Roman" w:cs="Times New Roman" w:eastAsia="Times New Roman" w:hAnsi="Times New Roman"/>
                <w:sz w:val="18"/>
                <w:szCs w:val="18"/>
                <w:color w:val="auto"/>
              </w:rPr>
              <w:t>Operating lease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78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liabilities, current</w:t>
            </w:r>
          </w:p>
        </w:tc>
        <w:tc>
          <w:tcPr>
            <w:tcW w:w="2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3780" w:type="dxa"/>
            <w:vAlign w:val="bottom"/>
            <w:gridSpan w:val="2"/>
          </w:tcPr>
          <w:p>
            <w:pPr>
              <w:ind w:left="2000"/>
              <w:spacing w:after="0" w:line="198" w:lineRule="exact"/>
              <w:rPr>
                <w:sz w:val="20"/>
                <w:szCs w:val="20"/>
                <w:color w:val="auto"/>
              </w:rPr>
            </w:pPr>
            <w:r>
              <w:rPr>
                <w:rFonts w:ascii="Times New Roman" w:cs="Times New Roman" w:eastAsia="Times New Roman" w:hAnsi="Times New Roman"/>
                <w:sz w:val="18"/>
                <w:szCs w:val="18"/>
                <w:color w:val="auto"/>
              </w:rPr>
              <w:t>Accrued expenses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w:t>
            </w:r>
          </w:p>
        </w:tc>
        <w:tc>
          <w:tcPr>
            <w:tcW w:w="37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3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3780" w:type="dxa"/>
            <w:vAlign w:val="bottom"/>
            <w:gridSpan w:val="2"/>
          </w:tcPr>
          <w:p>
            <w:pPr>
              <w:ind w:left="2000"/>
              <w:spacing w:after="0" w:line="198" w:lineRule="exact"/>
              <w:rPr>
                <w:sz w:val="20"/>
                <w:szCs w:val="20"/>
                <w:color w:val="auto"/>
              </w:rPr>
            </w:pPr>
            <w:r>
              <w:rPr>
                <w:rFonts w:ascii="Times New Roman" w:cs="Times New Roman" w:eastAsia="Times New Roman" w:hAnsi="Times New Roman"/>
                <w:sz w:val="18"/>
                <w:szCs w:val="18"/>
                <w:color w:val="auto"/>
              </w:rPr>
              <w:t>Operating lease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7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liabilities, non-current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spacing w:after="0"/>
              <w:rPr>
                <w:sz w:val="17"/>
                <w:szCs w:val="17"/>
                <w:color w:val="auto"/>
              </w:rPr>
            </w:pPr>
          </w:p>
        </w:tc>
        <w:tc>
          <w:tcPr>
            <w:tcW w:w="3780" w:type="dxa"/>
            <w:vAlign w:val="bottom"/>
            <w:gridSpan w:val="2"/>
            <w:shd w:val="clear" w:color="auto" w:fill="CCEEFF"/>
          </w:tcPr>
          <w:p>
            <w:pPr>
              <w:ind w:left="2000"/>
              <w:spacing w:after="0" w:line="198" w:lineRule="exact"/>
              <w:rPr>
                <w:sz w:val="20"/>
                <w:szCs w:val="20"/>
                <w:color w:val="auto"/>
              </w:rPr>
            </w:pPr>
            <w:r>
              <w:rPr>
                <w:rFonts w:ascii="Times New Roman" w:cs="Times New Roman" w:eastAsia="Times New Roman" w:hAnsi="Times New Roman"/>
                <w:sz w:val="18"/>
                <w:szCs w:val="18"/>
                <w:color w:val="auto"/>
              </w:rPr>
              <w:t>Other non-current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w:t>
            </w:r>
          </w:p>
        </w:tc>
        <w:tc>
          <w:tcPr>
            <w:tcW w:w="378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3740" w:type="dxa"/>
            <w:vAlign w:val="bottom"/>
            <w:tcBorders>
              <w:top w:val="single" w:sz="8" w:color="CCEEFF"/>
              <w:bottom w:val="single" w:sz="8" w:color="CCEEFF"/>
            </w:tcBorders>
          </w:tcPr>
          <w:p>
            <w:pPr>
              <w:spacing w:after="0"/>
              <w:rPr>
                <w:sz w:val="21"/>
                <w:szCs w:val="21"/>
                <w:color w:val="auto"/>
              </w:rPr>
            </w:pPr>
          </w:p>
        </w:tc>
        <w:tc>
          <w:tcPr>
            <w:tcW w:w="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2,619</w:t>
            </w:r>
          </w:p>
        </w:tc>
        <w:tc>
          <w:tcPr>
            <w:tcW w:w="10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1,967</w:t>
            </w:r>
          </w:p>
        </w:tc>
        <w:tc>
          <w:tcPr>
            <w:tcW w:w="6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3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years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3.11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2.30 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2.36 years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3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7.83%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414"/>
        </w:trPr>
        <w:tc>
          <w:tcPr>
            <w:tcW w:w="8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December 31, 2022 were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8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482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614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461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minimum lease payments</w:t>
            </w:r>
          </w:p>
        </w:tc>
        <w:tc>
          <w:tcPr>
            <w:tcW w:w="374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2,631</w:t>
            </w:r>
          </w:p>
        </w:tc>
        <w:tc>
          <w:tcPr>
            <w:tcW w:w="1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82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2,321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7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F-46</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Note 11 — Convertible Promissory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11, 2021, the Company’s Board of Directors and shareholders approved the amendment to the conversion formula of the Convertible Promissory Notes (the “Convertible Notes”) issued by the Company on dates between August 2020 and November 2020. Pursuant to the amendment, immediately prior to the consummation of a public transaction, the outstanding principal amount of the Convertible Notes, together with all accrued and unpaid interest, shall convert into a number of fully paid and non-assessable shares of Common Stock, at a conversion price of $1,544.00 per share.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Accordingly, the Company recognized a gain on extinguishment of $2.7 million in connection with the derecognition of the net carrying amount of the extinguished debt of $19.7 million (inclusive of $13.1 million of principal and $7.1 million of derivative liabilities, less $587 thousand of debt discount) and the recognition of the $17.0 million fair value of the new convertible notes (including the same principal amount of $13.1 million plus the $3.9 million fair value of the beneficial conversion feature).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1, 2021, in conjunction with the closing of the Company’s IPO, the Convertible Notes in the aggregate principal amount of $13.1 million were converted into 8,485 shares of Common Stock at the election of the Company at a conversion price of $1,544.00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11, 2022, the Company increased its authorized number of shares to 8,000,000, consisting of: 5,000,000 shares of Common Stock, par value $0.001 per share and 3,000,000 shares of preferred stock, par value $0.001 per share. On January 9, 2020, the Company designated 105,000 shares of the 3,000,000 authorized shares of Preferred Stock, as Series A Convertible Preferred Stock (“Series A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Conversion Formulas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11, 2021, the Company’s Board of Directors approved the amendment to the conversion formula of the Series A Preferred Stock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After the amendment:</w:t>
      </w:r>
    </w:p>
    <w:p>
      <w:pPr>
        <w:spacing w:after="0" w:line="207" w:lineRule="exact"/>
        <w:rPr>
          <w:sz w:val="20"/>
          <w:szCs w:val="20"/>
          <w:color w:val="auto"/>
        </w:rPr>
      </w:pPr>
    </w:p>
    <w:p>
      <w:pPr>
        <w:jc w:val="both"/>
        <w:ind w:left="660" w:hanging="328"/>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Stock is convertible, at any time after the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$1,544.00 per share (after the reverse split taking effect);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consummation of a public transaction, the outstanding principal amount of the Convertible Notes together with all accrued and unpaid interest shall convert into a number of fully paid and non-assessable shares of Common Stock equal to the quotient of (i) the outstanding principal amount of the Convertible Notes together with all accrued and unpaid interest thereunder immediately prior to such public transaction divided by (ii) a conversion price of $1,544.00 per share (after the reverse split taking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1, 2021, the Company completed an IPO for the sale of 27,000 shares of Common Stock at a price of $2,000.00 per share. The Company also granted the underwriters a 45-day option to purchase up to 4,050 additional shares of Common Stock on the same terms and conditions for the purpose of covering any over-allotments in connection with the IPO, and warrants to purchase 810 shares of Common Stock (equal to 3% of the aggregate number of shares of Common Stock issued in the IPO) at an exercise price of $2,500.00 per share (which is equal to 125% of the IPO price). Subsequently, the underwriters exercised the over-allotment option, and on February 4, 2021, the Company closed on the sale of an additional 4,050 shares of Common Stock for a price of $2,000.00 per share and granted to the underwriters warrants to purchase 121 additional shares of Common Stock (equal to 3% of the amount of shares issued as part of the exercised of the over-allotment option) at an exercise price of $2,500.00 per share. The exercise of the over-allotment option brought the total number of shares of Common Stock sold by the Company in connection with the IPO to 31,050 shares and the total net proceeds received in connection with the IPO to approximately $57 million, after deducting underwriting discounts and estimated offering expenses.</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Company’s IPO, all outstanding shares of Series A Preferred Stock and Convertible Notes were converted into 6,865 shares of Common Stock and 8,485 shares of Common Stock, respectively, at a conversion price of $1,544.00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Public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19, 2021, the Company consummated the February Offering for the sale of 27,778 shares of Common Stock for a price of $2,700.00 per share. The Company also granted the underwriters a 45-day option to purchase up to 4,167 additional shares of Common Stock on the same terms and conditions for the purpose of covering any over-allotments in connection with the February Offering, and warrants to purchase 833 shares of Common Stock (equal to 3% of the aggregate number of shares of Common Stock issued in the February Offering) at an exercise price of $3,375.00 per share (which is equal to 125% of the February Offering). Subsequently, the underwriters exercised the over-allotment option, and on March 22, 2021, the Company closed on the sale of an additional 4,167 shares of Common Stock for a price of $2,700.00 per share and granted to the underwriters warrants to purchase 125 additional shares of Common Stock (equal to 3% of the amount of shares issued as part of the exercised of the over-allotment option) at an exercise price of $3,375.00 per share. The exercise of the over-allotment option brought the total number of shares of Common Stock sold by the Company in connection with the February Offering to 31,944 shares and the total net proceeds received in connection with the February Offering to approximately $80 million, after deducting underwriting discounts and estimated offering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 Termination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14, 2021, the Company entered into a letter agreement and waiver (the “Letter Agreement”), to amend the terms of its underwriting agreement with the representative of the underwriters in the IPO. Pursuant to the Letter Agreement, the representative agreed to waive the right of first refusal included in the underwriting agreement in consideration of a cash payment to the representative of $2.4 million and the right to participate as a co-manager with 10% of the economics with respect to the Company’s next public offering of securities, payable in cash upon the closing of such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the Company entered into a Securities Purchase Agreement (the “Securities Agreement”) with an institutional investor and other accredited investors for the sale by the Company of 12,253 shares (the “SA Shares”) of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SA Warrants are exercisable six months from issuance. Each Pre-Funded Warrant was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Raymond Chang, Chairman and Chief Executive Officer (“CEO”) of the Company, and Stuart Wilcox, who formerly served as our Chief Operating Officer, and at the time he was a member of the Company’s Board of Directors, participated in the private placement on essentially the same terms as other investors, except for having a combined purchase price of $1,380.00 per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 in Connection with Acquisitions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 2021, the Company issued an aggregate of 3,332 shares of its Common Stock to the Precision and Cascade shareholders in connection with the Company’s acquisition of Precision and Cascade. On August 17, 2022, the Company issued an additional 435 shares of its Common Stock to the Precision and Cascade shareholders for contingent liabilities. Refer to Note 8 – Business Combinations, included elsewhere in the notes to the consolidated financial statements.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31, 2021, the Company issued an aggregate of 1,202 shares of its Common Stock to the PurePressure shareholders in connection with the Company’s acquisition of PurePressure. On January 31, 2023, the remaining 372 Holdback Buyer Shares were released, including 6 Holdback Buyer Shares that were withheld to cover a tax indemnification claim in accordance with the Purchase Agreement. Additional information regarding the PurePressure Holdback Buyer Shares may be found in Note 8 – Business Combinations, included elsewhere in the notes to the consolidated financial statements.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 2022, the Company issued an aggregate of 1,491 shares of its Common Stock to the Lab Society shareholders in connection with the Company’s acquisition of Lab Society. On April 28, 2023, the Company issued the remaining 499 Holdback Buyer Shares to the Lab Society Owners in accordance with the Lab Society Merger Agreement. Refer to Note 8 – Business Combinations,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Marketing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$468 thousand and legal fees totaling $75 thousand.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 and does not anticipate any further sales under the ATM Program in the foreseeable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16, 2022, the Company issued 594,232 shares of its Common Stock, Pre-Funded 2022 Warrants to purchase 75,000 shares of its Common Stock, and accompanying December 2022 Warrants to purchase 1,338,462 shares of the Company’s Common Stock. The Company received net proceeds from the Offering of approximately $8.2 million, after deducting underwriting discounts and commissions, and estimated expenses. The Company used the net proceeds from the Offering, together with its existing cash resources, for working capital and general corporate purposes, which may include capital expenditures and repayment of debt.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Pre-Funded 2022 Warrants were exercisable immediately upon issuance at an exercise price of $0.001 per share and do not have an expiration date. The December 2022 Warrants were exercisable immediately and have a term of exercise equal to five years from the initial exercise date at an exercise price of $13.00 per share. The offering price for the securities was $13.00 per share (or $12.98 for each Pre-Funded 2022 Warrant).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December 2022 Warrants may not be exercised by the holder to the extent that the holder, together with its affiliates, would beneficially own, after such exercise more than 4.99% of the shares of the Company’s Common Stock then outstanding (subject to the right of the holder to increase or decrease such beneficial ownership limitation upon notice to the Company, provided that such limitation cannot exceed 9.99%) and provided that any increase in the beneficial ownership limitation shall not be effective until the sixty-first day after such notice is delivered.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liability-classified as there is a volatility floor and these warrants are not indexed to the Company’s own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5" w:name="page146"/>
    <w:bookmarkEnd w:id="145"/>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valued the December 2022 Warrants using the Black-Scholes option-pricing model and determined the fair value at $5.9 million. The key inputs to the valuation model included the annualized volatility of 98.0% and the expected term of about 5 years.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Raymond Chang, Chairman and CEO, participated in the Offering and purchased 115,385 shares of Common Stock and 230,769 December 2022 Warrants for an aggregate purchase price of approximately $1.5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Company’s December 2022 Warrants may be found in Note 1 – Overview, Basis of Presentation, and Significant Accounting Policies and Note 4 – Fair Value Measures, included elsewhere in the notes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terminates unexercised, or is forfeited, the number of shares subject thereto is again available for grant under the 2022 Plan. The 2022 Plan shall continue in effect, unless sooner terminated, until the tenth anniversary of the date on which it is adopted by the Board of Directors. As of December 31, 2022, there were 4,104 shares of Common Stock available to be granted under the Company’s 2022 Plan.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stock option compensation expense was $4.3 million and $5.6 million for the years ended December 31, 2022 and 2021,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year ended December 31, 2022.</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options granted during the year ended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 1.63%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consolidated financial statements. If the actual forfeiture rate is lower than the estimated forfeiture rate, then an adjustment will be made to lower the estimated forfeiture rate, which will result in an increase to expense recognized in the Company’s consolidated financial statements. The expense the Company recognizes in future periods will be affected by changes in the estimated forfeiture rate and may differ significantly from amounts recognized in the current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6" w:name="page147"/>
    <w:bookmarkEnd w:id="146"/>
    <w:p>
      <w:pPr>
        <w:ind w:left="34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2,426.00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769.00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886.00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Options outstanding at December 31, 2021</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17,822</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1,436.00</w:t>
            </w:r>
          </w:p>
        </w:tc>
        <w:tc>
          <w:tcPr>
            <w:tcW w:w="1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62.64</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458.42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1,018.82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1,394.70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1,518.05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1,327.13</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recognized compensation expense related to the Company’s stock option plans for the years ended December 31, 2022 and 2021 was $3.5 million and $5.6 million, respectively. As of December 31, 2022, total unrecognized compensation expense related to unvested options under the Company’s option plans was $2.9 million, which is expected to be recognized over a weighted average period of 7.84 years.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Options Vested and Exercisable</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10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 Contractual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456.00</w:t>
            </w:r>
          </w:p>
        </w:tc>
        <w:tc>
          <w:tcPr>
            <w:tcW w:w="2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972.00</w:t>
            </w: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4,039</w:t>
            </w: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1,536.00-1,840.00</w:t>
            </w: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2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1,708.79</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2,768.00-3,722.00</w:t>
            </w:r>
          </w:p>
        </w:tc>
        <w:tc>
          <w:tcPr>
            <w:tcW w:w="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3,173</w:t>
            </w: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2,770.05</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under the 2022 Plan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8680" w:type="dxa"/>
            <w:vAlign w:val="bottom"/>
          </w:tcPr>
          <w:p>
            <w:pPr>
              <w:spacing w:after="0"/>
              <w:rPr>
                <w:sz w:val="21"/>
                <w:szCs w:val="21"/>
                <w:color w:val="auto"/>
              </w:rPr>
            </w:pP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252.40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365.66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302.41</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230.75</w:t>
            </w: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recognized compensation expense related to the Company’s restricted stock units for the years ended December 31, 2022 and 2021 was $818,000 and $0, respectively. As of December 31, 2022, total unrecognized compensation expense related to unvested restricted stock units was $1.4 million, which is expected to be recognized over a weighted average period of 2.59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Employee Stock Purchase Plan (“ESPP”). The Company has initially reserved 2,500 shares of Common Stock for issuance under the ESPP. On December 31, 2022, 2,500 shares were available for future issuance.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 thousand worth of Common Stock annually. No Common Stock was granted under the 2022 ESPP during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years ended December 31, 2022 and 2021, the Company did not contribute to the 401(k) Plan.</w:t>
      </w:r>
    </w:p>
    <w:p>
      <w:pPr>
        <w:sectPr>
          <w:pgSz w:w="11900" w:h="16838" w:orient="portrait"/>
          <w:cols w:equalWidth="0" w:num="1">
            <w:col w:w="11240"/>
          </w:cols>
          <w:pgMar w:left="320" w:top="873"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all warrant activity of the Company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Exercised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Canceled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1"/>
                <w:szCs w:val="2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4,141</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r>
        <w:trPr>
          <w:trHeight w:val="255"/>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(4,672)</w:t>
            </w:r>
          </w:p>
        </w:tc>
        <w:tc>
          <w:tcPr>
            <w:tcW w:w="1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1,360</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4.00</w:t>
            </w: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1,541,937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0" w:type="dxa"/>
            <w:vAlign w:val="bottom"/>
          </w:tcPr>
          <w:p>
            <w:pPr>
              <w:spacing w:after="0"/>
              <w:rPr>
                <w:sz w:val="18"/>
                <w:szCs w:val="18"/>
                <w:color w:val="auto"/>
              </w:rPr>
            </w:pP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(10,296)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20" w:type="dxa"/>
            <w:vAlign w:val="bottom"/>
          </w:tcPr>
          <w:p>
            <w:pPr>
              <w:spacing w:after="0"/>
              <w:rPr>
                <w:sz w:val="18"/>
                <w:szCs w:val="18"/>
                <w:color w:val="auto"/>
              </w:rPr>
            </w:pPr>
          </w:p>
        </w:tc>
      </w:tr>
      <w:tr>
        <w:trPr>
          <w:trHeight w:val="248"/>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246.00</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1,530,001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2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640" w:space="40"/>
            <w:col w:w="2560"/>
          </w:cols>
          <w:pgMar w:left="320" w:top="873"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received proceeds from the exercise of warrants of $2 thousand and $8 thousand for the years ended December 31,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27, 2020, the CARES Act was enacted and signed into law.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years ended December 31, 2022 or December 31, 2021, respectively.</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period ended December 31, 2022, the Company recorded a tax provision of approximately $23 thousand, comprised of its change in deferred tax liability during the year related to its indefinite-lived intangible asset balance. The indefinite-lived intangibles are not all available as a source of income and thus are not fully available to offset the Company’s deferred tax assets. As of December 31, 2022, the Company has federal and state net operating loss carryforwards of approximately $96.7 million and $71.6 million, respectively. The net operating loss carryforwards for United States income taxes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its net operating loss carryforward deferred tax assets to reduce the assets to zero. Management will review this valuation allowance periodically and adjust as necessary.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48" w:name="page149"/>
    <w:bookmarkEnd w:id="148"/>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differences between the U.S. Federal statutory tax rate and the Company’s effective tax rate for financial statement purposes for the years ended December 31, 2022 and 2021:</w:t>
      </w:r>
    </w:p>
    <w:p>
      <w:pPr>
        <w:spacing w:after="0" w:line="158"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 and other</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w:t>
            </w: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period adjustments to opening deferred tax</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50"/>
        </w:trPr>
        <w:tc>
          <w:tcPr>
            <w:tcW w:w="84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
        </w:trPr>
        <w:tc>
          <w:tcPr>
            <w:tcW w:w="8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deferred tax assets and liabilities as of December 31, 2022 and 2021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Accruals, reserves, and other</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20,082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2,529</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Sec. 174 R&amp;E</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1,937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 carryforward</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571</w:t>
            </w: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(52,730)</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(13,852)</w:t>
            </w:r>
          </w:p>
        </w:tc>
      </w:tr>
      <w:tr>
        <w:trPr>
          <w:trHeight w:val="236"/>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40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5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Fixed assets</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7"/>
                <w:szCs w:val="17"/>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6"/>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4560" w:type="dxa"/>
            <w:vAlign w:val="bottom"/>
          </w:tcPr>
          <w:p>
            <w:pPr>
              <w:spacing w:after="0"/>
              <w:rPr>
                <w:sz w:val="20"/>
                <w:szCs w:val="20"/>
                <w:color w:val="auto"/>
              </w:rPr>
            </w:pPr>
          </w:p>
        </w:tc>
        <w:tc>
          <w:tcPr>
            <w:tcW w:w="436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5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3"/>
          </w:tcPr>
          <w:p>
            <w:pPr>
              <w:jc w:val="right"/>
              <w:ind w:right="3034"/>
              <w:spacing w:after="0"/>
              <w:rPr>
                <w:sz w:val="20"/>
                <w:szCs w:val="20"/>
                <w:color w:val="auto"/>
              </w:rPr>
            </w:pPr>
            <w:r>
              <w:rPr>
                <w:rFonts w:ascii="Times New Roman" w:cs="Times New Roman" w:eastAsia="Times New Roman" w:hAnsi="Times New Roman"/>
                <w:sz w:val="18"/>
                <w:szCs w:val="18"/>
                <w:color w:val="auto"/>
              </w:rPr>
              <w:t>F-53</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49" w:name="page150"/>
    <w:bookmarkEnd w:id="149"/>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Company recognizes federal and state deferred tax assets or liabilities based on the Company’s estimate of future tax effects attributable to temporary differences and carryovers. The Company records a valuation allowance to reduce any deferred tax assets by the amount of any tax benefits that, based on available evidence and judgment, are not expected to be realized. In assessing the realizability of deferred tax assets, the Company considers whether it is more likely than not that some portion or all the deferred tax assets will be realized. The ultimate realization of deferred tax assets is dependent upon the generation of future taxable income during periods in which those temporary differences become deductible. The Company considers projected future taxable income and planning strategies in making this assessment. As of December 31, 2021, because of a three-year cumulative loss and recent events, the Company concluded that a full valuation allowance was necessary to offset its deferred tax assets. The Company also has indefinite-lived intangibles and goodwill which generate a deferred tax liability that is not available to fully offset its deferred tax assets due to uncertainty as to when the deferred tax liability will reverse as a source of taxable income. As a result, the Company is in a net deferred tax liability position as of December 31, 2022. The Company intends to maintain a valuation allowance until sufficient positive evidence exists to support its reversal. The Company will continue to evaluate its deferred tax balances to determine any assets that are more likely than not to be realized. As of December 31, 2022, the Company had federal and state income tax net operating loss carryovers $96.7 million and $71.6 million, respectively. Of the federal balance, approximately $675 thousand will expire if not utilized by 2037 and $96.0 million carry forward indefinitely but are only available to offset 80% of taxable income per year. As of December 31, 2022, the Company also had federal research credits of approximately $1.1 million that will expire if not utilized by 2041. The utilization of the Company’s net operating loss carryforwards and research tax credit carryovers could be subject to annual limitations under Section 382 and 383 of the Internal Revenue Code of 1986, and similar state tax provisions due to ownership change limitations that may have occurred previously or that could occur in the future. These ownership changes limit the amount of net operating loss carryforwards and other deferred tax assets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 points over a three-year period. The Company has not conducted an analysis of an ownership change under section 382. To the extent that a study is completed, and an ownership change is deemed to occur, the Company’s net operating losses and tax credits could be limited.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have any uncertain tax positions or events leading to uncertainty in a tax position. The Company’s 2017 through 2021 corporate income tax returns are subject to Internal Revenue Service examination. In addition, to the extent that tax attributes are utilized in future years to offset taxable income or income taxes, the IRS and state taxing authorities can examine the years in which those attributes were generated and adjust the attributes.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Net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Common Stock outstanding during the periods. Diluted net loss per share is computed by giving effect to all potential shares of Common Stock, including outstanding stock options, stock related to unvested restricted stock units, and outstanding warrants to the extent dilutive. Net loss per share, assuming dilution, is equal to basic net loss per share because the effect of dilutive securities outstanding during the periods, including options and warrants computed using the treasury stock method, is anti-dilutive.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(188,173)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(32,465)</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dividend attributable to Preferred A Stockholders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available for Common Stockholders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gridSpan w:val="2"/>
            <w:shd w:val="clear" w:color="auto" w:fill="CCEEFF"/>
          </w:tcPr>
          <w:p>
            <w:pPr>
              <w:ind w:left="180"/>
              <w:spacing w:after="0" w:line="296" w:lineRule="exact"/>
              <w:rPr>
                <w:sz w:val="20"/>
                <w:szCs w:val="20"/>
                <w:color w:val="auto"/>
              </w:rPr>
            </w:pPr>
            <w:r>
              <w:rPr>
                <w:rFonts w:ascii="Times New Roman" w:cs="Times New Roman" w:eastAsia="Times New Roman" w:hAnsi="Times New Roman"/>
                <w:sz w:val="18"/>
                <w:szCs w:val="18"/>
                <w:color w:val="auto"/>
              </w:rPr>
              <w:t xml:space="preserve">Weighted-average common shares outstanding – basic and diluted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208,573</w:t>
            </w:r>
          </w:p>
        </w:tc>
        <w:tc>
          <w:tcPr>
            <w:tcW w:w="3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95,455</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ind w:left="180"/>
              <w:spacing w:after="0" w:line="202" w:lineRule="exact"/>
              <w:rPr>
                <w:sz w:val="20"/>
                <w:szCs w:val="20"/>
                <w:color w:val="auto"/>
              </w:rPr>
            </w:pPr>
            <w:r>
              <w:rPr>
                <w:rFonts w:ascii="Times New Roman" w:cs="Times New Roman" w:eastAsia="Times New Roman" w:hAnsi="Times New Roman"/>
                <w:sz w:val="15"/>
                <w:szCs w:val="15"/>
                <w:color w:val="auto"/>
              </w:rPr>
              <w:t xml:space="preserve">Net loss per share attributable to Common Stockholders – basic and diluted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continue"/>
          </w:tcPr>
          <w:p>
            <w:pPr>
              <w:spacing w:after="0"/>
              <w:rPr>
                <w:sz w:val="14"/>
                <w:szCs w:val="14"/>
                <w:color w:val="auto"/>
              </w:rPr>
            </w:pP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spacing w:after="0"/>
              <w:rPr>
                <w:sz w:val="14"/>
                <w:szCs w:val="14"/>
                <w:color w:val="auto"/>
              </w:rPr>
            </w:pP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14"/>
                <w:szCs w:val="14"/>
                <w:color w:val="auto"/>
              </w:rPr>
            </w:pPr>
          </w:p>
        </w:tc>
        <w:tc>
          <w:tcPr>
            <w:tcW w:w="1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01"/>
        </w:trPr>
        <w:tc>
          <w:tcPr>
            <w:tcW w:w="8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100" w:type="dxa"/>
            <w:vAlign w:val="bottom"/>
            <w:gridSpan w:val="2"/>
          </w:tcPr>
          <w:p>
            <w:pPr>
              <w:jc w:val="right"/>
              <w:ind w:right="141"/>
              <w:spacing w:after="0" w:line="95" w:lineRule="exact"/>
              <w:rPr>
                <w:sz w:val="20"/>
                <w:szCs w:val="20"/>
                <w:color w:val="auto"/>
              </w:rPr>
            </w:pPr>
            <w:r>
              <w:rPr>
                <w:rFonts w:ascii="Times New Roman" w:cs="Times New Roman" w:eastAsia="Times New Roman" w:hAnsi="Times New Roman"/>
                <w:sz w:val="10"/>
                <w:szCs w:val="10"/>
                <w:color w:val="auto"/>
              </w:rPr>
              <w:t>(902.19</w:t>
            </w:r>
          </w:p>
        </w:tc>
        <w:tc>
          <w:tcPr>
            <w:tcW w:w="360" w:type="dxa"/>
            <w:vAlign w:val="bottom"/>
            <w:vMerge w:val="continue"/>
          </w:tcPr>
          <w:p>
            <w:pPr>
              <w:spacing w:after="0"/>
              <w:rPr>
                <w:sz w:val="8"/>
                <w:szCs w:val="8"/>
                <w:color w:val="auto"/>
              </w:rPr>
            </w:pPr>
          </w:p>
        </w:tc>
        <w:tc>
          <w:tcPr>
            <w:tcW w:w="7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(340.75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1,530,001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1,551,131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19,181</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and Agrify will be permitted to make responsive filings, which may include an answer and counterclaim.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On February 22, 2023, Bowdoin Construction Corp. (“Bowdoin”) 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8"/>
          <w:szCs w:val="18"/>
          <w:i w:val="1"/>
          <w:iCs w:val="1"/>
          <w:color w:val="auto"/>
        </w:rPr>
        <w:t>Bowdoin Construction Corp.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Agrify Corporation, Bud &amp; Mary’s Cultivation, Inc. and BMLC2, LLC</w:t>
      </w:r>
      <w:r>
        <w:rPr>
          <w:rFonts w:ascii="Times New Roman" w:cs="Times New Roman" w:eastAsia="Times New Roman" w:hAnsi="Times New Roman"/>
          <w:sz w:val="18"/>
          <w:szCs w:val="18"/>
          <w:color w:val="auto"/>
        </w:rPr>
        <w:t>, case no. 2382CV00173. The Bowdoin Complaint relates to a construction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Certain of Bowdoin’s subcontractors have filed ancillary civil actions, some seeking direct recovery of sums (which sums are understood to be subsumed in / covered by Bowdoin’s claims) against the Company. The Company is entitled to indemnification by Bud &amp; Mary’s and intends to vigorously defend this and ancillary claim(s).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 2023, Mack filed an arbitration action seeking the amounts owed to Mack for purchased inventory. On October 27, 2023, and effective as of October 18, 2023, Mack and the Company entered into a Modification and Settlement Agreement with respect to the dispute. See Note 19 – Subsequent Events.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TRC Electronics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proceeding with discovery.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Sinclair Scientific Litigation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15, 2023, the Company and its wholly-owned subsidiary Precision Extraction Newco, LLC (“Precision”), filed an Amended Verified Complaint in the Court of Chancery of the State of Delaware against Sinclair Scientific, LLC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The Company and Precision filed an answer to the counterclaims denying all liability on the claims and discovery in the Delaware Action has recently commenced.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Supply Agreement with Mack Molding Co.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would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152" w:name="page153"/>
    <w:bookmarkEnd w:id="15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 On October 27, 2023, and effective as of October 18, 2023, Mack and the Company entered into a Modification and Settlement Agreement with respect to the dispute. See Note 19 – Subsequent Events.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Agreements with Related Party – Bluezone Products, Inc.</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$309 thousand of the committed $660 thousand second-year purchases through December 31, 2021. Bluezone is a related party to the Company.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4D Bios, Inc.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18, 2021, the Company entered into an amended purchase agreement with 4D Bios, Inc. (“4D”) to secure purchases of horticultural equipment. The original agreement required minimum purchases of between $577 dollars and $607 dollars per unit of 4D products until December 31, 2020. The amended agreement requires minimum purchases of $582 dollars per unit with a final payment of approximately $864 thousand paid to 4D. 4D is a related party to the Company. The Company settled all outstanding commitments, leaving no open committed purchases as of December 31, 2021.</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Ora Pharm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2022, the Company entered into an agreement with Ora Pharm (“Ora”) pursuant to which Ora will purchase approximately $1.6 million in equipment from the Company, and Ora may purchase software services from the Company in the future. Stuart Wilcox, the Company’s former Chief Operating Officer, is the Chairman of Ora.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 to Note 9 – Debt, included elsewhere in the notes to the consolidated financial statements for details of the Company’s future minimum debt payments. Refer to Note 10 – Leases, included elsewhere in the notes to the consolidated financial statements for details of the Company’s future minimum lease payments under operating and financing lease liabilities. Refer to Note 15 – Income Taxes, included elsewhere in the notes to the consolidated financial statements for information regarding income tax contingencies.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Note 18 — Related Parties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Enozo</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Cannae Policy Group</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Cannaquip</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(22,010)</w:t>
            </w: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Greenstone, which is a related party because one of the Company’s former Agrify Brands employees and its VP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Engineering had a minority ownership</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(9,429)</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Valiant-America, LLC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10,520</w:t>
            </w:r>
          </w:p>
        </w:tc>
        <w:tc>
          <w:tcPr>
            <w:tcW w:w="3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6,048</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Living Greens Farm</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bl>
    <w:p>
      <w:pPr>
        <w:spacing w:after="0" w:line="179" w:lineRule="exact"/>
        <w:rPr>
          <w:sz w:val="20"/>
          <w:szCs w:val="20"/>
          <w:color w:val="auto"/>
        </w:rPr>
      </w:pPr>
    </w:p>
    <w:p>
      <w:pPr>
        <w:ind w:left="340" w:right="1400" w:hanging="332"/>
        <w:spacing w:after="0" w:line="49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2022, the Company provided notice to Valiant-America, LLC of its intention to begin winding up of Agrify-Valiant. The following table summarizes net related party receivable (payable) as of December 31, 2022 and 2021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Cannae Policy Group</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Cannaquip</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Greenstone (net of allowance for doubtful accounts of $9,360 and $0 at December 31, 2022 and 2021, respectively)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11,177</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Living Greens Farm </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Valiant-America, LLC </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Greenstone is a related party because one of the Company’s former Agrify Brands employees and its VP of Engineering had a minority ownership. The Greenstone allowance for doubtful accounts balance consisted of capital advances, accrued interest and VFUs sales. Additional information regarding recent developments with Greenstone may be found in Note 5 – Loans Receivable, included elsewhere in the notes to the consolidated financial statements.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was fully reserved at December 31, 2022, due to an ongoing dispute with the customer.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2022, the Company provided notice to Valiant-America, LLC of its intention to begin winding up of Agrify-Valiant.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 Resignation and Appointment of Raymond Chang as principal financial and accounting officer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 2023, Timothy R. Oakes, the Chief Financial Officer (“CFO”) of the Company, notified the Company that he would resign as CFO effective as of February 28, 2023 (the “Effective Date”) to pursue other opportunities. Mr. Oakes’ resignation did not result from any disagreement regarding the Company’s operations, policies or practices. Mr. Oakes assisted with the resulting transition ahead of the Effective Date. In connection with Mr. Oakes’ resignation, the Company is continuing its process to identify a replacement Chief Financial Officer. Further, Raymond Chang, the Company’s Chief Executive Officer, will serve as the Company’s principal financial and accounting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19, 2023, the Company received a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had to be at least $1.00 per share for a minimum of 10 consecutive trading days during this 180-day compliance period, unless the Staff exercised its discretion to extend the minimum trading day period pursuant to Nasdaq Listing Rule 5810(c)(3)(G). On July 19, 2023, the Company received a notice from Nasdaq confirming its recompliance with the minimum bid price rule.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disclosed in a Current Report on Form 8-K filed on April 17, 2023, the Company’s audit committee concluded that, as a result of inadvertent errors in the accounting for warrants previously issued by the Company, it was appropriate to restate the Company’s previously issued unaudited condensed consolidated interim consolidated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Form 10-K, the First Quarter 2023 Form 10-Q, and the Second Quarter 2023 Form 10-Q without unreasonable effort or expense.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the Company received a notice from Nasdaq (the “April Nasdaq Notice”) that it was noncompliant with Nasdaq Listing Rule 5250(c)(1) as a result of its failure to file its Annual Report on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 (the “Delayed Reports”). The Nasdaq Notice had no immediate effect on the listing of the Company’s common stock on The Nasdaq Stock Market LLC.</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the Company received the Staff Determination from the Listing Qualifications Department of Nasdaq notifying the Company that it was not in compliance with Nasdaq’s continued listing requirements under the Listing Rule as a result of its failure to file the Delinquent Reports in a timely manner. The Company timely requested a hearing before the Nasdaq Hearings Panel (the “Panel”), and the Panel scheduled a hearing for January 11,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Bowdoin Litigation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in the Superior Court of Massachusetts in Norfolk County naming the Company, Bud &amp; Mary’s and certain related parties as defendants. The Bowdoin Complaint relates to a construction contract between Bowdoin and Agrify relating to the property that is the subject of the Bud &amp; Mary’s Complaint and alleges breach of contract by Bud &amp; Mary’s and by Agrify due to nonpayment of approximately $7.0 million due under the contract and related indemnification claims and mechanics’ liens. Certain of Bowdoin’s subcontractors have filed ancillary civil actions, some seeking direct recovery of sums (which sums are understood to be subsumed in / covered by Bowdoin’s claims) against the Company. While the Company believes the claim is without merit and will continue to vigorously defend itself against Bowdoin’s allegations, litigation is inherently unpredictable and there can be no assurance that the Company will prevail in this matter.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Articles of Incorporation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 2023, the Company filed Articles of Amendment (the “Charter Amendment”) to its Articles of Incorporation with the Secretary of State for the State of Nevada. The Charter Amendment increased the number of authorized shares of the Company’s Common Stock from 5,000,000 to 10,000,000, and correspondingly increased the total authorized shares of stock from 8,000,000 to 13,000,000. The Charter Amendment was approved by the Company’s stockholders at the Special Meeting on February 28, 2023 and became effective upon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Exchange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8, 2023, the Company entered into a new Securities Exchange Agreement (the “March 2023 Exchange Agreement”) with an accredited lender. Pursuant to the March 2023 Exchange Agreement, at closing the Company prepaid approximately $10.3 million in principal amount under the Exchange Note and exchanged $10.0 million in principal amount of the remaining balance of the Exchange Note for a new senior secured convertible note (the “Convertible Note”) with an original principal amount of $10.0 million. The Convertible Note is a senior secured obligation of the Company and ranks senior to all indebtedness of the Company. The Convertible Note will mature on August 19, 2025 and contains a 9.0% annualized interest rate, with interest to be paid monthly, in cash, beginning April 1, 2023.</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closing under the March 2023 Exchange Agreement, the Company and the lender entered into an Amendment to the Exchange Note (the “Note Amendment”). Pursuant to the Note Amendment, the Exchange Note was amended to, among other changes, remove covenants that require the Company not to exceed maximum levels of allowable cash spend while the Exchange Note is outstanding and require the Company to maintain minimum amounts of cash on hand.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26, 2023, the Company entered into a letter agreement with the above referenced accredited lender (the “Letter Agreement”), pursuant to which the Company and the lender agreed to exchange $2.0 million of the remaining outstanding principal amount under the Exchange Note for 445,197 shares of common stock of the Company, subject to a Beneficial Ownership Limitation of 4.99% of the Company’s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Discontinuance of the ATM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April 1, 2023, after which time the ATM Program was discontinued, the Company sold 629,710 shares of Common Stock, under the ATM Program at an average price of $27.29 per share, resulting in gross proceeds to the Company of $17.2 million, and net proceeds of $16.7 million after commissions and fees to the Agent totaling $516 thousand. $3.0 million of the proceeds under the ATM Program were used to repay amounts due to the Investor under the Exchange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Repricing of Common Stock Warrants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issued 1,338,462 common stock warrants in conjunction with the Company’s public offering from December, 2022. On April 18, 2023, the Company undertook a warrant exercise inducement program, which it later cancelled. As a result, the warrant exercise price was reduced from $13.00 per share to $3.45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2023, the Company extended its lease by three years until March 31, 2026, for the premises located at 2468 Industrial Row Dr., Troy, Michigan 48084.</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May 23, 2023, the Company extended its lease by three years until July 31, 2026, for the premises located at 2625 S. Santa Fe Dr., Bldg. 1, Units 1H and 1IJ.</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Mack Molding Modification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and with an effective date as of October 18, 2023, the Company entered into a Modification and Settlement Agreement (the “Modification Agreement”) with Mack Molding Company (“Mack”). Pursuant to the Modification Agreement, the Company and Mack agreed to settle an outstanding dispute under the Supply Agreement between the parties dated December 7, 2020 (the “Supply Agreement”). The Modification Agreement requires the Company to make payments of $500,000 and $250,000 to Mack on or before November 1, 2023 and February 15, 2024, respectively. Following the November 1, 2023 payment, the Company will be entitled to take possession of certain Vertical Farming Units (“VFUs”) that were assembled under the Supply Agreement. The Modification Agreement also requires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as part of the Modification Agreement, the Company agreed to issue to Mack a warrant to purchase 750,000 shares of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Mack’s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Issuance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27, 2023, the Company entered into a letter agreement with the holder of the Exchange Note and the Convertible Note. Pursuant to the agreement, the Company agreed to exchange $3.0 million in principal and approximately $1.1 million in accrued but unpaid interest outstanding under the Exchange Note to purchase 2,809,669 shares of common stock (the “Exchange Warrant”). Additionally, the Company agreed to exchange the 375,629 shares of common stock held in abeyance for the lender under the terms of the Letter Agreement for a warrant to purchase 375,629 shares of common stock (the “Abeyance Warrant”).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warrant has an exercise price of $0.001 per share, was exercisable upon issuance, has a term of five years from the date of issuance and is exercisable on a cash basis or on a cashless exercise basis at the holder’s election.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Exchange Warrant provides that in the event that Raymond Chang or his affiliates acquire securities from the Company, exercise convertible securities or amend the terms of convertible securities at a purchase or conversion price lower than $1.46, then the number of shares of common stock underlying Exchange Warrant will be increased to an amount equal to $3.0 million divided by such purchase or conversion price, subject to proportional adjustment in the event the Exchange Warrant has been partially exercised. Additionally, in the event that the Company has not issued equity securities in exchange for gross proceeds of at least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Letter Agreement requires that the Company issue equity securities to Mr. Chang or his affiliates for aggregate gross proceeds of at least $3.0 million, minus any funds advanced by Mr. Chang to the Company since July 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Purchase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the Company’s Chief Executive Officer, purchased the Exchange Note and the Convertible Note from their holder. In connection with the Note Purchase, the New Lender has agreed to waive any events of default under the acquired notes through December 31, 2023 and to enter into an agreement with the Company to extend the maturity date thereon to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Amendment and Secured Promissory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12, 2023, the Company issued an unsecured promissory note (the “Note”) in favor of GIC Acquisition, LLC (“GIC”), an entity that is managed by Raymond Chang, the Company’s Chairman and Chief Executive Officer, with an original principal amount of up to $500,000. On October 27, 2023, GIC and the Company amended and restated the Note (the “Restated Note”). Pursuant to the terms of the Restated Note, the Maturity Date was extended until December 31, 2023 and the Company granted a security interest in the Company’s assets that ranks junior to the Exchange Note and the Convertible Note.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Restated Note, the Company issued a junior secured promissory note (the “Junior Secured Note”) to the New Lender. Pursuant to the Junior Secured Note, the New Lender will lend up to $3,000,000 to the Company. The Junior Secured Note bears interest at a rate of 10% per annum, will mature in full on December 31, 2023, and may be prepaid without any fee or penalty. The Junior Secured Note is a secured obligation of the Company that ranks junior to the Exchange Note and the Convertible Note.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87"/>
        </w:trPr>
        <w:tc>
          <w:tcPr>
            <w:tcW w:w="3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tc>
      </w:tr>
      <w:tr>
        <w:trPr>
          <w:trHeight w:val="407"/>
        </w:trPr>
        <w:tc>
          <w:tcPr>
            <w:tcW w:w="3560" w:type="dxa"/>
            <w:vAlign w:val="bottom"/>
          </w:tcPr>
          <w:p>
            <w:pPr>
              <w:spacing w:after="0"/>
              <w:rPr>
                <w:sz w:val="24"/>
                <w:szCs w:val="24"/>
                <w:color w:val="auto"/>
              </w:rPr>
            </w:pPr>
          </w:p>
        </w:tc>
        <w:tc>
          <w:tcPr>
            <w:tcW w:w="6420" w:type="dxa"/>
            <w:vAlign w:val="bottom"/>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7"/>
        </w:trPr>
        <w:tc>
          <w:tcPr>
            <w:tcW w:w="3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3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16"/>
        </w:trPr>
        <w:tc>
          <w:tcPr>
            <w:tcW w:w="3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(direct or</w:t>
            </w:r>
          </w:p>
        </w:tc>
      </w:tr>
      <w:tr>
        <w:trPr>
          <w:trHeight w:val="245"/>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9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indirect)</w:t>
            </w:r>
          </w:p>
        </w:tc>
      </w:tr>
      <w:tr>
        <w:trPr>
          <w:trHeight w:val="216"/>
        </w:trPr>
        <w:tc>
          <w:tcPr>
            <w:tcW w:w="3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TriGrow Systems LLC</w:t>
            </w:r>
          </w:p>
        </w:tc>
        <w:tc>
          <w:tcPr>
            <w:tcW w:w="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Nevada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AGM Service Company LLC</w:t>
            </w:r>
          </w:p>
        </w:tc>
        <w:tc>
          <w:tcPr>
            <w:tcW w:w="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Delaware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Ariafy Finance, LLC</w:t>
            </w:r>
          </w:p>
        </w:tc>
        <w:tc>
          <w:tcPr>
            <w:tcW w:w="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Massachusetts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Agxion, LLC</w:t>
            </w:r>
          </w:p>
        </w:tc>
        <w:tc>
          <w:tcPr>
            <w:tcW w:w="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Nevada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Harbor Mountain Holdings, LLC</w:t>
            </w:r>
          </w:p>
        </w:tc>
        <w:tc>
          <w:tcPr>
            <w:tcW w:w="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Georgia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Cascade Sciences, LLC</w:t>
            </w:r>
          </w:p>
        </w:tc>
        <w:tc>
          <w:tcPr>
            <w:tcW w:w="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Delaware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 Extraction NewCo, LLC</w:t>
            </w:r>
          </w:p>
        </w:tc>
        <w:tc>
          <w:tcPr>
            <w:tcW w:w="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Michigan</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PurePressure, LLC</w:t>
            </w:r>
          </w:p>
        </w:tc>
        <w:tc>
          <w:tcPr>
            <w:tcW w:w="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Colorado</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 Services LLC</w:t>
            </w:r>
          </w:p>
        </w:tc>
        <w:tc>
          <w:tcPr>
            <w:tcW w:w="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Colorado</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Lab Society NewCo, LLC</w:t>
            </w:r>
          </w:p>
        </w:tc>
        <w:tc>
          <w:tcPr>
            <w:tcW w:w="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Colorado</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Agrify Brands, LLC</w:t>
            </w:r>
          </w:p>
        </w:tc>
        <w:tc>
          <w:tcPr>
            <w:tcW w:w="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Nevada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Agrify-Valiant LLC</w:t>
            </w:r>
          </w:p>
        </w:tc>
        <w:tc>
          <w:tcPr>
            <w:tcW w:w="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Massachusetts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Teejan Podponics International LLC</w:t>
            </w:r>
          </w:p>
        </w:tc>
        <w:tc>
          <w:tcPr>
            <w:tcW w:w="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Oman</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bl>
    <w:p>
      <w:pPr>
        <w:sectPr>
          <w:pgSz w:w="11900" w:h="16838" w:orient="portrait"/>
          <w:cols w:equalWidth="0" w:num="1">
            <w:col w:w="11240"/>
          </w:cols>
          <w:pgMar w:left="320" w:top="108"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Agrify Corporation on Form S-3 (File No. 333-262603, 333-265093 &amp; 333-265710) and Form S-8 (File No. 333-257340 &amp; 333-265950) of our report dated November 27, 2023, which includes an explanatory paragraph as to the Company’s ability to continue as a going concern, with respect to our audits of the consolidated financial statements of Agrify Corporation as of December 31, 2022 and 2021 and for the years ended December 31, 2022 and 2021 appearing in the Annual Report on Form 10-K of Agrify Corporation for the year ended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elville</w:t>
      </w:r>
      <w:r>
        <w:rPr>
          <w:rFonts w:ascii="Times New Roman" w:cs="Times New Roman" w:eastAsia="Times New Roman" w:hAnsi="Times New Roman"/>
          <w:sz w:val="18"/>
          <w:szCs w:val="18"/>
          <w:color w:val="auto"/>
        </w:rPr>
        <w:t>,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ovember</w:t>
      </w:r>
      <w:r>
        <w:rPr>
          <w:rFonts w:ascii="Times New Roman" w:cs="Times New Roman" w:eastAsia="Times New Roman" w:hAnsi="Times New Roman"/>
          <w:sz w:val="18"/>
          <w:szCs w:val="18"/>
          <w:color w:val="auto"/>
        </w:rPr>
        <w:t xml:space="preserve"> 27, 2023</w:t>
      </w:r>
    </w:p>
    <w:p>
      <w:pPr>
        <w:sectPr>
          <w:pgSz w:w="11900" w:h="16838" w:orient="portrait"/>
          <w:cols w:equalWidth="0" w:num="1">
            <w:col w:w="11240"/>
          </w:cols>
          <w:pgMar w:left="320" w:top="108"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Raymond Chang,</w:t>
      </w:r>
      <w:r>
        <w:rPr>
          <w:rFonts w:ascii="Times New Roman" w:cs="Times New Roman" w:eastAsia="Times New Roman" w:hAnsi="Times New Roman"/>
          <w:sz w:val="18"/>
          <w:szCs w:val="18"/>
          <w:color w:val="auto"/>
        </w:rPr>
        <w:t xml:space="preserve"> certify that:</w:t>
      </w:r>
    </w:p>
    <w:p>
      <w:pPr>
        <w:spacing w:after="0" w:line="229"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Agrify Corporation for the year ended December 31, 2022;</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27, 2023</w:t>
            </w: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tc>
      </w:tr>
      <w:tr>
        <w:trPr>
          <w:trHeight w:val="234"/>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and Accounting Officer)</w:t>
            </w:r>
          </w:p>
        </w:tc>
      </w:tr>
    </w:tbl>
    <w:p>
      <w:pPr>
        <w:sectPr>
          <w:pgSz w:w="11900" w:h="16838" w:orient="portrait"/>
          <w:cols w:equalWidth="0" w:num="1">
            <w:col w:w="11240"/>
          </w:cols>
          <w:pgMar w:left="320" w:top="108"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Agrify Corporation (the “Company”) for the year ended December 31, 2022,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27, 2023</w:t>
            </w: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tc>
      </w:tr>
      <w:tr>
        <w:trPr>
          <w:trHeight w:val="234"/>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and Accounting Officer)</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lvl w:ilvl="1">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lowerRoman"/>
      <w:start w:val="2"/>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lowerLetter"/>
      <w:start w:val="1"/>
    </w:lvl>
    <w:lvl w:ilvl="1">
      <w:lvlJc w:val="left"/>
      <w:lvlText w:val="(%2)"/>
      <w:numFmt w:val="decimal"/>
      <w:start w:val="1"/>
    </w:lvl>
  </w:abstractNum>
  <w:abstractNum w:abstractNumId="41">
    <w:nsid w:val="520EED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1"/>
      <w:numFmt w:val="decimal"/>
      <w:start w:val="74"/>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amp;"/>
      <w:numFmt w:val="bullet"/>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289"/>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64" Type="http://schemas.openxmlformats.org/officeDocument/2006/relationships/image" Target="media/image104.png"/><Relationship Id="rId165"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106" Type="http://schemas.openxmlformats.org/officeDocument/2006/relationships/hyperlink" Target="http://www.sec.gov/Archives/edgar/data/1800637/000101376221000191/ea148348ex2-1_agrifycorp.htm" TargetMode="External"/><Relationship Id="rId107" Type="http://schemas.openxmlformats.org/officeDocument/2006/relationships/hyperlink" Target="https://www.sec.gov/Archives/edgar/data/1800637/000101376221000191/ea148348ex2-2_agrifycorp.htm" TargetMode="External"/><Relationship Id="rId108" Type="http://schemas.openxmlformats.org/officeDocument/2006/relationships/hyperlink" Target="http://www.sec.gov/Archives/edgar/data/1800637/000121390022000601/ea153490ex2-1_agrifycorp.htm" TargetMode="External"/><Relationship Id="rId109" Type="http://schemas.openxmlformats.org/officeDocument/2006/relationships/hyperlink" Target="http://www.sec.gov/Archives/edgar/data/1800637/000121390022004925/ea154783ex2-1_agrifycorp.htm" TargetMode="External"/><Relationship Id="rId110" Type="http://schemas.openxmlformats.org/officeDocument/2006/relationships/hyperlink" Target="http://www.sec.gov/Archives/edgar/data/1800637/000121390021001799/fs12020a1ex3-1_agrify.htm" TargetMode="External"/><Relationship Id="rId111" Type="http://schemas.openxmlformats.org/officeDocument/2006/relationships/hyperlink" Target="http://www.sec.gov/Archives/edgar/data/1800637/000121390021001799/fs12020a1ex3-2_agrify.htm" TargetMode="External"/><Relationship Id="rId112" Type="http://schemas.openxmlformats.org/officeDocument/2006/relationships/hyperlink" Target="http://www.sec.gov/Archives/edgar/data/1800637/000121390021004220/fs12021a2ex3-3_agrifycorp.htm" TargetMode="External"/><Relationship Id="rId113" Type="http://schemas.openxmlformats.org/officeDocument/2006/relationships/hyperlink" Target="http://www.sec.gov/Archives/edgar/data/1800637/000121390022039420/ea162872ex3-1_agrify.htm" TargetMode="External"/><Relationship Id="rId114" Type="http://schemas.openxmlformats.org/officeDocument/2006/relationships/hyperlink" Target="http://www.sec.gov/Archives/edgar/data/1800637/000121390022064269/ea167213ex3-1agrifycorp.htm" TargetMode="External"/><Relationship Id="rId115" Type="http://schemas.openxmlformats.org/officeDocument/2006/relationships/hyperlink" Target="http://www.sec.gov/Archives/edgar/data/1800637/000121390023017011/ea174612ex3-1_agrifycorp.htm" TargetMode="External"/><Relationship Id="rId116" Type="http://schemas.openxmlformats.org/officeDocument/2006/relationships/hyperlink" Target="http://www.sec.gov/Archives/edgar/data/1800637/000121390021004220/fs12021a2ex4-1_agrifycorp.htm" TargetMode="External"/><Relationship Id="rId117" Type="http://schemas.openxmlformats.org/officeDocument/2006/relationships/hyperlink" Target="http://www.sec.gov/Archives/edgar/data/1800637/000121390021008530/fs12021ex4-2_agrifycorp.htm" TargetMode="External"/><Relationship Id="rId118" Type="http://schemas.openxmlformats.org/officeDocument/2006/relationships/hyperlink" Target="http://www.sec.gov/Archives/edgar/data/1800637/000121390021004220/fs12021a2ex4-2_agrifycorp.htm" TargetMode="External"/><Relationship Id="rId119" Type="http://schemas.openxmlformats.org/officeDocument/2006/relationships/hyperlink" Target="http://www.sec.gov/Archives/edgar/data/1800637/000121390020044121/fs12020ex4-3_agrifycorp.htm" TargetMode="External"/><Relationship Id="rId120" Type="http://schemas.openxmlformats.org/officeDocument/2006/relationships/hyperlink" Target="http://www.sec.gov/Archives/edgar/data/1800637/000121390021019992/f10k2020ex4-5_agrifycorp.htm" TargetMode="External"/><Relationship Id="rId121" Type="http://schemas.openxmlformats.org/officeDocument/2006/relationships/hyperlink" Target="http://www.sec.gov/Archives/edgar/data/1800637/000121390022003773/ea154520ex4-2_agrify.htm" TargetMode="External"/><Relationship Id="rId122" Type="http://schemas.openxmlformats.org/officeDocument/2006/relationships/hyperlink" Target="http://www.sec.gov/Archives/edgar/data/1800637/000121390022049494/ea164681ex4-1_agrify.htm" TargetMode="External"/><Relationship Id="rId123" Type="http://schemas.openxmlformats.org/officeDocument/2006/relationships/hyperlink" Target="http://www.sec.gov/Archives/edgar/data/1800637/000121390022049494/ea164681ex4-2_agrify.htm" TargetMode="External"/><Relationship Id="rId124" Type="http://schemas.openxmlformats.org/officeDocument/2006/relationships/hyperlink" Target="http://www.sec.gov/Archives/edgar/data/1800637/000121390022049494/ea164681ex4-3_agrify.htm" TargetMode="External"/><Relationship Id="rId125" Type="http://schemas.openxmlformats.org/officeDocument/2006/relationships/hyperlink" Target="http://www.sec.gov/Archives/edgar/data/1800637/000121390022080562/ea170341ex4-1_agrifycorp.htm" TargetMode="External"/><Relationship Id="rId126" Type="http://schemas.openxmlformats.org/officeDocument/2006/relationships/hyperlink" Target="http://www.sec.gov/Archives/edgar/data/1800637/000121390022080562/ea170341ex4-2_agrifycorp.htm" TargetMode="External"/><Relationship Id="rId127" Type="http://schemas.openxmlformats.org/officeDocument/2006/relationships/hyperlink" Target="http://www.sec.gov/Archives/edgar/data/1800637/000121390023018686/ea174704ex4-1_agrifycorp.htm" TargetMode="External"/><Relationship Id="rId128" Type="http://schemas.openxmlformats.org/officeDocument/2006/relationships/hyperlink" Target="http://www.sec.gov/Archives/edgar/data/1800637/000121390023018686/ea174704ex4-2_agrifycorp.htm" TargetMode="External"/><Relationship Id="rId129" Type="http://schemas.openxmlformats.org/officeDocument/2006/relationships/hyperlink" Target="https://www.sec.gov/Archives/edgar/data/1800637/000121390023083943/ea187778ex4-1_agrifycorp.htm" TargetMode="External"/><Relationship Id="rId130" Type="http://schemas.openxmlformats.org/officeDocument/2006/relationships/hyperlink" Target="https://www.sec.gov/Archives/edgar/data/1800637/000121390023083943/ea187778ex4-2_agrifycorp.htm" TargetMode="External"/><Relationship Id="rId131" Type="http://schemas.openxmlformats.org/officeDocument/2006/relationships/hyperlink" Target="https://www.sec.gov/Archives/edgar/data/1800637/000121390023083943/ea187778ex4-3_agrifycorp.htm" TargetMode="External"/><Relationship Id="rId132" Type="http://schemas.openxmlformats.org/officeDocument/2006/relationships/hyperlink" Target="https://www.sec.gov/Archives/edgar/data/1800637/000121390023083943/ea187778ex4-4_agrifycorp.htm" TargetMode="External"/><Relationship Id="rId133" Type="http://schemas.openxmlformats.org/officeDocument/2006/relationships/hyperlink" Target="http://www.sec.gov/Archives/edgar/data/1800637/000121390023083943/ea187778ex4-5_agrifycorp.htm" TargetMode="External"/><Relationship Id="rId134" Type="http://schemas.openxmlformats.org/officeDocument/2006/relationships/hyperlink" Target="https://www.sec.gov/Archives/edgar/data/1800637/000121390020044121/fs12020ex10-1_agrifycorp.htm" TargetMode="External"/><Relationship Id="rId135" Type="http://schemas.openxmlformats.org/officeDocument/2006/relationships/hyperlink" Target="https://www.sec.gov/Archives/edgar/data/1800637/000121390020044121/fs12020ex10-2_agrifycorp.htm" TargetMode="External"/><Relationship Id="rId136" Type="http://schemas.openxmlformats.org/officeDocument/2006/relationships/hyperlink" Target="https://www.sec.gov/Archives/edgar/data/1800637/000121390020044121/fs12020ex10-3_agrifycorp.htm" TargetMode="External"/><Relationship Id="rId137" Type="http://schemas.openxmlformats.org/officeDocument/2006/relationships/hyperlink" Target="http://www.sec.gov/Archives/edgar/data/1800637/000121390020044121/fs12020ex10-4_agrifycorp.htm" TargetMode="External"/><Relationship Id="rId138" Type="http://schemas.openxmlformats.org/officeDocument/2006/relationships/hyperlink" Target="http://www.sec.gov/Archives/edgar/data/1800637/000121390021019992/f10k2020ex10-5_agrifycorp.htm" TargetMode="External"/><Relationship Id="rId139" Type="http://schemas.openxmlformats.org/officeDocument/2006/relationships/hyperlink" Target="http://www.sec.gov/Archives/edgar/data/1800637/000121390020044121/fs12020ex10-13_agrifycorp.htm" TargetMode="External"/><Relationship Id="rId140" Type="http://schemas.openxmlformats.org/officeDocument/2006/relationships/hyperlink" Target="http://www.sec.gov/Archives/edgar/data/1800637/000121390020044121/fs12020ex10-16_agrifycorp.htm" TargetMode="External"/><Relationship Id="rId141" Type="http://schemas.openxmlformats.org/officeDocument/2006/relationships/hyperlink" Target="http://www.sec.gov/Archives/edgar/data/1800637/000121390021001799/fs12020a1ex10-15_agrify.htm" TargetMode="External"/><Relationship Id="rId142" Type="http://schemas.openxmlformats.org/officeDocument/2006/relationships/hyperlink" Target="http://www.sec.gov/Archives/edgar/data/1800637/000121390020044121/fs12020ex10-18_agrifycorp.htm" TargetMode="External"/><Relationship Id="rId143" Type="http://schemas.openxmlformats.org/officeDocument/2006/relationships/hyperlink" Target="http://www.sec.gov/Archives/edgar/data/1800637/000121390021008530/fs12021ex10-18_agrifycorp.htm" TargetMode="External"/><Relationship Id="rId144" Type="http://schemas.openxmlformats.org/officeDocument/2006/relationships/hyperlink" Target="http://www.sec.gov/Archives/edgar/data/1800637/000121390021059567/ea150577ex10-2_agrifycorp.htm" TargetMode="External"/><Relationship Id="rId145" Type="http://schemas.openxmlformats.org/officeDocument/2006/relationships/hyperlink" Target="http://www.sec.gov/Archives/edgar/data/1800637/000121390022003773/ea154520ex10-1_agrify.htm" TargetMode="External"/><Relationship Id="rId146" Type="http://schemas.openxmlformats.org/officeDocument/2006/relationships/hyperlink" Target="http://www.sec.gov/Archives/edgar/data/1800637/000121390022013613/ea157101ex10-1_agrifycorp.htm" TargetMode="External"/><Relationship Id="rId147" Type="http://schemas.openxmlformats.org/officeDocument/2006/relationships/hyperlink" Target="https://www.sec.gov/Archives/edgar/data/1800637/000121390022022512/def14a0422_agrify.htm#T99014" TargetMode="External"/><Relationship Id="rId148" Type="http://schemas.openxmlformats.org/officeDocument/2006/relationships/hyperlink" Target="https://www.sec.gov/Archives/edgar/data/1800637/000121390022022512/def14a0422_agrify.htm#T99015" TargetMode="External"/><Relationship Id="rId149" Type="http://schemas.openxmlformats.org/officeDocument/2006/relationships/hyperlink" Target="http://www.sec.gov/Archives/edgar/data/1800637/000121390022039420/ea162872ex10-2_agrify.htm" TargetMode="External"/><Relationship Id="rId150" Type="http://schemas.openxmlformats.org/officeDocument/2006/relationships/hyperlink" Target="http://www.sec.gov/Archives/edgar/data/1800637/000121390022039420/ea162872ex10-1_agrify.htm" TargetMode="External"/><Relationship Id="rId151" Type="http://schemas.openxmlformats.org/officeDocument/2006/relationships/hyperlink" Target="http://www.sec.gov/Archives/edgar/data/1800637/000121390022049494/ea164681ex10-1_agrify.htm" TargetMode="External"/><Relationship Id="rId152" Type="http://schemas.openxmlformats.org/officeDocument/2006/relationships/hyperlink" Target="http://www.sec.gov/Archives/edgar/data/1800637/000121390022064592/ea167238ex1-1_agrifycorp.htm" TargetMode="External"/><Relationship Id="rId153" Type="http://schemas.openxmlformats.org/officeDocument/2006/relationships/hyperlink" Target="http://www.sec.gov/Archives/edgar/data/1800637/000121390023004857/ea172124ex10-1_agrifycorp.htm" TargetMode="External"/><Relationship Id="rId154" Type="http://schemas.openxmlformats.org/officeDocument/2006/relationships/hyperlink" Target="http://www.sec.gov/Archives/edgar/data/1800637/000121390023018686/ea174704ex10-1_agrifycorp.htm" TargetMode="External"/><Relationship Id="rId155" Type="http://schemas.openxmlformats.org/officeDocument/2006/relationships/hyperlink" Target="http://www.sec.gov/Archives/edgar/data/1800637/000121390023083943/ea187778ex10-1_agrifycorp.htm" TargetMode="External"/><Relationship Id="rId156" Type="http://schemas.openxmlformats.org/officeDocument/2006/relationships/hyperlink" Target="https://www.sec.gov/Archives/edgar/data/1800637/000121390023083943/ea187778ex10-2_agrifycorp.htm" TargetMode="External"/><Relationship Id="rId157" Type="http://schemas.openxmlformats.org/officeDocument/2006/relationships/hyperlink" Target="https://www.sec.gov/Archives/edgar/data/1800637/000121390023083943/ea187778ex10-3_agrifycorp.htm" TargetMode="External"/><Relationship Id="rId158" Type="http://schemas.openxmlformats.org/officeDocument/2006/relationships/hyperlink" Target="https://www.sec.gov/Archives/edgar/data/1800637/000121390020044121/fs12020ex14-1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2023-11-28T06:38:28Z</dcterms:created>
  <dcterms:modified xsi:type="dcterms:W3CDTF">2023-11-28T06:38:28Z</dcterms:modified>
</cp:coreProperties>
</file>