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2)</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00853E 305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Raymond Chang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Agrify Corporation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2468 Industrial Drive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Troy, MI 48084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896-5243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6,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286" w:lineRule="auto"/>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I-Tseng Jenny Chan</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ind w:left="920" w:right="9060" w:hanging="782"/>
        <w:spacing w:after="0" w:line="286" w:lineRule="auto"/>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PF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286" w:lineRule="auto"/>
        <w:tabs>
          <w:tab w:leader="none" w:pos="2600" w:val="left"/>
        </w:tabs>
        <w:numPr>
          <w:ilvl w:val="2"/>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11,609,789</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11,609,789</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11,609,789</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49.99%</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339" w:lineRule="exact"/>
        <w:rPr>
          <w:rFonts w:ascii="Times New Roman" w:cs="Times New Roman" w:eastAsia="Times New Roman" w:hAnsi="Times New Roman"/>
          <w:sz w:val="18"/>
          <w:szCs w:val="18"/>
          <w:b w:val="1"/>
          <w:bCs w:val="1"/>
          <w:color w:val="auto"/>
        </w:rPr>
      </w:pPr>
    </w:p>
    <w:p>
      <w:pPr>
        <w:jc w:val="both"/>
        <w:ind w:left="340" w:hanging="332"/>
        <w:spacing w:after="0" w:line="253"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445,272 shares of common stock, par value $0.001, of Agrify Corporation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held by M Zion Capital, LLC (“</w:t>
      </w:r>
      <w:r>
        <w:rPr>
          <w:rFonts w:ascii="Times New Roman" w:cs="Times New Roman" w:eastAsia="Times New Roman" w:hAnsi="Times New Roman"/>
          <w:sz w:val="18"/>
          <w:szCs w:val="18"/>
          <w:i w:val="1"/>
          <w:iCs w:val="1"/>
          <w:color w:val="auto"/>
        </w:rPr>
        <w:t>M Zion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w:t>
      </w:r>
      <w:r>
        <w:rPr>
          <w:rFonts w:ascii="Times New Roman" w:cs="Times New Roman" w:eastAsia="Times New Roman" w:hAnsi="Times New Roman"/>
          <w:sz w:val="18"/>
          <w:szCs w:val="18"/>
          <w:color w:val="auto"/>
        </w:rPr>
        <w:t>”), an entity controlled by Ms. Chan, (ii) 445,272 shares of Common Stock held by M Olivet Capital, LLC (“</w:t>
      </w:r>
      <w:r>
        <w:rPr>
          <w:rFonts w:ascii="Times New Roman" w:cs="Times New Roman" w:eastAsia="Times New Roman" w:hAnsi="Times New Roman"/>
          <w:sz w:val="18"/>
          <w:szCs w:val="18"/>
          <w:i w:val="1"/>
          <w:iCs w:val="1"/>
          <w:color w:val="auto"/>
        </w:rPr>
        <w:t>M Olivet Capital</w:t>
      </w:r>
      <w:r>
        <w:rPr>
          <w:rFonts w:ascii="Times New Roman" w:cs="Times New Roman" w:eastAsia="Times New Roman" w:hAnsi="Times New Roman"/>
          <w:sz w:val="18"/>
          <w:szCs w:val="18"/>
          <w:color w:val="auto"/>
        </w:rPr>
        <w:t>”), an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by Ms. Chan, (iii) 445,272 shares of Common Stock held by M Cannan Capital, LLC (“</w:t>
      </w:r>
      <w:r>
        <w:rPr>
          <w:rFonts w:ascii="Times New Roman" w:cs="Times New Roman" w:eastAsia="Times New Roman" w:hAnsi="Times New Roman"/>
          <w:sz w:val="18"/>
          <w:szCs w:val="18"/>
          <w:i w:val="1"/>
          <w:iCs w:val="1"/>
          <w:color w:val="auto"/>
        </w:rPr>
        <w:t>M Cannan Capital</w:t>
      </w:r>
      <w:r>
        <w:rPr>
          <w:rFonts w:ascii="Times New Roman" w:cs="Times New Roman" w:eastAsia="Times New Roman" w:hAnsi="Times New Roman"/>
          <w:sz w:val="18"/>
          <w:szCs w:val="18"/>
          <w:color w:val="auto"/>
        </w:rPr>
        <w:t>”), an entity controlled by Ms. Chan, (iv) that number of shares of Common Stock issuable to CP Acquisitions, LLC (“</w:t>
      </w:r>
      <w:r>
        <w:rPr>
          <w:rFonts w:ascii="Times New Roman" w:cs="Times New Roman" w:eastAsia="Times New Roman" w:hAnsi="Times New Roman"/>
          <w:sz w:val="18"/>
          <w:szCs w:val="18"/>
          <w:i w:val="1"/>
          <w:iCs w:val="1"/>
          <w:color w:val="auto"/>
        </w:rPr>
        <w:t>CP Acquisitions</w:t>
      </w:r>
      <w:r>
        <w:rPr>
          <w:rFonts w:ascii="Times New Roman" w:cs="Times New Roman" w:eastAsia="Times New Roman" w:hAnsi="Times New Roman"/>
          <w:sz w:val="18"/>
          <w:szCs w:val="18"/>
          <w:color w:val="auto"/>
        </w:rPr>
        <w:t>”), an entity controlled by Ms. Chan, issuable to Ms. Chan upon the conversion of that certain Senior Secured Amended, Restated and Consolidated Convertible Note, as amended (the “</w:t>
      </w:r>
      <w:r>
        <w:rPr>
          <w:rFonts w:ascii="Times New Roman" w:cs="Times New Roman" w:eastAsia="Times New Roman" w:hAnsi="Times New Roman"/>
          <w:sz w:val="18"/>
          <w:szCs w:val="18"/>
          <w:i w:val="1"/>
          <w:iCs w:val="1"/>
          <w:color w:val="auto"/>
        </w:rPr>
        <w:t>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due 2025 described herein with an outstanding principal amount of $3,500,000.00 and a conversion price of $1.46 per share (as may be adjusted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the Senior Secured Amended, Restated and Consolidated Convertible Note due 2025 from time to time), which conversion is subject to a 49.99% beneficial ownership limitation; provided that CP Acquisitions may assign its right to receive shares of common stock upon conversion to Mr. Chang and/or Ms. Chan, each a member of the Board of Directors of the Issuer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in which case the 49.99% beneficial ownership limitation will apply to each of them individually, (v) pre-funded warrants to purchase 7,876,712 shares of Common Stock held by CP Acquisitions that are exercisable within 60 days of the date hereof, subject to a 49.99% beneficial ownership limitation.</w:t>
      </w:r>
    </w:p>
    <w:p>
      <w:pPr>
        <w:spacing w:after="0" w:line="58"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Chan disclaims beneficial ownership with respect to the shares held by M Zion Capital, the shares held by M Olivet Capital, the shares held by M Cannan Capital and the shares entitled to CP Acquisitions upon conversion of its Convertible Note, in each case except to the extent of her pecuniary interest therein.</w:t>
      </w:r>
    </w:p>
    <w:p>
      <w:pPr>
        <w:spacing w:after="0" w:line="40"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14,230,004 shares of Common Stock outstanding as of July 17, 2024, as set forth in the Issuer’s Definitive Proxy Statement filed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July 22, 2024, plus the shares of Common Stock issuable upon conversion of the Convertible Note in footnote (1), subject to applicable beneficial ownership limitations.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231"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M Zion Capital, LLC</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6"/>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6"/>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286" w:lineRule="auto"/>
        <w:tabs>
          <w:tab w:leader="none" w:pos="2600" w:val="left"/>
        </w:tabs>
        <w:numPr>
          <w:ilvl w:val="2"/>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3.14%</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OO</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445,272 shares of Common Stock held by M Zion Capital.</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14,230,004 shares of Common Stock outstanding as of July 17, 2024, as set forth in the Issuer’s Definitive Proxy Statement filed with the SEC on July 22,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M Olivet Capital, LLC</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10"/>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10"/>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286" w:lineRule="auto"/>
        <w:tabs>
          <w:tab w:leader="none" w:pos="2600" w:val="left"/>
        </w:tabs>
        <w:numPr>
          <w:ilvl w:val="2"/>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3.14%</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445,272 shares of Common Stock held by M Olivet Capital.</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14,230,004 shares of Common Stock outstanding as of July 17, 2024, as set forth in the Issuer’s Definitive Proxy Statement filed with the SEC on July 22,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M Cannan Capital, LLC</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14"/>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14"/>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286" w:lineRule="auto"/>
        <w:tabs>
          <w:tab w:leader="none" w:pos="2600" w:val="left"/>
        </w:tabs>
        <w:numPr>
          <w:ilvl w:val="2"/>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3.14%</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445,272 shares of Common Stock held by M Cannan Capital.</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14,230,004 shares of Common Stock outstanding as of July 17, 2024, as set forth in the Issuer’s Definitive Proxy Statement filed with the SEC on July 22,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CP Acquisitions, LLC</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18"/>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18"/>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10,273,973</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10,273,973</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10,273,973</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49.99%</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jc w:val="both"/>
        <w:ind w:left="340" w:hanging="332"/>
        <w:spacing w:after="0" w:line="255"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that number of shares of Common Stock issuable to CP Acquisitions, an entity controlled by Ms. Chan, issuable to Ms. Chan upon the conversion of the Convertible Note due 2025 described herein with an outstanding principal amount of $3,500,000.00 and a conversion price of $1.46 per share (as may be adjusted per the Senior Secured Amended, Restated and Consolidated Convertible Note due 2025 from time to time), which conversion is subject to a 49.99% beneficial ownership limitation; provided that CP Acquisitions may assign its right to receive shares of Common Stock upon conversion to Mr. Chang and/or Ms. Chan, each a member of the Board, in which case the 49.99% beneficial ownership limitation will apply to each of them individually, and (ii) pre-funded warrants to purchase 7,876,712 shares of Common Stock held by CP Acquisitions that are exercisable within 60 days of the date hereof, subject to a 49.99% beneficial ownership limitation.</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14,230,004 shares of Common Stock outstanding as of July 17, 2024, as set forth in the Issuer’s Definitive Proxy Statement filed with the SEC on July 22, 2024, plus the shares of Common Stock issuable upon conversion of the Convertible Note in footnote (1) above, subject to applicable beneficial ownership limitations.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SCHEDULE 13D – EXPLANATORY NOTE</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This Amendment No. 2 to the statement on Schedule 13D (“</w:t>
      </w:r>
      <w:r>
        <w:rPr>
          <w:rFonts w:ascii="Times New Roman" w:cs="Times New Roman" w:eastAsia="Times New Roman" w:hAnsi="Times New Roman"/>
          <w:sz w:val="18"/>
          <w:szCs w:val="18"/>
          <w:i w:val="1"/>
          <w:iCs w:val="1"/>
          <w:color w:val="auto"/>
        </w:rPr>
        <w:t>Amendment No. 2</w:t>
      </w:r>
      <w:r>
        <w:rPr>
          <w:rFonts w:ascii="Times New Roman" w:cs="Times New Roman" w:eastAsia="Times New Roman" w:hAnsi="Times New Roman"/>
          <w:sz w:val="18"/>
          <w:szCs w:val="18"/>
          <w:color w:val="auto"/>
        </w:rPr>
        <w:t>”) amends the Schedule 13D originally filed by the Reporting Persons (as defined herein) on January 25, 2024, as amended by that certain Amendment No. 1 filed on May 23, 2024 (collectively, the “</w:t>
      </w:r>
      <w:r>
        <w:rPr>
          <w:rFonts w:ascii="Times New Roman" w:cs="Times New Roman" w:eastAsia="Times New Roman" w:hAnsi="Times New Roman"/>
          <w:sz w:val="18"/>
          <w:szCs w:val="18"/>
          <w:i w:val="1"/>
          <w:iCs w:val="1"/>
          <w:color w:val="auto"/>
        </w:rPr>
        <w:t>Schedule 13D</w:t>
      </w:r>
      <w:r>
        <w:rPr>
          <w:rFonts w:ascii="Times New Roman" w:cs="Times New Roman" w:eastAsia="Times New Roman" w:hAnsi="Times New Roman"/>
          <w:sz w:val="18"/>
          <w:szCs w:val="18"/>
          <w:color w:val="auto"/>
        </w:rPr>
        <w:t>”), and relates to the shares of common stock, par value $0.001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of the Agrify Corporation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beneficially owned by M Zion Capital, LLC (“</w:t>
      </w:r>
      <w:r>
        <w:rPr>
          <w:rFonts w:ascii="Times New Roman" w:cs="Times New Roman" w:eastAsia="Times New Roman" w:hAnsi="Times New Roman"/>
          <w:sz w:val="18"/>
          <w:szCs w:val="18"/>
          <w:i w:val="1"/>
          <w:iCs w:val="1"/>
          <w:color w:val="auto"/>
        </w:rPr>
        <w:t>M Zion Capital</w:t>
      </w:r>
      <w:r>
        <w:rPr>
          <w:rFonts w:ascii="Times New Roman" w:cs="Times New Roman" w:eastAsia="Times New Roman" w:hAnsi="Times New Roman"/>
          <w:sz w:val="18"/>
          <w:szCs w:val="18"/>
          <w:color w:val="auto"/>
        </w:rPr>
        <w:t>”), M Olivet Capital, LLC (“</w:t>
      </w:r>
      <w:r>
        <w:rPr>
          <w:rFonts w:ascii="Times New Roman" w:cs="Times New Roman" w:eastAsia="Times New Roman" w:hAnsi="Times New Roman"/>
          <w:sz w:val="18"/>
          <w:szCs w:val="18"/>
          <w:i w:val="1"/>
          <w:iCs w:val="1"/>
          <w:color w:val="auto"/>
        </w:rPr>
        <w:t>M Olivet Capital</w:t>
      </w:r>
      <w:r>
        <w:rPr>
          <w:rFonts w:ascii="Times New Roman" w:cs="Times New Roman" w:eastAsia="Times New Roman" w:hAnsi="Times New Roman"/>
          <w:sz w:val="18"/>
          <w:szCs w:val="18"/>
          <w:color w:val="auto"/>
        </w:rPr>
        <w:t>”), M Cannan Capital, LLC (“</w:t>
      </w:r>
      <w:r>
        <w:rPr>
          <w:rFonts w:ascii="Times New Roman" w:cs="Times New Roman" w:eastAsia="Times New Roman" w:hAnsi="Times New Roman"/>
          <w:sz w:val="18"/>
          <w:szCs w:val="18"/>
          <w:i w:val="1"/>
          <w:iCs w:val="1"/>
          <w:color w:val="auto"/>
        </w:rPr>
        <w:t>M Cannan Capital</w:t>
      </w:r>
      <w:r>
        <w:rPr>
          <w:rFonts w:ascii="Times New Roman" w:cs="Times New Roman" w:eastAsia="Times New Roman" w:hAnsi="Times New Roman"/>
          <w:sz w:val="18"/>
          <w:szCs w:val="18"/>
          <w:color w:val="auto"/>
        </w:rPr>
        <w:t>”), and CP Acquisitions, LLC (“</w:t>
      </w:r>
      <w:r>
        <w:rPr>
          <w:rFonts w:ascii="Times New Roman" w:cs="Times New Roman" w:eastAsia="Times New Roman" w:hAnsi="Times New Roman"/>
          <w:sz w:val="18"/>
          <w:szCs w:val="18"/>
          <w:i w:val="1"/>
          <w:iCs w:val="1"/>
          <w:color w:val="auto"/>
        </w:rPr>
        <w:t>CP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(each of M Zion Capital, M Olivet Capital, M Cannan Capital CP Acquisitions, a “</w:t>
      </w:r>
      <w:r>
        <w:rPr>
          <w:rFonts w:ascii="Times New Roman" w:cs="Times New Roman" w:eastAsia="Times New Roman" w:hAnsi="Times New Roman"/>
          <w:sz w:val="18"/>
          <w:szCs w:val="18"/>
          <w:i w:val="1"/>
          <w:iCs w:val="1"/>
          <w:color w:val="auto"/>
        </w:rPr>
        <w:t>Reporting Person</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i w:val="1"/>
          <w:iCs w:val="1"/>
          <w:color w:val="auto"/>
        </w:rPr>
        <w:t>Reporting Persons</w:t>
      </w:r>
      <w:r>
        <w:rPr>
          <w:rFonts w:ascii="Times New Roman" w:cs="Times New Roman" w:eastAsia="Times New Roman" w:hAnsi="Times New Roman"/>
          <w:sz w:val="18"/>
          <w:szCs w:val="18"/>
          <w:color w:val="auto"/>
        </w:rPr>
        <w:t>”) with respect to shares of Common Stock that they may be deemed to have beneficial ownership.</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13d-2 of the Securities Exchange Act of 1934, as amended, except as specifically provided herein, this Amendment No. 2 does not modify any of the information previously reported on the Schedule 13D. Capitalized terms used but not otherwise defined in this Amendment No. 2 shall have the meanings ascribed to them in the Schedule 13D.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the Transaction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4 of the Schedule 13D is hereby amended and supplemented as follows: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market conditions and other factors that each of the Reporting Persons may deem material to such Reporting Person’s investment decisions, each Reporting Person may, from time to time, in compliance with applicable laws and as permitted without the use of certain insider or other material non-public information, sell all or a portion of the shares of Common Stock held by such Reporting Person, periodically or in one or a limited number of sales, in the open market, in block transactions, in privately negotiated transactions, or otherwise, and/or may distribute the Common Stock held by such Reporting Person to other entities. Any actions the Reporting Persons might undertake will be dependent upon each of the Reporting Person’s evaluation of numerous factors, including, among other things, the price levels of the Common Stock, general market and economic conditions, ongoing evaluation of the Issuer’s business, financial condition, operations and prospects, the relative attractiveness of alternative business and investment opportunities, the Reporting Persons’ need for liquidity, and/or other future developments.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described herein, the Reporting Persons have no present plans or proposals that relate to or would result in any of the transactions described in subparagraphs (a) through (j) of Item 4 of Schedule 13D.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5(a) of the Schedule 13D is hereby amended and restated in its entirety as follows: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Reporting Person is the record owner of the securities set forth on their respective cover sheet. The percentage of outstanding Common Stock which may be deemed to be beneficially owned by each Reporting Person is set forth on Line 13 of each Reporting Person’s cover sheet. Such percentage was calculated based on the 14,230,004 shares of Common Stock outstanding as of the date hereof. Notwithstanding the foregoing, Ms. Chan disclaims beneficial ownership with respect to the shares held by M Zion Capital, the shares held by M Olivet Capital, the shares held by M Cannan Capital and the shares entitled to CP Acquisitions upon conversion of its Convertible Note, in each case except to the extent of her pecuniary interest therein.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5(c) of the Schedule 13D is hereby amended and supplemented as follows: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Amendment of Pre-Funded Warrants for CP Acquisitions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previously reported on this Schedule 13D, on January 25, 2024, Issuer and CP Acquisitions, an entity affiliated with and controlled by Raymond Chang, the Chief Executive Officer of the Issuer and a member of the Board of Directors of the Issuer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and I-Tseng Jenny Chan, a member of the Board, agreed to amend, restate and consolidate certain outstanding notes held by CP Acquisitions into a Senior Secured Amended, Restated and Consolidated Convertible Note (the “</w:t>
      </w:r>
      <w:r>
        <w:rPr>
          <w:rFonts w:ascii="Times New Roman" w:cs="Times New Roman" w:eastAsia="Times New Roman" w:hAnsi="Times New Roman"/>
          <w:sz w:val="18"/>
          <w:szCs w:val="18"/>
          <w:i w:val="1"/>
          <w:iCs w:val="1"/>
          <w:color w:val="auto"/>
        </w:rPr>
        <w:t>Convertible Note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previously reported on this Schedule 13D, on May 21, 2024, the Issuer and CP Acquisitions entered into an amendment to the Convertible Note (the “</w:t>
      </w:r>
      <w:r>
        <w:rPr>
          <w:rFonts w:ascii="Times New Roman" w:cs="Times New Roman" w:eastAsia="Times New Roman" w:hAnsi="Times New Roman"/>
          <w:sz w:val="18"/>
          <w:szCs w:val="18"/>
          <w:i w:val="1"/>
          <w:iCs w:val="1"/>
          <w:color w:val="auto"/>
        </w:rPr>
        <w:t>CP Note Amendment</w:t>
      </w:r>
      <w:r>
        <w:rPr>
          <w:rFonts w:ascii="Times New Roman" w:cs="Times New Roman" w:eastAsia="Times New Roman" w:hAnsi="Times New Roman"/>
          <w:sz w:val="18"/>
          <w:szCs w:val="18"/>
          <w:color w:val="auto"/>
        </w:rPr>
        <w:t>”), pursuant to which CP Acquisitions may elect, in lieu of shares of Common Stock issuable upon conversion of the Convertible Note, to instead receive pre-funded warrants. The conversion price applicable to the pre-funded warrants remained unchanged at $1.46.</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pre-funded warrants have an exercise price of $0.001 per share, became exercisable upon issuance, will expire when the applicable warrant is exercised in full, and are exercisable on a cash basis or, if there is no effective registration statement registering the resale of the underlying shares of Common Stock, on a cashless exercise basis at CP Acquisitions’ discretion. Immediately following the execution of the CP Note Amendment, CP Acquisitions elected to convert $11.5 million of outstanding principal into a pre-funded warrant (the “</w:t>
      </w:r>
      <w:r>
        <w:rPr>
          <w:rFonts w:ascii="Times New Roman" w:cs="Times New Roman" w:eastAsia="Times New Roman" w:hAnsi="Times New Roman"/>
          <w:sz w:val="18"/>
          <w:szCs w:val="18"/>
          <w:i w:val="1"/>
          <w:iCs w:val="1"/>
          <w:color w:val="auto"/>
        </w:rPr>
        <w:t>CP Warrant</w:t>
      </w:r>
      <w:r>
        <w:rPr>
          <w:rFonts w:ascii="Times New Roman" w:cs="Times New Roman" w:eastAsia="Times New Roman" w:hAnsi="Times New Roman"/>
          <w:sz w:val="18"/>
          <w:szCs w:val="18"/>
          <w:color w:val="auto"/>
        </w:rPr>
        <w:t>”) exercisable at issuance for up to 7,876,712 shares of Common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30, 2024, the Issuer and CP Acquisitions entered into an amendment to the CP Warrant (the “</w:t>
      </w:r>
      <w:r>
        <w:rPr>
          <w:rFonts w:ascii="Times New Roman" w:cs="Times New Roman" w:eastAsia="Times New Roman" w:hAnsi="Times New Roman"/>
          <w:sz w:val="18"/>
          <w:szCs w:val="18"/>
          <w:i w:val="1"/>
          <w:iCs w:val="1"/>
          <w:color w:val="auto"/>
        </w:rPr>
        <w:t>CP Warrant Amendment</w:t>
      </w:r>
      <w:r>
        <w:rPr>
          <w:rFonts w:ascii="Times New Roman" w:cs="Times New Roman" w:eastAsia="Times New Roman" w:hAnsi="Times New Roman"/>
          <w:sz w:val="18"/>
          <w:szCs w:val="18"/>
          <w:color w:val="auto"/>
        </w:rPr>
        <w:t>”). Prior to the CP Warrant Amendment, the CP Warrant provided that each time the Issuer consummated any bona fide equity financing with the primary purpose of raising capital, then the number of shares of Common Stock underlying the CP Warrant would be increased (the “</w:t>
      </w:r>
      <w:r>
        <w:rPr>
          <w:rFonts w:ascii="Times New Roman" w:cs="Times New Roman" w:eastAsia="Times New Roman" w:hAnsi="Times New Roman"/>
          <w:sz w:val="18"/>
          <w:szCs w:val="18"/>
          <w:i w:val="1"/>
          <w:iCs w:val="1"/>
          <w:color w:val="auto"/>
        </w:rPr>
        <w:t>Adjustment Provision</w:t>
      </w:r>
      <w:r>
        <w:rPr>
          <w:rFonts w:ascii="Times New Roman" w:cs="Times New Roman" w:eastAsia="Times New Roman" w:hAnsi="Times New Roman"/>
          <w:sz w:val="18"/>
          <w:szCs w:val="18"/>
          <w:color w:val="auto"/>
        </w:rPr>
        <w:t>”) to an amount equal to (i) the amount of the Convertible Note that was originally converted into the CP Warrant divided by (ii) the purchase or conversion price in the equity financing transaction, subject to proportional adjustment in the event the CP Warrant has been partially exercised. The CP Warrant Amendment amended the CP Warrant to (i) remove the Adjustment Provision and (ii) increase the threshold for a change of control, for purposes of determining whether a Fundamental Transaction has occurred (as such term is defined in the CP Warrant), from 50% of the outstanding Common Stock of the Issuer as originally provided in the CP Warrant to greater than 50% of the outstanding Common Stock of the Issuer.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of the CP Warrant Amendment does not purport to be complete and is qualified in their entirety by reference to a copy of the CP Warrant Amendment, which is filed as Exhibit 4.1 to the Issuer’s Current Report on Form 8-K, filed with the SEC on July 3, 2024, which is attached as exhibit 1 to this Schedule 13D and are incorporated herein by reference.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can be no assurance that any transactions contemplated by the CP Warrant Amendment that require stockholder approval will occur.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The information provided or incorporated by reference in </w:t>
      </w:r>
      <w:r>
        <w:rPr>
          <w:rFonts w:ascii="Times New Roman" w:cs="Times New Roman" w:eastAsia="Times New Roman" w:hAnsi="Times New Roman"/>
          <w:sz w:val="18"/>
          <w:szCs w:val="18"/>
          <w:i w:val="1"/>
          <w:iCs w:val="1"/>
          <w:u w:val="single" w:color="auto"/>
          <w:color w:val="auto"/>
        </w:rPr>
        <w:t>Items 4</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i w:val="1"/>
          <w:iCs w:val="1"/>
          <w:u w:val="single" w:color="auto"/>
          <w:color w:val="auto"/>
        </w:rPr>
        <w:t>5</w:t>
      </w:r>
      <w:r>
        <w:rPr>
          <w:rFonts w:ascii="Times New Roman" w:cs="Times New Roman" w:eastAsia="Times New Roman" w:hAnsi="Times New Roman"/>
          <w:sz w:val="18"/>
          <w:szCs w:val="18"/>
          <w:i w:val="1"/>
          <w:iCs w:val="1"/>
          <w:color w:val="auto"/>
        </w:rPr>
        <w:t xml:space="preserve"> of this Schedule 13D, is hereby incorporated herein by this reference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thereto.</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Item 6 is hereby amended and modified to include the following (which shall be in addition to the information previously included in the Schedule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13D):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set forth in the CP Warrant Amendment, and pre-funded warrant, or herein, the Reporting Persons do not have any contracts, arrangements, understandings or relationships (legal or otherwise) with any person with respect to any securities of the Issuer, including, but not limited to, any contracts, arrangements, understandings or relationships concerning the call options, put options, security-based swaps or any other derivative securities, transfer or voting of such securities, finder’s fees, joint ventures, loan or option arrangements, guarantees of profits, division of profits or losses, or the giving or withholding of proxies.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 w:lineRule="exact"/>
        <w:rPr>
          <w:sz w:val="20"/>
          <w:szCs w:val="20"/>
          <w:color w:val="auto"/>
        </w:rPr>
      </w:pPr>
    </w:p>
    <w:p>
      <w:pPr>
        <w:ind w:left="1140" w:right="20" w:hanging="1132"/>
        <w:spacing w:after="0" w:line="282" w:lineRule="auto"/>
        <w:tabs>
          <w:tab w:leader="none" w:pos="1140" w:val="left"/>
        </w:tabs>
        <w:numPr>
          <w:ilvl w:val="0"/>
          <w:numId w:val="22"/>
        </w:numPr>
        <w:rPr>
          <w:rFonts w:ascii="Times New Roman" w:cs="Times New Roman" w:eastAsia="Times New Roman" w:hAnsi="Times New Roman"/>
          <w:sz w:val="18"/>
          <w:szCs w:val="18"/>
          <w:u w:val="single" w:color="auto"/>
          <w:color w:val="0000EE"/>
        </w:rPr>
      </w:pPr>
      <w:hyperlink r:id="rId25">
        <w:r>
          <w:rPr>
            <w:rFonts w:ascii="Times New Roman" w:cs="Times New Roman" w:eastAsia="Times New Roman" w:hAnsi="Times New Roman"/>
            <w:sz w:val="18"/>
            <w:szCs w:val="18"/>
            <w:u w:val="single" w:color="auto"/>
            <w:color w:val="0000EE"/>
          </w:rPr>
          <w:t>Amendment to Pre-Funded Common Stock Purchase Warrant between Agrify Corporation and CP Acquisitions, LLC dated as of June 30,</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2024 (incorporated by reference to Exhibit 4.1 to the Issuer’s Current Report on Form 8-K, filed with the SEC on July 3, 2024).</w:t>
        </w:r>
      </w:hyperlink>
    </w:p>
    <w:p>
      <w:pPr>
        <w:spacing w:after="0" w:line="37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6,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I-Tseng Jenny Chan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I-Tseng Jenny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I-Tseng Jenny Chan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Zion Capital,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I-Tseng Jenny Chan</w:t>
            </w:r>
          </w:p>
        </w:tc>
        <w:tc>
          <w:tcPr>
            <w:tcW w:w="40" w:type="dxa"/>
            <w:vAlign w:val="bottom"/>
          </w:tcPr>
          <w:p>
            <w:pPr>
              <w:spacing w:after="0"/>
              <w:rPr>
                <w:sz w:val="20"/>
                <w:szCs w:val="20"/>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I-Tseng Jenny Chan</w:t>
            </w:r>
          </w:p>
        </w:tc>
        <w:tc>
          <w:tcPr>
            <w:tcW w:w="4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Manager</w:t>
            </w:r>
          </w:p>
        </w:tc>
        <w:tc>
          <w:tcPr>
            <w:tcW w:w="40" w:type="dxa"/>
            <w:vAlign w:val="bottom"/>
          </w:tcPr>
          <w:p>
            <w:pPr>
              <w:spacing w:after="0"/>
              <w:rPr>
                <w:sz w:val="20"/>
                <w:szCs w:val="20"/>
                <w:color w:val="auto"/>
              </w:rPr>
            </w:pPr>
          </w:p>
        </w:tc>
      </w:tr>
      <w:tr>
        <w:trPr>
          <w:trHeight w:val="432"/>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 Olivet Capital, LLC</w:t>
            </w:r>
          </w:p>
        </w:tc>
        <w:tc>
          <w:tcPr>
            <w:tcW w:w="40" w:type="dxa"/>
            <w:vAlign w:val="bottom"/>
          </w:tcPr>
          <w:p>
            <w:pPr>
              <w:spacing w:after="0"/>
              <w:rPr>
                <w:sz w:val="24"/>
                <w:szCs w:val="24"/>
                <w:color w:val="auto"/>
              </w:rPr>
            </w:pP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I-Tseng Jenny Chan</w:t>
            </w:r>
          </w:p>
        </w:tc>
        <w:tc>
          <w:tcPr>
            <w:tcW w:w="40" w:type="dxa"/>
            <w:vAlign w:val="bottom"/>
            <w:tcBorders>
              <w:bottom w:val="single" w:sz="8" w:color="auto"/>
            </w:tcBorders>
          </w:tcPr>
          <w:p>
            <w:pPr>
              <w:spacing w:after="0"/>
              <w:rPr>
                <w:sz w:val="24"/>
                <w:szCs w:val="24"/>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17"/>
                <w:szCs w:val="17"/>
                <w:color w:val="auto"/>
              </w:rPr>
            </w:pPr>
          </w:p>
        </w:tc>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I-Tseng Jenny Chan</w:t>
            </w:r>
          </w:p>
        </w:tc>
        <w:tc>
          <w:tcPr>
            <w:tcW w:w="4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c>
          <w:tcPr>
            <w:tcW w:w="40" w:type="dxa"/>
            <w:vAlign w:val="bottom"/>
          </w:tcPr>
          <w:p>
            <w:pPr>
              <w:spacing w:after="0"/>
              <w:rPr>
                <w:sz w:val="20"/>
                <w:szCs w:val="20"/>
                <w:color w:val="auto"/>
              </w:rPr>
            </w:pPr>
          </w:p>
        </w:tc>
      </w:tr>
      <w:tr>
        <w:trPr>
          <w:trHeight w:val="432"/>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 Cannan Capital, LLC</w:t>
            </w:r>
          </w:p>
        </w:tc>
        <w:tc>
          <w:tcPr>
            <w:tcW w:w="40" w:type="dxa"/>
            <w:vAlign w:val="bottom"/>
          </w:tcPr>
          <w:p>
            <w:pPr>
              <w:spacing w:after="0"/>
              <w:rPr>
                <w:sz w:val="24"/>
                <w:szCs w:val="24"/>
                <w:color w:val="auto"/>
              </w:rPr>
            </w:pP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I-Tseng Jenny Chan</w:t>
            </w:r>
          </w:p>
        </w:tc>
        <w:tc>
          <w:tcPr>
            <w:tcW w:w="40" w:type="dxa"/>
            <w:vAlign w:val="bottom"/>
            <w:tcBorders>
              <w:bottom w:val="single" w:sz="8" w:color="auto"/>
            </w:tcBorders>
          </w:tcPr>
          <w:p>
            <w:pPr>
              <w:spacing w:after="0"/>
              <w:rPr>
                <w:sz w:val="24"/>
                <w:szCs w:val="24"/>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17"/>
                <w:szCs w:val="17"/>
                <w:color w:val="auto"/>
              </w:rPr>
            </w:pPr>
          </w:p>
        </w:tc>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I-Tseng Jenny Chan</w:t>
            </w:r>
          </w:p>
        </w:tc>
        <w:tc>
          <w:tcPr>
            <w:tcW w:w="4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c>
          <w:tcPr>
            <w:tcW w:w="40" w:type="dxa"/>
            <w:vAlign w:val="bottom"/>
          </w:tcPr>
          <w:p>
            <w:pPr>
              <w:spacing w:after="0"/>
              <w:rPr>
                <w:sz w:val="20"/>
                <w:szCs w:val="20"/>
                <w:color w:val="auto"/>
              </w:rPr>
            </w:pPr>
          </w:p>
        </w:tc>
      </w:tr>
      <w:tr>
        <w:trPr>
          <w:trHeight w:val="432"/>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CP Acquisitions, LLC</w:t>
            </w:r>
          </w:p>
        </w:tc>
        <w:tc>
          <w:tcPr>
            <w:tcW w:w="40" w:type="dxa"/>
            <w:vAlign w:val="bottom"/>
          </w:tcPr>
          <w:p>
            <w:pPr>
              <w:spacing w:after="0"/>
              <w:rPr>
                <w:sz w:val="24"/>
                <w:szCs w:val="24"/>
                <w:color w:val="auto"/>
              </w:rPr>
            </w:pP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I-Tseng Jenny Chan</w:t>
            </w:r>
          </w:p>
        </w:tc>
        <w:tc>
          <w:tcPr>
            <w:tcW w:w="40" w:type="dxa"/>
            <w:vAlign w:val="bottom"/>
            <w:tcBorders>
              <w:bottom w:val="single" w:sz="8" w:color="auto"/>
            </w:tcBorders>
          </w:tcPr>
          <w:p>
            <w:pPr>
              <w:spacing w:after="0"/>
              <w:rPr>
                <w:sz w:val="24"/>
                <w:szCs w:val="24"/>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17"/>
                <w:szCs w:val="17"/>
                <w:color w:val="auto"/>
              </w:rPr>
            </w:pPr>
          </w:p>
        </w:tc>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I-Tseng Jenny Chan</w:t>
            </w:r>
          </w:p>
        </w:tc>
        <w:tc>
          <w:tcPr>
            <w:tcW w:w="4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c>
          <w:tcPr>
            <w:tcW w:w="4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140E0F76"/>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
    <w:nsid w:val="3352255A"/>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4">
    <w:nsid w:val="109CF92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DED7263"/>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6">
    <w:nsid w:val="7FDCC233"/>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7">
    <w:nsid w:val="1BEFD79F"/>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8">
    <w:nsid w:val="41A7C4C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9">
    <w:nsid w:val="6B68079A"/>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0">
    <w:nsid w:val="4E6AFB66"/>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1">
    <w:nsid w:val="25E45D32"/>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2">
    <w:nsid w:val="519B500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3">
    <w:nsid w:val="431BD7B7"/>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4">
    <w:nsid w:val="3F2DBA31"/>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5">
    <w:nsid w:val="7C83E458"/>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6">
    <w:nsid w:val="257130A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7">
    <w:nsid w:val="62BBD95A"/>
    <w:multiLevelType w:val="hybridMultilevel"/>
    <w:lvl w:ilvl="0">
      <w:lvlJc w:val="left"/>
      <w:lvlText w:val="%1."/>
      <w:numFmt w:val="decimal"/>
      <w:start w:val="1"/>
    </w:lvl>
    <w:lvl w:ilvl="1">
      <w:lvlJc w:val="left"/>
      <w:lvlText w:val="(%2)"/>
      <w:numFmt w:val="lowerLetter"/>
      <w:start w:val="1"/>
    </w:lvl>
  </w:abstractNum>
  <w:abstractNum w:abstractNumId="18">
    <w:nsid w:val="436C6125"/>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9">
    <w:nsid w:val="628C895D"/>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0">
    <w:nsid w:val="333AB10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1">
    <w:nsid w:val="721DA317"/>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5" Type="http://schemas.openxmlformats.org/officeDocument/2006/relationships/hyperlink" Target="http://www.sec.gov/Archives/edgar/data/1800637/000121390024058789/ea020888301ex4-1_agrif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2024-08-06T19:24:53Z</dcterms:created>
  <dcterms:modified xsi:type="dcterms:W3CDTF">2024-08-06T19:24:53Z</dcterms:modified>
</cp:coreProperties>
</file>