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333-265710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1102995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142875</wp:posOffset>
            </wp:positionV>
            <wp:extent cx="105410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11,884,615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1,500,000 Shares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26,769,230 Shares of Common Stock</w:t>
      </w:r>
    </w:p>
    <w:p>
      <w:pPr>
        <w:spacing w:after="0" w:line="20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Corporation (“Agrify”) is offering 11,884,615 shares of its common stock, $0.001 par value per share, (ii) pre-funded warrants to purchase 1,500,000 shares of its common stock (each a “Pre-Funded Warrant” and collectively, the “Pre-Funded Warrants”) and (iii) accompanying warrants to purchase 26,769,230 shares of its common stock (each a “Common Warrant” and collectively, the “Common Warrants,” and, together with the Pre-Funded Warrants, the “Warrants”), in combinations of one share of common stock and two Common Warrants or one Pre-Funded Warrant and two Common Warrants, pursuant to this prospectus supplement and the accompanying prospectus.</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share of common stock is being sold together with accompanying Common Warrants to purchase two shares of common stock. The shares of common stock and the accompanying Common Warrants will be issued separately but can only be purchased together in this offering. The combined offering price for each share of common stock and the accompanying two Common Warrants is $0.65.</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Agrify is offering to certain purchasers whose purchase of shares of common stock in this offering would otherwise result in the purchaser, together with its affiliates and certain related parties, beneficially owning more than 9.99% (or such lesser percentage as may be required by the investor) of our outstanding common stock immediately following the consummation of this offering, the opportunity to purchase, if any such purchaser so chooses, Pre-Funded Warrants in lieu of shares of common stock. Each Pre-Funded Warrant is being sold together with accompanying Common Warrants to purchase two shares of common stock. The Pre-Funded Warrants are being offered separately from the Common Stock and will be issued separately from the accompanying Common Warrants, but the Pre-Funded Warrants and accompanying Common Warrants can only be purchased together in this offering. The combined offering price for each Pre-Funded Warrant and the accompanying two Common Warrants is $0.649.</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Pre-Funded Warrants will not have an expiration date and will be exercisable immediately. The exercise price for the Pre-Funded Warrants will be equal to $0.001.</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Warrants will have a term of five years from the date such Common Warrants are first exercisable. The Common Warrants are exercisable commencing on the date when stockholder approval of the exercisability of the Common Warrants is obtained. In the event our shareholders do not approve the exercise of the Common Warrants, the Common Warrants will not be exercisable and therefore have no value. The exercise price for the Common Warrants initially will be $0.65 per share, and will be subject to adjustments as described herein, including adjustments to the exercise price if we issue other securities in certain circumstances.</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Agrify’s common stock is listed on The Nasdaq Capital Market under the symbol “AGFY.” On December 15, 2022, the last reported sale price of Agrify’s common stock on The Nasdaq Capital Market was $0.8162 per share.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Agrify does not expect a market to develop. In addition, Agrify does not intend to apply for the listing of the Warrants on any national securities exchange or other nationally recognized trading system. Without an active trading market, Agrify expects the liquidity of the Warrants will be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those terms are defined under the federal securities laws and, as such, have elected to comply with certain reduced public company reporting requirements.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herein or incorporated by reference in this prospectus supplement and the accompanying prospectus. We have not authorized any other person to provide you with different information.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See “Risk Factors” beginning on page S-6 of this prospectus supplement and on page 8 of the accompanying prospectus, as well as the information under the caption “Risk Factors” in our filings incorporated by reference into this prospectus supplement and the accompanying prospectus, for a discussion of the factors you should carefully consider before investing in our common stock.</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Common Warrants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0.0255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0.0255</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341,308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Agrify (2)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0.6245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0.6235</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8,357,192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underwriting discounts, Agrify has agreed to reimburse the underwriter for certain expenses. See “Underwriting” beginning on page S-16 of this prospectus supplement for additional information regarding total underwriter compensation.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any exercise of the Warrants being issued in this offering.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$8.2 million, and excluding the proceeds, if any, for the exercise of the Warrants issued pursuant to this offering, after deducting underwriting discounts and commissions and estimated offering expenses payable by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Raymond Chang, our Chairman and Chief Executive Officer, has agreed to purchase shares of common stock (or Pre-Funded Warrants, as applicable) and Common Warrants with an aggregate purchase price of $1.5 million on the same terms as the other purchasers in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Delivery of the shares of common stock will be made through the book-entry facilities of The Depository Trust Company. Delivery of the Common Warrants and Pre-Funded Warrants will be made by physical delivery. We anticipate that delivery of the shares of our common stock, Common Warrants and Pre-Funded Warrants will be made on or about December 20, 2022, subject to customary closing conditions.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Canaccord Genuity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date of this prospectus supplement is 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00" w:type="dxa"/>
            <w:vAlign w:val="bottom"/>
            <w:gridSpan w:val="5"/>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gridSpan w:val="5"/>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34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680" w:type="dxa"/>
            <w:vAlign w:val="bottom"/>
            <w:tcBorders>
              <w:top w:val="single" w:sz="8" w:color="CCEEFF"/>
            </w:tcBorders>
            <w:gridSpan w:val="6"/>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840" w:type="dxa"/>
            <w:vAlign w:val="bottom"/>
            <w:tcBorders>
              <w:top w:val="single" w:sz="8" w:color="CCEEFF"/>
            </w:tcBorders>
            <w:gridSpan w:val="16"/>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6"/>
        </w:trPr>
        <w:tc>
          <w:tcPr>
            <w:tcW w:w="53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78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14"/>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940" w:type="dxa"/>
            <w:vAlign w:val="bottom"/>
            <w:gridSpan w:val="3"/>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0"/>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7"/>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RATIO OF FIXED CHARGES AND PREFERENCE DIVIDENDS TO EARNINGS</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61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98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SECURITIES WE MAY OFFER</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34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supplement and accompanying prospectus and in any applicable prospectus supplement. Neither we nor Canaccord has authorized anyone to provide you with different information, and neither we nor Canaccord take responsibility for any other information others may give you. Neither we nor Canaccord is making an offer to sell these securities in any jurisdiction where the offer or sale is not permitted. The information in this prospectus supplement and the accompanying prospectus and the documents incorporated by reference herein is current only as of its date, regardless of its time of delivery or the time of sale of any of our securities. Our business, financial condition, results of operations and prospects may have changed since such dates.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supplement, we have not taken any action to permit a public offering of these securities outside the United States or to permit the possession or distribution of this prospectus supplement outside the United States. Persons outside the United States who come into possession of this prospectus supplement must inform themselves about and observe any restrictions relating to the offering of these securities and the distribution of this prospectus supplement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 You should rely only on the information contained in, or incorporated by reference into, this prospectus supplement, the accompanying prospectus and any free writing prospectus prepared by or on our behalf that we have authorized for use in connection with this offering. We have not, and Canaccord has not, authorized any dealer, salesperson or other person to provide any information or to make any representation other than those contained or incorporated by reference into this prospectus supplement or into any free writing prospectus prepared by or on our behalf or to which we have referred you. If anyone provides you with additional, different or inconsistent information, you should not rely on it. We and Canaccord take no responsibility for, and can provide no assurance as to the reliability of, any other information that others may give you.</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into this prospectus supplement and in any free writing prospectus prepared by or on our behalf that we have authorized for use in connection with this offering, is accurate only as of the date of each such respective document. Our business, financial condition, results of operations and prospects may have changed since those dates. You should read this prospectus supplement, including the documents incorporated by reference, and any free writing prospectus prepared by or on our behalf that we have authorized for use in connection with this offering, in their entirety before making an investment decision. You should also read and consider the information in the documents we have referred you to in the sections of this prospectus supplement entitled “Where You Can Find More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of which this prospectus supplement forms a part, and you may obtain copies of those documents as described below under the section entitled “Where You Can Find More Information.”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“Agrify,” the “Company,” “we,” “us” and “our” refer to Agrify Corporation and its subsidiaries. Agrify,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436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 “Risk Factors” section beginning on page S-6 and in the documents incorporated by reference and our consolidated financial statements and the related notes incorporated by reference in this prospectus supplement and the accompanying prospectus, before deciding to invest in our common stock. You should also carefully read the information incorporated by reference into this prospectus supplement, including our financial statements, and the exhibits to the registration statement of which this prospectus supplement is a part. See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5516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t>Extraction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w:t>
      </w:r>
      <w:r>
        <w:rPr>
          <w:rFonts w:ascii="Times New Roman" w:cs="Times New Roman" w:eastAsia="Times New Roman" w:hAnsi="Times New Roman"/>
          <w:sz w:val="18"/>
          <w:szCs w:val="18"/>
          <w:color w:val="auto"/>
        </w:rPr>
        <w:t>Market leader in developing and producing high-quality vacuum purge ovens and decarboxylation ovens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1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400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t>Facility Design &amp; Building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18, 2022, we filed with the Secretary of State of the State of Nevada a Certificate of Amendment to our Articles of Incorporation (the “Certificate of Amendment”), which was approved by our stockholders at our Special Meeting of Stockholders held on October 14, 2022 and by our Board of Directors. The Certificate of Amendment effected a 1-for-10 reverse stock split of our common stock, in which each ten (10) shares of common stock issued and outstanding as of 12:01 a.m. Eastern Time on October 18, 2022 (the effective time of the reverse stock split) were combined and converted into one share of common stock. While the reverse stock split decreased the number of outstanding shares of common stock, it did not change the total number of shares of common stock authorized for issuance by us, nor did it change the par value of the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were issued in connection with the reverse stock split. Instead, we issued one whole share of common stock to any stockholder who would have been entitled to receive a fractional share of common stock due to the reverse stock split. All shares and per share amounts set forth in this prospectus supplement have been retrospectively adjusted to reflect the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Nevada on June 6, 2016, originally incorporated as Agrinamics, Inc. On September 16, 2019, we amended our articles of incorporation to reflect a name change to Agrify Corporation. Our principal executive offices are located at 76 Treble Cove 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supplement and does not constitute part of this prospectus supplement. You should not rely on any such information in making your decision whether to purchase our securities.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-268605</wp:posOffset>
            </wp:positionV>
            <wp:extent cx="7136130" cy="7042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spacing w:after="0" w:line="209" w:lineRule="exact"/>
        <w:rPr>
          <w:sz w:val="20"/>
          <w:szCs w:val="20"/>
          <w:color w:val="auto"/>
        </w:rPr>
      </w:pPr>
    </w:p>
    <w:p>
      <w:pPr>
        <w:jc w:val="both"/>
        <w:ind w:left="700"/>
        <w:spacing w:after="0" w:line="261" w:lineRule="auto"/>
        <w:rPr>
          <w:sz w:val="20"/>
          <w:szCs w:val="20"/>
          <w:color w:val="auto"/>
        </w:rPr>
      </w:pPr>
      <w:r>
        <w:rPr>
          <w:rFonts w:ascii="Times New Roman" w:cs="Times New Roman" w:eastAsia="Times New Roman" w:hAnsi="Times New Roman"/>
          <w:sz w:val="18"/>
          <w:szCs w:val="18"/>
          <w:color w:val="auto"/>
        </w:rPr>
        <w:t>11,884,615 shares of common stock, plus 28,269,230 shares of common stock underlying the Warrants offered in this offering. Each share of common stock sold in this offering will be sold with an accompanying Common Warrant to purchase one share of common stock.</w:t>
      </w:r>
    </w:p>
    <w:p>
      <w:pPr>
        <w:spacing w:after="0" w:line="180" w:lineRule="exact"/>
        <w:rPr>
          <w:sz w:val="20"/>
          <w:szCs w:val="20"/>
          <w:color w:val="auto"/>
        </w:rPr>
      </w:pPr>
    </w:p>
    <w:p>
      <w:pPr>
        <w:jc w:val="both"/>
        <w:ind w:left="700"/>
        <w:spacing w:after="0" w:line="252" w:lineRule="auto"/>
        <w:rPr>
          <w:sz w:val="20"/>
          <w:szCs w:val="20"/>
          <w:color w:val="auto"/>
        </w:rPr>
      </w:pPr>
      <w:r>
        <w:rPr>
          <w:rFonts w:ascii="Times New Roman" w:cs="Times New Roman" w:eastAsia="Times New Roman" w:hAnsi="Times New Roman"/>
          <w:sz w:val="18"/>
          <w:szCs w:val="18"/>
          <w:color w:val="auto"/>
        </w:rPr>
        <w:t>We are also offering to certain purchasers whose purchase of shares of common stock in this offering would otherwise result in the purchaser, together with its affiliates and certain related parties, beneficially owning more than 9.99% (or such lesser percentage as may be required by the investor) of our outstanding common stock immediately following the consummation of this offering, the opportunity to purchase, if any such purchaser so chooses, Pre-Funded Warrants to purchase shares of our common stock in lieu of shares of our common stock. Each Pre-Funded Warrant will have an exercise price equal to $0.001 per share and is immediately exercisable. The Pre-Funded Warrants will not expire. Each Pre-Funded Warrant sold in this offering will be sold with accompanying Common Warrant to purchase two shares of common stock. See “Description of Securities—Pre-Funded Warrants to be Issued in this Offering.”</w:t>
      </w:r>
    </w:p>
    <w:p>
      <w:pPr>
        <w:spacing w:after="0" w:line="197" w:lineRule="exact"/>
        <w:rPr>
          <w:sz w:val="20"/>
          <w:szCs w:val="20"/>
          <w:color w:val="auto"/>
        </w:rPr>
      </w:pPr>
    </w:p>
    <w:p>
      <w:pPr>
        <w:jc w:val="both"/>
        <w:ind w:left="700"/>
        <w:spacing w:after="0" w:line="253" w:lineRule="auto"/>
        <w:rPr>
          <w:sz w:val="20"/>
          <w:szCs w:val="20"/>
          <w:color w:val="auto"/>
        </w:rPr>
      </w:pPr>
      <w:r>
        <w:rPr>
          <w:rFonts w:ascii="Times New Roman" w:cs="Times New Roman" w:eastAsia="Times New Roman" w:hAnsi="Times New Roman"/>
          <w:sz w:val="18"/>
          <w:szCs w:val="18"/>
          <w:color w:val="auto"/>
        </w:rPr>
        <w:t>We are offering Common Warrants to purchase 26,769,230 shares of our common stock. Each Common Warrant has an initial exercise price of $0.65 per share and will be exercisable beginning on the date when stockholder approval of the exercise of such warrants is obtained, and shall be exercisable for a period of five years from the date when the Common Warrants are first exercisable. In the event that our stockholders do not approve the exercise of the Common Warrants, the Common Warrants will not be exercisable and therefore have no value. The Common Warrants will also provide for adjustments to their exercise price if we issue other securities in certain circumstances. See “Description of Securities— Common Warrants to be Issued in this Offering.”</w:t>
      </w:r>
    </w:p>
    <w:p>
      <w:pPr>
        <w:spacing w:after="0" w:line="192" w:lineRule="exact"/>
        <w:rPr>
          <w:sz w:val="20"/>
          <w:szCs w:val="20"/>
          <w:color w:val="auto"/>
        </w:rPr>
      </w:pPr>
    </w:p>
    <w:p>
      <w:pPr>
        <w:jc w:val="both"/>
        <w:ind w:left="700"/>
        <w:spacing w:after="0" w:line="282" w:lineRule="auto"/>
        <w:rPr>
          <w:sz w:val="20"/>
          <w:szCs w:val="20"/>
          <w:color w:val="auto"/>
        </w:rPr>
      </w:pPr>
      <w:r>
        <w:rPr>
          <w:rFonts w:ascii="Times New Roman" w:cs="Times New Roman" w:eastAsia="Times New Roman" w:hAnsi="Times New Roman"/>
          <w:sz w:val="18"/>
          <w:szCs w:val="18"/>
          <w:color w:val="auto"/>
        </w:rPr>
        <w:t>20,740,977 (assuming none of the Warrants issued in this offering are exercised).</w:t>
      </w:r>
    </w:p>
    <w:p>
      <w:pPr>
        <w:spacing w:after="0" w:line="162" w:lineRule="exact"/>
        <w:rPr>
          <w:sz w:val="20"/>
          <w:szCs w:val="20"/>
          <w:color w:val="auto"/>
        </w:rPr>
      </w:pPr>
    </w:p>
    <w:p>
      <w:pPr>
        <w:jc w:val="both"/>
        <w:ind w:left="700"/>
        <w:spacing w:after="0" w:line="261" w:lineRule="auto"/>
        <w:rPr>
          <w:sz w:val="20"/>
          <w:szCs w:val="20"/>
          <w:color w:val="auto"/>
        </w:rPr>
      </w:pPr>
      <w:r>
        <w:rPr>
          <w:rFonts w:ascii="Times New Roman" w:cs="Times New Roman" w:eastAsia="Times New Roman" w:hAnsi="Times New Roman"/>
          <w:sz w:val="18"/>
          <w:szCs w:val="18"/>
          <w:color w:val="auto"/>
        </w:rPr>
        <w:t>We estimate that net proceeds from this offering will be approximately $8.2 million after deducting underwriting discounts and our estimated expenses related to the offering and assuming none of the Warrants issued in this offering are exercised.</w:t>
      </w:r>
    </w:p>
    <w:p>
      <w:pPr>
        <w:spacing w:after="0" w:line="180" w:lineRule="exact"/>
        <w:rPr>
          <w:sz w:val="20"/>
          <w:szCs w:val="20"/>
          <w:color w:val="auto"/>
        </w:rPr>
      </w:pPr>
    </w:p>
    <w:p>
      <w:pPr>
        <w:jc w:val="both"/>
        <w:ind w:left="700"/>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under this prospectus supplement for working capital and general corporate purposes, which may include capital expenditures and repayment of debt. We reserve the right, at the sole discretion of our management, to reallocate the proceeds of this offering in response to developments in our business and other factors. See “Use of Proceeds” on page S-9 of this prospectus supplement.</w:t>
      </w:r>
    </w:p>
    <w:p>
      <w:pPr>
        <w:spacing w:after="0" w:line="200" w:lineRule="exact"/>
        <w:rPr>
          <w:sz w:val="20"/>
          <w:szCs w:val="20"/>
          <w:color w:val="auto"/>
        </w:rPr>
      </w:pPr>
    </w:p>
    <w:p>
      <w:pPr>
        <w:sectPr>
          <w:pgSz w:w="11900" w:h="16838" w:orient="portrait"/>
          <w:cols w:equalWidth="0" w:num="2">
            <w:col w:w="4100" w:space="720"/>
            <w:col w:w="6180"/>
          </w:cols>
          <w:pgMar w:left="440" w:top="927" w:right="45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significant risks. Please see “Risk Factors” on page S-6 of this prospectus supplement and on page 8 of the accompanying prospectus, as well as the discussion of risk factors contained in our annual, quarterly and current reports filed with the Securities and Exchange Commission, or SEC, under the Exchange Act, which are incorporated by reference into this prospectus supplement and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-1134745</wp:posOffset>
            </wp:positionV>
            <wp:extent cx="7136130" cy="5824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800" w:space="720"/>
            <w:col w:w="5480"/>
          </w:cols>
          <w:pgMar w:left="440" w:top="95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Insider Participation</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Raymond Chang, our Chairman and Chief Executive Officer, has agreed to purchase shares of common stock (or Pre-Funded Warrants, as applicable) and Common Warrants with an aggregate purchase price of $1.5 million on the same terms as the other purchasers in this offering.</w:t>
      </w:r>
    </w:p>
    <w:p>
      <w:pPr>
        <w:spacing w:after="0" w:line="180" w:lineRule="exact"/>
        <w:rPr>
          <w:sz w:val="20"/>
          <w:szCs w:val="20"/>
          <w:color w:val="auto"/>
        </w:rPr>
      </w:pPr>
    </w:p>
    <w:p>
      <w:pPr>
        <w:sectPr>
          <w:pgSz w:w="11900" w:h="16838" w:orient="portrait"/>
          <w:cols w:equalWidth="0" w:num="2">
            <w:col w:w="4800" w:space="720"/>
            <w:col w:w="5480"/>
          </w:cols>
          <w:pgMar w:left="440" w:top="95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“AGFY.”</w:t>
      </w:r>
    </w:p>
    <w:p>
      <w:pPr>
        <w:spacing w:after="0" w:line="162" w:lineRule="exact"/>
        <w:rPr>
          <w:sz w:val="20"/>
          <w:szCs w:val="20"/>
          <w:color w:val="auto"/>
        </w:rPr>
      </w:pPr>
    </w:p>
    <w:p>
      <w:pPr>
        <w:sectPr>
          <w:pgSz w:w="11900" w:h="16838" w:orient="portrait"/>
          <w:cols w:equalWidth="0" w:num="2">
            <w:col w:w="4800" w:space="720"/>
            <w:col w:w="5480"/>
          </w:cols>
          <w:pgMar w:left="440" w:top="958" w:right="45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There is no established public trading market for the Warrants, and we do</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not expect a market to develop. In addition, we do not intend to apply for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the listing of the Warrants on any national securities exchange or other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nationally recognized trading system. Without an active trading market, we</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expect the liquidity of the Warrants will be limited.</w:t>
      </w:r>
    </w:p>
    <w:p>
      <w:pPr>
        <w:sectPr>
          <w:pgSz w:w="11900" w:h="16838" w:orient="portrait"/>
          <w:cols w:equalWidth="0" w:num="1">
            <w:col w:w="11000"/>
          </w:cols>
          <w:pgMar w:left="440" w:top="958" w:right="459" w:bottom="1440" w:gutter="0" w:footer="0" w:header="0"/>
          <w:type w:val="continuous"/>
        </w:sect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8,856,362 shares outstanding as of December 14, 2022. The number of shares outstanding as of December 14, 2022 as used throughout this prospectus supplement, unless otherwise indicated, excludes the shares of common stock issuable upon exercise of the Common Warrants and the Pre-Funded Warrants being offered by us in this offering and also excludes as of such date:</w:t>
      </w:r>
    </w:p>
    <w:p>
      <w:pPr>
        <w:spacing w:after="0" w:line="180"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2,430,788 shares of our common stock issuable upon the exercise of warrants outstanding, at a weighted average exercise price of $22.57 per share;</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268,816 shares of our common stock issuable upon the exercise of stock options outstanding, at a weighted average exercise price of $75.90 per share;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154,299 shares of our common stock issuable upon the vesting of restricted stock units;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82,049 shares of our common stock reserved for future issuance under our 2022 Omnibus Equity Incentive Plan;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our common stock reserved for future issuance under our 2022 Employee Stock Purchase Plan;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33,417 shares of our common stock reserved for future issuance in connection with completed acquisitions.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58" w:right="4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and any related free writing prospectus, and described under the section entitled “Risk Factors” contained in our most recent annual report on Form 10-K, as well as any amendments thereto reflected in subsequent filings with the SEC, which are incorporated by reference into this prospectus supplement in their entirety, together with other information in this prospectus supplement, the accompanying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dilution resulting from future offerings of common stock by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2022, we entered into a Equity Distribution Agreement with Canaccord as sales agent (the “ATM Agreement”), under which we may offer and sell our common stock having aggregate sales proceeds of up to $50 million from time to time. Between October 18, 2022 and the date of this prospectus supplement, we sold an aggregate of 6,132,565 shares of our common stock and received net proceeds of $15.1 million under the ATM Agreement. Sales of our common stock under the ATM Agreement may cause substantial dilution to our existing stockholders and could cause the price per share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with respect to the use of any net proceeds of this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be unable to exercise the Common Warrants and they may have no value under certain circumstances.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Warrants may not be exercised without stockholder approval. Therefore, the Common Warrants will not be exercisable unless and until we obtain stockholder approval to permit the exercise of the Common Warrants. If we are unable to obtain such stockholder approval, the Common Warrants will have no value and will expire.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speculative in nature and may never have any value.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Commencing on the date of issuance, holders of Pre-Funded Warrants may exercise their right to acquire our common stock and pay an exercise price per share equal to $0.001 per share, subject to certain adjustments, without expiration. Following this offering, the market value of the Pre-Funded Warrants, if any, is uncertain and there can be no assurance that the market price of our common stock will ever equal or exceed their imputed offering price.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Warrants, which have an initial exercise price of $0.65 per share of common stock, are exercisable beginning on the date we obtain stockholder approval for their exercise for a period of five years from the date when the Common Warrants are first exercisable. If our common stock price does not increase to an amount sufficiently above the exercise price of the warrants during the period during which the warrants are exercisable, you will be unable to recover any of your investment in the Common Warrants. In such event, the Common Warrants will not have any value.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market price of our common stock will ever equal or exceed the exercise price of the Common Warrants, and consequently, whether it will ever be profitable for holders of the Common Warrants to exercise such Common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liquidity of the Common Warrants and Pre-Funded Warrants will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or Pre-Funded Warrants being offered in this offering, and we do not expect a market to develop. In addition, we do not intend to apply to list the Common Warrants or Pre-Funded Warrants on any national securities exchange or other nationally recognized trading system, including The Nasdaq Capital Market. Without an active market, the liquidity of the Common Warrants or Pre-Funded Warrants will be limited.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purchased in this offering will have no rights as stockholders until such holders exercise such warrants and acquire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thereof, holders of such Pre-Funded Warrants will have no rights with respect to the shares of our common stock underlying such Pre-Funded Warrants . Upon exercise of the Pre-Funded Warrants , such holders will be entitled to exercise the rights of a common stockholder only as to matters for which the record date occurs after the exercise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the documents incorporated herein and therein by reference contain, forward-looking statements and information relating to Agrify Corporation.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revenue from our customers pursuant to existing total turn-key (TTK) solution implementations;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 the accompanying prospectus, and the documents incorporated by reference herein and therein.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supplement, the accompanying prospectus, and in the documents incorporated by reference herein and therein.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supplement, the accompanying prospectus, and in the documents incorporated by reference herein and therein may not occur and actual results could differ materially and adversely from those anticipated or implied in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supplement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the sale of the shares of common stock, the Pre-Funded Warrants and the accompanying Common Warrants that we are offering will be approximately $8.2 million, after deducting the underwriting discount and estimated offering expenses payable by us and excluding the proceeds, if any, from the exercise of the Warrants and issued pursuant to this offering. We cannot predict when or if the Warrants will be exercised. It is possible that the Warrants may expire and never be exercised.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general corporate purposes, which may include capital expenditures and repayment of debt.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determined the amounts that we plan to spend on any specific area or the timing of such expenditures. Accordingly, our management will have broad discretion to use the net proceeds from this offering. Pending our use of the net proceeds from this offering, we intend to invest the net proceeds in short-term interest-bearing investment grade instruments.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 and 3,000,000 shares of preferred stock, par value $0.001 per share. The only equity securities currently outstanding are shares of common stock. As of December 14, 2022, there were 8,880,863 shares of common stock outstanding, warrants outstanding to purchase 2,430,788 shares of our Common Stock, 268,816 shares of common stock subject to outstanding stock options, and 154,299 shares of common stock subject to unvested restricted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The transfer agent and registrar for our common stock is Broadridge Corporate Issuer Solutions, Inc., 51 Mercedes Way, Edgewood, New York 11717.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terms of our common stock are described under the heading “Securities We May Offer—Description of Capital Stock” in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Warrants to be Issued in this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certain terms and provisions of the Common Warrants that are being offered hereby. This summary is subject to and qualified in its entirety by the form of Common Warrants,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Common Warrant for a complete description of the terms and conditions of the Common Warrants. All Common Warrants will be issued in certificated 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Terms of the Common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Warrants represent the right to purchase 11,884,615 shares of common stock at an initial exercise price of $0.65 per share. Each Common Warrant may be exercised at any time beginning on the date we receive stockholder approval to permit the exercise of the Common Warrants and from time to time thereafter through and including the five-year anniversary of the initial exercise date. After the exercise period, holders of the Common Warrants will have no further rights to exercise the Common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Each Common Warrant will be exercisable beginning on the date when stockholder approval for the exercisability of such Common Warrants is obtained and will expire on the five-year anniversary of the initial exercise date, subject to the stockholder approval described below. The Common Warrants will be exercisable, at the option of each holder, in whole or in part by delivering to us a duly executed exercise notice and payment in full for the number of shares of our common stock purchased upon such exercise, except in the case of a cashless exercise as discussed below.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issuable upon exercise of the Common Warrants is subject to adjustment in certain circumstances, including a stock split of, stock dividend on, or a subdivision, combination or recapitalization of the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to hold a stockholders’ meeting no later than February 28, 2023 in order to seek stockholder approval to permit the exercise of the Common Warrants. In the event that we are unable to obtain stockholder approval to permit the exercise of the Common Warrants at such meeting, we have agreed to hold subsequent meetings of the stockholders of the Company no less often than every ninety (90) days following the date of such initial stockholder’s meeting until stockholder approval is obtained. In the event that we are unable to obtain stockholder approval to permit the exercise of the Common Warrants, the Common Warrants will not be exercisable and will have no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the time of exercise there is no effective registration statement registering, or the prospectus contained therein is not available for issuance of the shares issuable upon exercise of the Common Warrant, the holder may exercise the Common Warrant on a cashless basis. When exercised on a cashless basis, a portion of the Common Warrant is cancelled in payment of the purchase price payable in respect of the number of shares of our common stock purchasable upon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Common Warrant represents the right to purchase one share of common stock at an exercise price of $0.65 per share. Subject to limited exceptions, a holder of Common Warrants will not have the right to exercise any portion of the Common Warrant to the extent that, after giving effect to the exercise, the holder, together with its affiliates, and any other person acting as a group together with the holder or any of its affiliates, would beneficially own in excess of 4.99% of the number of shares of our common stock outstanding immediately after giving effect to its exercise (the “Common Warrant Beneficial Ownership Limitation”). The holder, upon notice to us, may increase or decrease the beneficial ownership limitation provisions of the Common Warrant, provided that in no event shall the limitation exceed 9.99% percent of the number of shares of our common stock outstanding immediately after giving effect to the exercise of the Common Warrant. Any increase in the Common Warrant Beneficial Ownership Limitation will not be effective until the 61st day after such notice is delivered to us. Purchasers of Common Warrants in this offering may also elect prior to the issuance of the Common Warrants to those purchasers to have the initial exercise limitation set at 9.99% of our outstanding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 Additionally, subject to certain exceptions, the exercise price of the Common Warrants will be reduced in the event that we issue securities while the Common Warrants are outstanding with a purchase, conversion or exercise price that is lower than the exercise price of the Common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Distribution of Assets; Purchase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distribute assets, including cash dividends, any securities (other than a stock dividend described under “—Certain Adjustments”) or other property, to our stockholders, the warrant holders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Common Warrant Beneficial Ownership Limitation, the holder will not be entitled to participate in the distribution to such extent that Common Warrant Beneficial Ownership Limitation would be exceeded and the distribution will be held in abeyance for the holder’s benefit until such time or times, if ever, as would not result in the holder exceeding the Common Warrant Beneficial Ownership Limitation.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grant, issue or sell pro rata to our stockholders, any options, convertible securities or rights to purchase stock, warrants, securities or other property, the Common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Common Warrant Beneficial Ownership Limitation, then the holder will not be entitled to participate in such purchase right to such extent that the Common Warrant Beneficial Ownership Limitation would be exceeded such purchase right, to the extent necessary to prevent such occurrence, will be held in abeyance for the holder’s benefit until such time or times, if ever, as would not result in the holder exceeding the Common Warrant Beneficial Ownership Limitation.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T</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b w:val="1"/>
          <w:bCs w:val="1"/>
          <w:i w:val="1"/>
          <w:iCs w:val="1"/>
          <w:color w:val="auto"/>
        </w:rPr>
        <w:t>ansferability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laws and restrictions, a holder may transfer a Common Warrant upon surrender of the Common Warrant to us with a duly executed assignment in the form attached to the Common Warrant. The transferring holder will be responsible for any tax that liability that may arise as a result of the transfer.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and we do not expect a market to develop. In addition, we do not intend to apply for listing of the Common Warrants on any securities exchange or trading system. Without an active market, the liquidity of the Common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Stockholder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provided or by virtue of such holder’s ownership of shares of our common stock, the holder of a Common Warrant, solely in such holder’s capacity as a holder of a Common Warrant, will not be entitled to vote, to receive dividends, or to any of the other rights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we (or we and all of our subsidiaries, taken as a whole)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Common Warrants, the holders of the Common Warrants will have the right to receive any shares of the acquiring corporation or other consideration it would have been entitled to receive if it had been a holder of the number of shares of common stock then issuable upon exercise of the Common Warrants. Additionally, as more fully described in the Common Warrants, in the event of certain fundamental transactions, the holders of the Common Warrants will be entitled to receive consideration in an amount equal to the Black Scholes value of the Common Warrants in connection with of the consummation of such fundamental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each Common Warrant may be modified or amended or the provisions thereof waived with the written consent of us and the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Common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Common Warrant per whole share or round such fractional share up to the nearest whole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 to be Issued in this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Warrants,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 All Pre-Funded Warrants will be issued in certificated 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Terms of the Pre-Funded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9.99% of the outstanding common stock immediately after exercise (the “Pre-Funded Warrant Beneficial Ownership Limitation”),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those purchasers to have the initial exercise limitation set at 9.99% of our outstanding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the time of exercise there is no effective registration statement registering, or the prospectus contained therein is not available for issuance of the shares issuable upon exercise of the Pre-Funded Warrant, the holder may exercise the Pre-Funded Warrant on a cashless basis. When exercised on a cashless basis, a portion of the Pre-Funded Warrant is cancelled in payment of the purchase price payable in respect of the number of shares of our common stock purchasable upon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Distribution of Assets; Purchase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distribute assets, including cash dividends, any securities (other than a stock dividend described under “—Certain Adjustments”) or other property, to our stockholders, holders of Pre-Funded Warrants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Pre-Funded Warrant Beneficial Ownership Limitation, the holder will not be entitled to participate in the distribution to such extent that the Pre-Funded Warrant Beneficial Ownership Limitation would be exceeded and the distribution will be held in abeyance for the holder’s benefit until such time or times, if ever, as would not result in the holder exceeding the Pre-Funded Warrant Beneficial Ownership Limitation.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grant, issue or sell pro rata to its stockholders, any options, convertible securities or rights to purchase stock, warrants, securities or other property, the Pre-Funded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the Pre-Funded Warrant Beneficial Ownership Limitation, then the holder will not be entitled to participate in such purchase right to such extent that the Pre-Funded Warrant Beneficial Ownership Limitation would be exceeded such purchase right, to the extent necessary to prevent such occurrence, will be held in abeyance for the holder’s benefit until such time or times, if ever, as would not result in the holder exceeding the Pre-Funded Warrant Beneficial Ownership Limitation.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laws and restrictions, a holder may transfer a Pre-Funded Warrant upon surrender of the Pre-Funded Warrant to us with a duly executed assignment in the form attached to the Pre-Funded Warrant. The transferring holder will be responsible for any tax that liability that may arise as a result of the transfer.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apply for listing of the Pre-Funded Warrants on any securities exchange or trading system. Without an active market, the liquidity of the Pre-Funded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Pre-Funded Warrant or by virtue of a holder’s ownership of shares of our common stock, the holders of the Pre-Funded Warrants do not have the rights or privileges of holders of our common stock, including any voting rights, until they exercise their Pre-Funded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Pre-Funded Warrants, the holders of the Pre-Funded Warrants will have the right to receive any shares of the acquiring corporation or other consideration it would have been entitled to receive if it had been a holder of the number of shares of common stock then issuable upon exercise of the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each Pre-Funded Warrant may be modified or amended or the provisions thereof waived with the written consent of us and the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Pre-Funded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Pre-Funded Warrant per whole share or round such fractional share up to the nearest whole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of common stock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2022 was approximately $35.4 million, or $13.15 per share, based on 2,691,088 shares of common stock outstanding at September 30, 2022.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giving effect to the sale of 11,884,615 shares of our common stock and 1,500,000 Pre-Funded Warrants in this offering (excluding shares of common stock issuable upon exercise of the Warrants being offered in this offering) at an offering price of $0.65 per share and accompanying Common Warrants (or the offering price per Pre-Funded Warrant and accompanying Common Warrants at an offering price of $0.649) and after deducting estimated offering expenses payable by us and underwriting discounts), our as adjusted net tangible book value as of September 30, 2022 would have been approximately $43.6 million, or $2.71 per share of common stock. This represents an immediate decrease in net tangible book value of $10.44 per share to existing stockholders and immediate accretion of $2.06 per share to investors purchasing securities in this offering at the offering price. The following table illustrates this dilution on a per share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and accompanying Common Warrants (or per Pre-Funded Warrant and accompanying</w:t>
            </w: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Warrants)</w:t>
            </w:r>
          </w:p>
        </w:tc>
        <w:tc>
          <w:tcPr>
            <w:tcW w:w="7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13.15</w:t>
            </w:r>
          </w:p>
        </w:tc>
        <w:tc>
          <w:tcPr>
            <w:tcW w:w="7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this offering</w:t>
            </w:r>
          </w:p>
        </w:tc>
        <w:tc>
          <w:tcPr>
            <w:tcW w:w="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10.44</w:t>
            </w:r>
          </w:p>
        </w:tc>
        <w:tc>
          <w:tcPr>
            <w:tcW w:w="7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 based</w:t>
            </w:r>
          </w:p>
        </w:tc>
        <w:tc>
          <w:tcPr>
            <w:tcW w:w="76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per share to new investors</w:t>
            </w: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and table above assume no exercise of the Common Warrants or Pre-Funded Warrants sold in this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and discussion above are based on 2,691,008 shares of common stock issued and outstanding on September 30, 2022 and excludes as of that date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2,430,788 shares of our common stock issuable upon the exercise of warrants outstanding, at a weighted average exercise price of $22.57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285,718 shares of our common stock issuable upon the exercise of stock options outstanding, at a weighted average exercise price of $73.66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159,300 shares of our common stock issuable upon the vesting of restricted stock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64,688 shares of our common stock reserved for future issuance under our 2022 Omnibus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our common stock reserved for future issuance under our 2022 Employee Stock Purchase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33,417 shares of our common stock reserved for future issuance in connection with completed acquisitions.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any of the outstanding warrants or options are exercised,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could result in further dilution to our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the underwriter for the offering named below have entered into an underwriting agreement with respect to the securities being offered. Subject to the terms and conditions of the underwriting agreement, the underwriter has agreed to purchase from us the number of securities set forth opposite its name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11,884,615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1,500,000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26,769,230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11,884,615</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1,500,000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26,769,230</w:t>
            </w:r>
          </w:p>
        </w:tc>
        <w:tc>
          <w:tcPr>
            <w:tcW w:w="80" w:type="dxa"/>
            <w:vAlign w:val="bottom"/>
          </w:tcPr>
          <w:p>
            <w:pPr>
              <w:spacing w:after="0"/>
              <w:rPr>
                <w:sz w:val="20"/>
                <w:szCs w:val="20"/>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and that the underwriter has agreed to purchase all of the securities sold under the underwriting agreement if any of these securities are purchased.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specified liabilities, including liabilities under the Securities Act, and to contribute to payments the underwriter may be required to make in respect thereof.</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There is no established public trading market for the Pre-Funded Warrants or Common Warrants, and we do not expect a market to develop. We do not intend to list the Pre-Funded Warrants or Common Warrants on The Nasdaq Capital Market, any other national securities exchange or any other nationally recognized trading system.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 is offering the shares of common stock or Pre-Funded Warrants and the accompanying Common Warrants, subject to prior sale, when, as and if issued to and accepted by it, subject to approval of legal matters by its counsel and other conditions specified in the underwriting agreement. The underwriter reserves the right to withdraw, cancel or modify offers and to reject orders in whole or in part.</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Discounts</w:t>
      </w:r>
      <w:r>
        <w:rPr>
          <w:rFonts w:ascii="Times New Roman" w:cs="Times New Roman" w:eastAsia="Times New Roman" w:hAnsi="Times New Roman"/>
          <w:sz w:val="18"/>
          <w:szCs w:val="18"/>
          <w:color w:val="auto"/>
        </w:rPr>
        <w:t>. The following table shows the offering price, underwriting discounts and proceeds, before expenses, to us from the sale of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Pre-Funded Warrants) and accompanying Common Warrants.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 Share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40" w:type="dxa"/>
            <w:vAlign w:val="bottom"/>
          </w:tcPr>
          <w:p>
            <w:pPr>
              <w:spacing w:after="0"/>
              <w:rPr>
                <w:sz w:val="21"/>
                <w:szCs w:val="21"/>
                <w:color w:val="auto"/>
              </w:rPr>
            </w:pPr>
          </w:p>
        </w:tc>
        <w:tc>
          <w:tcPr>
            <w:tcW w:w="3600" w:type="dxa"/>
            <w:vAlign w:val="bottom"/>
            <w:gridSpan w:val="4"/>
          </w:tcPr>
          <w:p>
            <w:pPr>
              <w:ind w:left="2000"/>
              <w:spacing w:after="0"/>
              <w:rPr>
                <w:sz w:val="20"/>
                <w:szCs w:val="20"/>
                <w:color w:val="auto"/>
              </w:rPr>
            </w:pPr>
            <w:r>
              <w:rPr>
                <w:rFonts w:ascii="Times New Roman" w:cs="Times New Roman" w:eastAsia="Times New Roman" w:hAnsi="Times New Roman"/>
                <w:sz w:val="18"/>
                <w:szCs w:val="18"/>
                <w:b w:val="1"/>
                <w:bCs w:val="1"/>
                <w:color w:val="auto"/>
              </w:rPr>
              <w:t>Common Warrants</w:t>
            </w: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Common Warrants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21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0.0255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0.0255</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341,308</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Agrify</w:t>
            </w:r>
          </w:p>
        </w:tc>
        <w:tc>
          <w:tcPr>
            <w:tcW w:w="212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0.6245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0.6235</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8,357,192</w:t>
            </w: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underwriting discounts, will be approximately $102,000. Additionally, we have agreed to reimburse the underwriter for expenses, including the fees and expenses of counsel for the underwriter, in an amount not to exceed $75,000.</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 proposes to offer the securities offering price set forth on the cover of this prospectus supplement. If all of the securities are not sold at the offering price, the underwriter may change the offering price and other selling terms.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Discretionary Accounts</w:t>
      </w:r>
      <w:r>
        <w:rPr>
          <w:rFonts w:ascii="Times New Roman" w:cs="Times New Roman" w:eastAsia="Times New Roman" w:hAnsi="Times New Roman"/>
          <w:sz w:val="18"/>
          <w:szCs w:val="18"/>
          <w:color w:val="auto"/>
        </w:rPr>
        <w:t>. The underwriter does not intend to confirm sales of the securities to any accounts over which it has discretionary authority.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Stabilization</w:t>
      </w:r>
      <w:r>
        <w:rPr>
          <w:rFonts w:ascii="Times New Roman" w:cs="Times New Roman" w:eastAsia="Times New Roman" w:hAnsi="Times New Roman"/>
          <w:sz w:val="18"/>
          <w:szCs w:val="18"/>
          <w:color w:val="auto"/>
        </w:rPr>
        <w:t>. In connection with this offering, the underwriter may engage in stabilizing transactions, which involves making bids for, purchasing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 has advised us that, pursuant to Regulation M of the Securities Act, the underwriter may also engage in other activities that stabilize, maintain or otherwise affect the price of the common stock, including the imposition of penalty bids.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Nasdaq Capital Market, in the over the counter market or otherwise.</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Passive Market Making</w:t>
      </w:r>
      <w:r>
        <w:rPr>
          <w:rFonts w:ascii="Times New Roman" w:cs="Times New Roman" w:eastAsia="Times New Roman" w:hAnsi="Times New Roman"/>
          <w:sz w:val="18"/>
          <w:szCs w:val="18"/>
          <w:color w:val="auto"/>
        </w:rPr>
        <w:t>. In connection with this offering, underwriter may engage in passive market making transactions in our common stock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Capital Market in accordance with Rule 103 of Regulation M under the Securities Exchange Act of 1934, as amended, during a period before the commencement of offers or sales of securities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Pursuant to certain ‘‘lock-up’’ agreements, we and our executive officers and directors have agreed, subject to certain exceptions,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the underwriter, for a period of 90 days after the date of the pricing of the offering.</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our common stock and other securities subject to the lock-up agreements described above in whole or in part at any time. When determining whether or not to release our common stock and other securities from lock-up agreements, the underwriter will consider, among other factors, the holder’s reasons for requesting the release, the number of shares for which the release is being requested and market conditions at the time of the request.</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Insider Participation</w:t>
      </w:r>
      <w:r>
        <w:rPr>
          <w:rFonts w:ascii="Times New Roman" w:cs="Times New Roman" w:eastAsia="Times New Roman" w:hAnsi="Times New Roman"/>
          <w:sz w:val="18"/>
          <w:szCs w:val="18"/>
          <w:color w:val="auto"/>
        </w:rPr>
        <w:t>. Raymond Chang, our Chairman and Chief Executive Officer, has agreed to purchase shares of common stock (or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as applicable) and Common Warrants with an aggregate purchase price of $1.5 million on the same terms as the other purchasers in this offering.</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Canada</w:t>
      </w:r>
      <w:r>
        <w:rPr>
          <w:rFonts w:ascii="Times New Roman" w:cs="Times New Roman" w:eastAsia="Times New Roman" w:hAnsi="Times New Roman"/>
          <w:sz w:val="18"/>
          <w:szCs w:val="18"/>
          <w:color w:val="auto"/>
        </w:rPr>
        <w:t>. The securities may be sold only to purchasers purchasing, or deemed to be purchasing, as principal that are accredited investors,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 is not required to comply with the disclosure requirements of NI 33-105 regarding underwriter conflicts of interest in connection with this offering.</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Israel</w:t>
      </w:r>
      <w:r>
        <w:rPr>
          <w:rFonts w:ascii="Times New Roman" w:cs="Times New Roman" w:eastAsia="Times New Roman" w:hAnsi="Times New Roman"/>
          <w:sz w:val="18"/>
          <w:szCs w:val="18"/>
          <w:color w:val="auto"/>
        </w:rPr>
        <w:t>. In the State of Israel this prospectus supplement shall not be regarded as an offer to the public to purchase shares of common stock,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and Common Warrants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The Company has not and will not distribute this prospectus supplement or make, distribute or direct an offer to subscribe for the Company’s common stock, Pre-Funded Warrants and Common Warrants to any person within the State of Israel, other than to Qualified Investors and up to 35 Addressed Investors.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1968. In particular, the Company may request, as a condition to be offered common stock, Pre-Funded Warrants and Common Warrants, that Qualified Investors will each represent, warrant and certify to the Company and/or to anyone acting on its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Pre-Funded Warrants and Common Warrants; (iv) that the shares of common stock, Pre-Funded Warrants and Common Warrants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United Kingdom</w:t>
      </w:r>
      <w:r>
        <w:rPr>
          <w:rFonts w:ascii="Times New Roman" w:cs="Times New Roman" w:eastAsia="Times New Roman" w:hAnsi="Times New Roman"/>
          <w:sz w:val="18"/>
          <w:szCs w:val="18"/>
          <w:color w:val="auto"/>
        </w:rPr>
        <w:t>. In the United Kingdom, this prospectus supplement is only addressed to and directed as qualified investors who are (i)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supplement relates is available only to relevant persons and will only be engaged with relevant persons. Any person who is not a relevant person should not act or relay on this prospectus supplement or any of its contents.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Switzerland</w:t>
      </w:r>
      <w:r>
        <w:rPr>
          <w:rFonts w:ascii="Times New Roman" w:cs="Times New Roman" w:eastAsia="Times New Roman" w:hAnsi="Times New Roman"/>
          <w:sz w:val="18"/>
          <w:szCs w:val="18"/>
          <w:color w:val="auto"/>
        </w:rPr>
        <w:t>. The securities will not be offered, directly or indirectly, to the public in Switzerland and this prospectus supplement does not constitute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prospectus as that term is understood pursuant to article 652a or 1156 of the Swiss Federal Code of Obligations.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spacing w:after="0" w:line="284" w:lineRule="auto"/>
        <w:rPr>
          <w:sz w:val="20"/>
          <w:szCs w:val="20"/>
          <w:color w:val="auto"/>
        </w:rPr>
      </w:pPr>
      <w:r>
        <w:rPr>
          <w:rFonts w:ascii="Times New Roman" w:cs="Times New Roman" w:eastAsia="Times New Roman" w:hAnsi="Times New Roman"/>
          <w:sz w:val="18"/>
          <w:szCs w:val="18"/>
          <w:i w:val="1"/>
          <w:iCs w:val="1"/>
          <w:color w:val="auto"/>
        </w:rPr>
        <w:t>European Economic Area</w:t>
      </w:r>
      <w:r>
        <w:rPr>
          <w:rFonts w:ascii="Times New Roman" w:cs="Times New Roman" w:eastAsia="Times New Roman" w:hAnsi="Times New Roman"/>
          <w:sz w:val="18"/>
          <w:szCs w:val="18"/>
          <w:color w:val="auto"/>
        </w:rPr>
        <w:t>. In relation to each Member State of the European Economic Area (each, a “Member State”), no offer of shares may be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 in that Member State other than:</w:t>
      </w:r>
    </w:p>
    <w:p>
      <w:pPr>
        <w:spacing w:after="0" w:line="16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underwriter;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securities shall require the Company or the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 and the Company that it is a “qualified investor” as defined in the Prospectus Regulation.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5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Member State to qualified investors as so defined or in circumstances in which the prior consent of the underwriter has been obtained to each such proposed offer or resale.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securities to the public” in relation to any securities in any Member State means the communication in any form and by means of sufficient information on the terms of the offer and the securities to be offered so as to enable an investor to decide to purchase securities, and the expression “Prospectus Regulation” means Regulation (EU) 2017/1129 (as amended).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authorized and does not authorize the making of any offer of securities through any financial intermediary on our behalf, other than offers made by the underwriter and its affiliates, with a view to the final placement of the securities as contemplated in this document. Accordingly, no purchaser of the securities, other than the underwriter, is authorized to make any further offer of securities on our behalf or on behalf of the underwriter.</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Electronic Offer, Sale and Distribution of Securities</w:t>
      </w:r>
      <w:r>
        <w:rPr>
          <w:rFonts w:ascii="Times New Roman" w:cs="Times New Roman" w:eastAsia="Times New Roman" w:hAnsi="Times New Roman"/>
          <w:sz w:val="18"/>
          <w:szCs w:val="18"/>
          <w:color w:val="auto"/>
        </w:rPr>
        <w:t>. A prospectus supplement in electronic format may be made available on the website maintained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and the underwriter may distribute prospectus supplements electronically. The underwriter may agree to allocate a number of shares of Common Stock, Pre-Funded Warrants and Common Warrants for sale to its online brokerage account holders. Internet distributions will be allocated by the underwriter on the same basis as other allocations. Other than the prospectus supplement in electronic format, the information on this website is not part of this prospectus supplement or the registration statement of which this prospectus supplement forms a part, has not been approved or endorsed by us or the underwriter in its capacity as underwriter, and should not be relied upon by investors.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Relationships</w:t>
      </w:r>
      <w:r>
        <w:rPr>
          <w:rFonts w:ascii="Times New Roman" w:cs="Times New Roman" w:eastAsia="Times New Roman" w:hAnsi="Times New Roman"/>
          <w:sz w:val="18"/>
          <w:szCs w:val="18"/>
          <w:color w:val="auto"/>
        </w:rPr>
        <w:t>. The underwriter and its affiliates may have provided in the past, and may in the future provide, various investment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banking and other financial services for us and our affiliates for which it has received, or may in the future receive, customary fees.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Sherman &amp; Howard L.L.C., Las Vegas, Nevada. Canaccord is being represented in connection with this offering by Goodwin Procter LLP, New York, New York.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incorporated by reference our financial statements in this prospectus supplement and the accompanying prospectus in reliance on Marcum LLP’s report, given on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The information found on, or otherwise accessible through, our website is not incorporated into, and does not form a part of, this prospectus supplement, the accompanying prospectus or any other report or documents we file with or furnish to the SEC.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(File No. 333-265710) under the Securities Act with respect to the common stock offered by this prospectus supplement. When used in this prospectus supplement, the term “registration statement” includes amendments to the registration statement as well as the exhibits, schedules, financial statements and notes filed as part of the registration statement or incorporated by reference therein. This prospectus supplement, which constitutes a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common stock we are offering by this prospectus supplement. Statements herein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supplement,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80" w:hanging="33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2022 filed with the SEC on August 15, 2022;</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2022 filed with the SEC on November 14, 2022;</w:t>
      </w:r>
    </w:p>
    <w:p>
      <w:pPr>
        <w:spacing w:after="0" w:line="225"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from our definitive proxy statement on </w:t>
      </w:r>
      <w:hyperlink r:id="rId4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4">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January 26, 2022</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February 2, 2022</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March 18, 2022</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April 12, 2022</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June 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July 14,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August 19,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October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October 18,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October 27,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October 31, 2022</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80" w:hanging="33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7">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prior to the termination of the offering of the underlying securities; provided, however, that we are not incorporating by reference any additional documents or information furnished and not filed with the SEC.</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is modified or superseded for purposes of the prospectus supplement to the extent that a statement contained in this prospectus supplement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supplement is delivered a copy of the documents incorporated by reference into this prospectus supplement. You may request a copy of these filings, and any exhibits we have specifically incorporated by reference as an exhibit in this prospectus supplement,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Canaccord has authorized anyone else to provide you with different information. Neither we nor Canaccord is making an offer of these securities in any jurisdiction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39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1054100" cy="788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issue, in one or more series or classes, up to $200,000,000 in aggregate principal amount of our common stock, preferred stock, warrants, debt securities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June 17, 2022, the closing price for our Common Stock, as reported on The Nasdaq Capital Market, was $2.14 per share. Our principal executive offices are located at 76 Treble Cove Road, Building 3, Unit 3, Billerica, MA 01862.</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contained in this prospectus beginning on page 8 and any applicable prospectus supplement, and under similar headings in the other documents that are incorporated by reference into this prospectus.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ACCURATE, TRUTHFUL OR COMPLETE. ANY REPRESENTATION TO THE CONTRARY IS A CRIMINAL OFFENSE.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2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RATIO OF FIXED CHARGES AND PREFERENCE DIVIDENDS TO EARNINGS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the shelf registration process, we may offer shares of our common stock and preferred stock, warrants to purchase any of such securities, debt securities and units comprised of any such securities with a total value of up to $200,000,000 from time to time under this prospectus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1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dividends or other payments,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settlement or sinking fund terms,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exchange or settlement prices or rates, if any, and, if applicable, any provisions for changes to or adjustments in the conversion, exchange or settlement prices or rates and in the securities or other property receivable upon conversion, exchange or settlement;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federal income tax considerations.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prospectus supplement may include a discussion of risks or other special considerations applicable to us or the offered securities. A prospectus supplement may also add, update or change information in this prospectus. If there is any inconsistency between the information in this prospectus and any applicable prospectus supplement, you must rely on the information in the prospectus supplement. Please carefully read both this prospectus and any applicable prospectus supplement together with the additional information described under the heading “Where You Can Find More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The registration statement can be read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authorized any broker-dealer, salesperson or other person to give any information or to make any representation other than those contained or incorporated by reference in this prospectus and an accompanying supplement to this prospectus. You must not rely upon any information or representation not contained or incorporated by reference in this prospectus or an accompanying prospectus supplement. This prospectus and an accompanying supplement to this prospectus do not constitute an offer to sell or the solicitation of an offer to buy securities, nor do this prospectus and an accompanying supplement to this prospectus constitute an offer to sell or the solicitation of an offer to buy securities in any jurisdiction to any person to whom it is unlawful to make such offer or solicitation. The information contained in this prospectus and an accompanying prospectus supplement speaks only as of the date set forth on the applicable cover page and may not reflect subsequent changes in our business, financial condition, results of operations and prospects even though this prospectus and any accompanying prospectus supplement is delivered or securities are sold on a later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dealers or agents, we will include in any applicable prospectus supplement: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861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spacing w:after="0" w:line="179" w:lineRule="exact"/>
        <w:rPr>
          <w:sz w:val="20"/>
          <w:szCs w:val="20"/>
          <w:color w:val="auto"/>
        </w:rPr>
      </w:pPr>
    </w:p>
    <w:p>
      <w:pPr>
        <w:ind w:left="660" w:right="20" w:hanging="331"/>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growing rows. Our design introduces an open-room facility design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available cultivation floor print while offering superior risk mitigation via individual compartmentalized cultivation chambers.</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VFU has an environmental control unit that is integrated with our proprietary cultivation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Agrify Insights software. This integration allows for precise control and automation over light photoperiod and intensity, temperature, humidity, vapor pressure deficit (“VPD”), carbon dioxide, fertigation, and irrigation throughout the life cycle of the plants.</w:t>
      </w:r>
    </w:p>
    <w:p>
      <w:pPr>
        <w:spacing w:after="0" w:line="170" w:lineRule="exact"/>
        <w:rPr>
          <w:rFonts w:ascii="Times New Roman" w:cs="Times New Roman" w:eastAsia="Times New Roman" w:hAnsi="Times New Roman"/>
          <w:sz w:val="18"/>
          <w:szCs w:val="18"/>
          <w:b w:val="1"/>
          <w:bCs w:val="1"/>
          <w:i w:val="1"/>
          <w:iCs w:val="1"/>
          <w:color w:val="auto"/>
        </w:rPr>
      </w:pPr>
    </w:p>
    <w:p>
      <w:pPr>
        <w:ind w:left="660" w:right="20" w:hanging="331"/>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with proper loading to stack up to 3 units tall, sextupling production volume over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Each unit is designed to easily integrate with a mezzanine catwalk system.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8" w:name="page29"/>
    <w:bookmarkEnd w:id="28"/>
    <w:p>
      <w:pPr>
        <w:jc w:val="both"/>
        <w:ind w:left="660" w:hanging="331"/>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24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Biosecurity and Risk Mitigation</w:t>
      </w:r>
      <w:r>
        <w:rPr>
          <w:rFonts w:ascii="Times New Roman" w:cs="Times New Roman" w:eastAsia="Times New Roman" w:hAnsi="Times New Roman"/>
          <w:sz w:val="18"/>
          <w:szCs w:val="18"/>
          <w:color w:val="auto"/>
        </w:rPr>
        <w:t>. The VFU has a motorized curtain on both sides of the unit that enclose the grow area to prevent light-leak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p>
      <w:pPr>
        <w:spacing w:after="0" w:line="176"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VFU’s working area is 8 feet tall, allowing easy access to both rows of plants within the unit. As the motorized curtains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lifted on either side, this also allows efficient ergonomics at arm’s length. Similarly, our Interlight LED technology is dimmed or turned-off when the curtains are raised for a more ambient working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Examples of VFU infrastructure versus traditional grows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5874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The Agrify Insights software is focused around optimizing four key components:</w:t>
      </w:r>
    </w:p>
    <w:p>
      <w:pPr>
        <w:spacing w:after="0" w:line="225" w:lineRule="exact"/>
        <w:rPr>
          <w:sz w:val="20"/>
          <w:szCs w:val="20"/>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growth chamber. This hardware and its component valves, motors and sensors are directed and controlled by Agrify Insights software.</w:t>
      </w:r>
    </w:p>
    <w:p>
      <w:pPr>
        <w:spacing w:after="0" w:line="158" w:lineRule="exact"/>
        <w:rPr>
          <w:sz w:val="20"/>
          <w:szCs w:val="20"/>
          <w:color w:val="auto"/>
        </w:rPr>
      </w:pPr>
    </w:p>
    <w:p>
      <w:pPr>
        <w:ind w:left="660" w:right="20" w:hanging="331"/>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software can either automatically or manually control our hardware. For example,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water-chilled fan coil can keep temperature in a range accurate to 1.5 degrees Fahrenheit.</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software, users can view environmental charts that plot temperature, humidity,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038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t>Facility Level Optimization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spacing w:after="0" w:line="158" w:lineRule="exact"/>
        <w:rPr>
          <w:sz w:val="20"/>
          <w:szCs w:val="20"/>
          <w:color w:val="auto"/>
        </w:rPr>
      </w:pPr>
    </w:p>
    <w:p>
      <w:pPr>
        <w:jc w:val="both"/>
        <w:ind w:left="660" w:hanging="331"/>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 utilization by executing a “best-fit” scheduling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software includes a workforce planning feature to assign tasks to staff. These tasks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assigned based on user role or their knowledge, skills, and abilities. The calendar displays the estimated amount of time required to complete plant-touching tasks on any given day.</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 are notified in the order in which they are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user does not acknowledge the notification within the specified time frame, the next user in the list is notified, providing the business with 24/7 monitoring and notifications.</w:t>
      </w:r>
    </w:p>
    <w:p>
      <w:pPr>
        <w:spacing w:after="0" w:line="170"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 related tasks are contained, tracked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monitored within Agrify Insights software.</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software controls the irrigation on a facility level as well as connects with the water chilled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HVAC system and ambient lighting system, providing our customers a central piece of software for facility management.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58" w:lineRule="exact"/>
        <w:rPr>
          <w:sz w:val="20"/>
          <w:szCs w:val="20"/>
          <w:color w:val="auto"/>
        </w:rPr>
      </w:pPr>
    </w:p>
    <w:p>
      <w:pPr>
        <w:jc w:val="both"/>
        <w:ind w:left="660" w:hanging="331"/>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 whose inventory will be reduced when the task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This feature can help customers manage supply levels and can automatically create purchase orders so that they never run out of required supplies.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 software hosts digital copies of our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and datasheets, or users can upload their own via our content management system, ensuring that the most recent version of SOPs and forms are available to users.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 workforce’s various needs. Facility owners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4" w:right="459" w:bottom="1440" w:gutter="0" w:footer="0" w:header="0"/>
        </w:sectPr>
      </w:pPr>
    </w:p>
    <w:bookmarkStart w:id="31" w:name="page32"/>
    <w:bookmarkEnd w:id="31"/>
    <w:p>
      <w:pPr>
        <w:jc w:val="both"/>
        <w:ind w:left="660" w:right="20" w:hanging="331"/>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587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Data Collection</w:t>
      </w:r>
      <w:r>
        <w:rPr>
          <w:rFonts w:ascii="Times New Roman" w:cs="Times New Roman" w:eastAsia="Times New Roman" w:hAnsi="Times New Roman"/>
          <w:sz w:val="18"/>
          <w:szCs w:val="18"/>
          <w:color w:val="auto"/>
        </w:rPr>
        <w:t>. Agrify Insights software is a centralized repository for all data relating to the cultivation aspects of our clients’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research and development testing data, and the ability to capture and compare test results. By doing so, Agrify Insights software becomes a customers’ cultivation statement of record.</w:t>
      </w:r>
    </w:p>
    <w:p>
      <w:pPr>
        <w:spacing w:after="0" w:line="170"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 / What If Scenarios</w:t>
      </w:r>
      <w:r>
        <w:rPr>
          <w:rFonts w:ascii="Times New Roman" w:cs="Times New Roman" w:eastAsia="Times New Roman" w:hAnsi="Times New Roman"/>
          <w:sz w:val="18"/>
          <w:szCs w:val="18"/>
          <w:color w:val="auto"/>
        </w:rPr>
        <w:t>. Our operating expenses (“OpEx”) calculator enables users to evaluate impacts to profitability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hundreds of attributes including, but not limited to, changes to costs in labor, electric, water, CO2, and growing media as well as potential volatility in yields and pricing.</w:t>
      </w:r>
    </w:p>
    <w:p>
      <w:pPr>
        <w:spacing w:after="0" w:line="170"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tracking solution, which will enable our customers to handle most regulatory reporting directly through Agrify Insights software.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6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w:t>
      </w:r>
      <w:r>
        <w:rPr>
          <w:rFonts w:ascii="Times New Roman" w:cs="Times New Roman" w:eastAsia="Times New Roman" w:hAnsi="Times New Roman"/>
          <w:sz w:val="18"/>
          <w:szCs w:val="18"/>
          <w:color w:val="auto"/>
        </w:rPr>
        <w:t>Market leader in developing and producing high-quality vacuum purge ovens and decarboxylation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246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Design &amp; Building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76 Treble Cove 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highlight w:val="white"/>
        </w:rPr>
        <w:t>We have nine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Agxiom, LLC, Cascade Sciences, LLC, Precision Extraction NewCo, LLC, PurePressure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common stock from time to time. Holders of our common stock are entitled to one vote for each share held of record on all matters submitted to a vote of shareholders. Holders of our common stock have no preemptive, conversion or subscription rights, and there are no redemption or sinking fund provisions applicable to our common stock.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preferred stock from time to time, in one or more series. Under our Charter, our Board has the authority to issue, without further action by our stockholders, up to 3,000,000 shares of preferred stock, none of which are currently issued and outstanding. The Board has the authority to issue shares of preferred stock in one or more series and to fix the designations, powers, preferences and the rights of the shares of each series and any qualification, limitations and restrictions thereon, any or all of which may be greater than the rights of our common stock.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50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t>If we issue preferred stock, we will fix the designations, powers, preferences and the rights, and any qualification, limitations and restrictions of the shares of each series that we sell under this prospectus and applicable prospectus supplements in the certificate of designations relating to that series. If we issue preferred stock, we will incorporate by reference into the registration statement of which this prospectus is a part the form of any certificate of designations that describes the terms of such series of preferred stock before the issuance thereof. We urge you to read any prospectus supplement related to any series of preferred stock we may offer, as well as the complete certificate of designations that contains the terms of the applicable series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warrants for the purchase of common stock, preferred stock, debt securities and/or units (as described below) in one or more series, from time to time. We may issue warrants independently or together with common stock and/or preferred stock, and the warrants may be attached to or separate from those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warrants, they will be evidenced by warrant agreements or warrant certificates issued under one or more warrant agreements, which are contracts between us and an agent for the holders of the warrants. We urge you to read any prospectus supplement related to any series of warrants we may offer, as well as the complete warrant agreement and warrant certificate that contain the terms of the warrants. If we issue warrants, forms of warrant agreements and warrant certificates relating to such warrants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below under the heading “The Securities We May Offer,” we may issue debt securities from time to time, in one or more series, as either senior or subordinated debt or as senior or subordinated convertible debt. Unless we give you different information in the applicable prospectus supplement, (i) the debt securities will be unsecured, (ii) the senior debt securities will be unsubordinated obligations and will rank equally with all of our other unsecured and unsubordinated indebtedness, and (iii) the subordinated debt securities will be subordinate and junior in right of payment, to the extent and in the manner described in the instrument governing the debt, to all or some portion of our indebtedness. Any convertible debt securities that we issue will be convertible into or exchangeable for our common stock or other securities of ours. Conversion may be mandatory or at your option and would be at prescribed conversion rates.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debt securities, they will be issued under one or more documents called indentures, which are contracts between us and a trustee for the holders of the debt securities. We urge you to read any prospectus supplement related to the series of debt securities being offered, as well as the complete indenture that contains the terms of the debt securities. If we issue debt securities, indentures and forms of debt securities containing the terms of such debt securities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units comprised of shares of common stock, shares of preferred stock, warrants and debt securities in any combination. We may issue units in such amounts and in as many distinct series as we wish.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units, they will be issued under one or more unit agreements to be entered into between us and a bank or other financial institution, as unit agent.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into the registration statement of which this prospectus is a part from other filings we would make with the SEC.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Annual Report on Form 10-K for the fiscal year ended December 31, 2021, which was filed with the SEC on March 31, 2022 and is incorporated herein by reference and (ii) other documents we file with the SEC that are deemed incorporated by reference into this prospectus.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receive any proceeds in connection with this offering because we may be unable or choose not to issue and sell any securities covered by this prospectus.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a supplement or amendment to this prospectus, we intend to use any net proceeds from this offering, together with other available funds, for working capital and for other general corporate purposes.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interest-bearing, investment-grade securities or certificates of deposit.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 Please see the discussion of the risks associated with our liquidity in the section “Risk Factors.”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FIXED CHARGES AND PREFERENCE DIVIDENDS TO EARNINGS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ratio of combined fixed charges and preference dividends to earnings for each of the five most recently completed fiscal years and any required interim periods will each be specified in a prospectus supplement or in a document that we file with the SEC and incorporate by reference pertaining to the issuance, if any, by us of preference securities in the future.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may be sold in one or more transactions at fixed prices, at prevailing market prices at the time of sale, at prices related to the prevailing market prices, at varying prices determined at the time of sale, or at negotiated prices. These sales may be effected at various times in one or more of the following transactions, or in other kinds of transactions:</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for resale to the public or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Capital Market or on any national securities exchange or U.S. inter-dealer system of a registered national securities association on which our common stock may be listed or quoted at the time of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and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short sales of the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writing of non-traded and exchange-traded call options, in hedge transactions and in settlement of other transactions in standardized or over-the-counter options;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our securities directly to one or more purchasers, or to or through underwriters, dealers or agents or through a combination of those methods.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prospectus supplement will set forth the terms of each offering, including:</w:t>
      </w:r>
    </w:p>
    <w:p>
      <w:pPr>
        <w:spacing w:after="0" w:line="20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underwriters or investors who purchase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compensation, discounts, commissions or fees to be received by the underwriters, dealer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indemnification provisions, including indemnification from liabilities under the federal securities 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transaction by an underwriter, dealer or agent during the offering that is intended to stabilize or maintain the market price of the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any “at the market” offerings, unless we inform you otherwise in the prospectus supplement, the sales agent with respect to any such at-the-market offering will make all sales using commercially reasonable efforts consistent with its normal trading and sales practices and applicable laws, rules and regulations, on mutually agreeable terms between the sales agent and us. We will include in the prospectus supplement the amount of any compensation to be received by the sales agent.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securities covered by this prospectus that qualify for sale pursuant to Regulation S may be sold pursuant to Regulation S rather than pursuant to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securities, underwriters may receive compensation from us or from purchasers of our securities in the form of discounts, concessions or commissions. Underwriters, dealers and agents that participate in the distribution of our securities may be deemed to be underwriters. Discounts or commissions they receive and any profit on their resale of our securities may be considered underwriting discounts and commissions under the Securities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maximum consideration or discount to be received by any FINRA member or independent broker dealer may not exceed eight percent (8.0%) of the aggregate amount of the securities offered to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agree to indemnify underwriters, dealers and agents who participate in the distribution of our securities against various liabilities, including liabilities under the Securities Act. We may also agree to contribute to payments that the underwriters, dealers or agents may be required to make in respect of these liabilities. We may authorize dealers or other persons who act as our agents to solicit offers by various institutions to purchase our securities from us under contracts that provide for payment and delivery on a future date. We may enter into these contracts with commercial and savings banks, insurance companies, pension funds, investment companies, educational and charitable institutions and others. If we enter into these agreements concerning any series of our securities, we will indicate that in the prospectus supplement or amendment.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 offering of our securities, underwriters may engage in transactions that stabilize, maintain or otherwise affect the price of our securities. Specifically, underwriters may over-allot in connection with the offering, creating a syndicate short position in our securities for their own account. In addition, underwriters may bid for, and purchase, our securities in the open market to cover short positions or to stabilize the price of our securities. Finally, underwriters may reclaim selling concessions allowed for distributing our securities in the offering if the underwriters repurchase previously distributed securities in transactions to cover short positions, in stabilization transactions or otherwise. Any of these activities may stabilize or maintain the market price of our securities above independent market levels. Underwriters are not required to engage in any of these activities and may end any of these activities at any time. Agents and underwriters may engage in transactions with, or perform services for, us and our affiliates in the ordinary course of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and our bylaws, which are exhibits to the registration statement of which this prospectus forms a part, and by applicable law. The terms of our common stock and preferred stock may also be affected by Nevada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 The following description summarizes some of the terms of our certificate of incorporation and bylaws, but does not purport to be complete and is qualified in its entirety by the provisions of our certificate of incorporation and bylaws, copies of which have been filed as exhibits to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26,591,438 shares of Common Stock outstanding, warrants outstanding to purchase 10,111,798 shares of our Common Stock and 3,296,647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up to 3,000,000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our Board to render more difficult or to discourage an attempt to obtain control of us by means of a merger, tender offer, proxy contest or otherwise. For example, if in the due exercise of its fiduciary obligations, our Board were to determine that a takeover proposal is not in the best interests of us or our stockholders, our Board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may enter into a warrant agency agreement with a warrant agent, in which case we will indicate the name and address of the warrant agent in the applicable prospectus supplement relating to a particular series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any premium or interest on, the debt securities purchasable upon exercise or to enforce covenants in the applicable indenture;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any dividends or payments upon our liquidation, dissolution or winding up or to exercise any voting rights.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New York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either us or the warrant agent, as applicable,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 upon exercise.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our office,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Rights By Holders of Warrants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or series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or the Trust Indenture Act. We included copies of the forms of the indentures as exhibits to our registration statement and they are incorporated into this prospectus by reference.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Agrify or the method by which any such portion shall be determined;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328"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Agrify received on conversion;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8" w:name="page49"/>
    <w:bookmarkEnd w:id="48"/>
    <w:p>
      <w:pPr>
        <w:ind w:left="328" w:right="20"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common stock or other securities of Agrify, as the case may be, including the conversion price or rate and the manner or calculation thereof;</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Nevada Revised Statutes nor our governing instruments define the term “substantially all” as it relates to the sale of assets.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Denomination, Interest, Registration and Transfer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described under “—Merger, Consolidation or Sale of Assets,” the indentures require us to do or cause to be done all things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The indentures require us to pay, discharge or cause to be paid or discharged, before they become delinquent (i)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assessments and governmental charges levied or imposed on us, our subsidiaries or our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Provision of financial information</w:t>
      </w:r>
      <w:r>
        <w:rPr>
          <w:rFonts w:ascii="Times New Roman" w:cs="Times New Roman" w:eastAsia="Times New Roman" w:hAnsi="Times New Roman"/>
          <w:sz w:val="18"/>
          <w:szCs w:val="18"/>
          <w:color w:val="auto"/>
        </w:rPr>
        <w:t>. The indentures require us to (i) within 15 days of each of the respective dates by which we are required to file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The applicable prospectus supplement will set forth any additional covenants of Agrify relating to any series of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Notice and Waiver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30 days;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for five business days at its stated maturity;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for five business days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bond, debenture, note, mortgage, indenture or instrument: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principal amount of at least $30,000,000;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there may be issued, secured or evidenced any existing or later created indebtedness for money borrowed by us or our subsidiaries, if we are directly responsible or liable as obligor or guarantor,</w:t>
      </w:r>
    </w:p>
    <w:p>
      <w:pPr>
        <w:spacing w:after="0" w:line="162"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Agrify or any significant subsidiary of Agrify;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When we use the term “significant subsidiary,” we refer to the meaning ascribed to such term in Rule 1-02 of Regulation S-X promulgated under the Securities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89" w:lineRule="exact"/>
        <w:rPr>
          <w:sz w:val="20"/>
          <w:szCs w:val="20"/>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any premium or make-whole amount, or interest;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176"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rate or amount of interest on, or any premium or make-whole amount payable on redemption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any premium or make-whole amount,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such debt security;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16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certificated form, provided that such action shall not adversely affect the interests of the holders of the debt securities of any series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76"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by any affiliate of ours or of such other obligor shall be disregarded.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8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Agrify and its subsidiaries. As a result of these subordination provisions, in the event of a distribution of assets upon insolvency, holders of subordinated debt securities may recover less, ratably, than our general creditors.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 Defeasance and Covenant Defeasance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jc w:val="both"/>
        <w:ind w:left="660" w:hanging="328"/>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225"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225"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Agrify will be set forth in the applicable prospectus supplement. The terms will include whether the debt securities are convertible into shares of common stock or other securities of Agrify,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Recourse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financial and other specific terms of your series will be described in the applicable prospectus supplement.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Nevada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 i.e., book-entry —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62" w:lineRule="exact"/>
        <w:rPr>
          <w:sz w:val="20"/>
          <w:szCs w:val="20"/>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660" w:hanging="328"/>
        <w:spacing w:after="0" w:line="25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Burns &amp; Levinson LLP, Boston, Massachusetts and Sherman &amp; Howard L.L.C., Las Vegas, Nevada. Any underwriters will also be advised about the validity of the securities and other legal matters by their own counsel, which will be named in the prospectus supplement.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Certain information in the registration statement has been omitted from this prospectus in accordance with the rules of the SEC.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Agrify Corporation, 76 Treble Cove Road, Building 3, Unit 3, Billerica, MA 01862, or by telephone request to (617) 896-5243. Our website is located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applicable prospectus supplement. Our website address is included in this prospectus as an inactive textual reference only.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from our definitive proxy statement on </w:t>
      </w:r>
      <w:hyperlink r:id="rId10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auto"/>
          </w:rPr>
          <w:t xml:space="preserve">Our Current Reports on Form 8-K filed with the SEC </w:t>
        </w:r>
        <w:r>
          <w:rPr>
            <w:rFonts w:ascii="Times New Roman" w:cs="Times New Roman" w:eastAsia="Times New Roman" w:hAnsi="Times New Roman"/>
            <w:sz w:val="18"/>
            <w:szCs w:val="18"/>
            <w:u w:val="single" w:color="auto"/>
            <w:color w:val="0000EE"/>
          </w:rPr>
          <w:t>October 5, 2021</w:t>
        </w:r>
        <w:r>
          <w:rPr>
            <w:rFonts w:ascii="Times New Roman" w:cs="Times New Roman" w:eastAsia="Times New Roman" w:hAnsi="Times New Roman"/>
            <w:sz w:val="18"/>
            <w:szCs w:val="18"/>
            <w:color w:val="auto"/>
          </w:rPr>
          <w:t xml:space="preserve"> (and the amendment thereto filed with the SEC on </w:t>
        </w:r>
        <w:r>
          <w:rPr>
            <w:rFonts w:ascii="Times New Roman" w:cs="Times New Roman" w:eastAsia="Times New Roman" w:hAnsi="Times New Roman"/>
            <w:sz w:val="18"/>
            <w:szCs w:val="18"/>
            <w:u w:val="single" w:color="auto"/>
            <w:color w:val="0000EE"/>
          </w:rPr>
          <w:t>December 17,</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January 5, 2022</w:t>
        </w:r>
      </w:hyperlink>
      <w:hyperlink r:id="rId10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January 26, 2022</w:t>
        </w:r>
      </w:hyperlink>
      <w:hyperlink r:id="rId10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February 2, 2022</w:t>
        </w:r>
      </w:hyperlink>
      <w:hyperlink r:id="rId10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March 18, 2022</w:t>
        </w:r>
      </w:hyperlink>
      <w:hyperlink r:id="rId10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April 12, 2022</w:t>
        </w:r>
      </w:hyperlink>
      <w:hyperlink r:id="rId10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June 9, 2022</w:t>
        </w:r>
      </w:hyperlink>
      <w:hyperlink r:id="rId108">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7">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80"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7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1546225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3234055</wp:posOffset>
            </wp:positionH>
            <wp:positionV relativeFrom="page">
              <wp:posOffset>586105</wp:posOffset>
            </wp:positionV>
            <wp:extent cx="1054100" cy="7886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800" w:right="1819"/>
        <w:spacing w:after="0" w:line="268" w:lineRule="auto"/>
        <w:rPr>
          <w:sz w:val="20"/>
          <w:szCs w:val="20"/>
          <w:color w:val="auto"/>
        </w:rPr>
      </w:pPr>
      <w:r>
        <w:rPr>
          <w:rFonts w:ascii="Times New Roman" w:cs="Times New Roman" w:eastAsia="Times New Roman" w:hAnsi="Times New Roman"/>
          <w:sz w:val="18"/>
          <w:szCs w:val="18"/>
          <w:b w:val="1"/>
          <w:bCs w:val="1"/>
          <w:color w:val="auto"/>
        </w:rPr>
        <w:t>11,884,615 Shares of Common Stock Pre-Funded Warrants to Purchase 1,500,000 Shares of Common Stock Warrants to Purchase 26,769,230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Canaccord Genuity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endash "/>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lvl w:ilvl="1">
      <w:lvlJc w:val="left"/>
      <w:lvlText w:val="(%2)"/>
      <w:numFmt w:val="lowerRoman"/>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jpe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jpeg"/><Relationship Id="rId112" Type="http://schemas.openxmlformats.org/officeDocument/2006/relationships/image" Target="media/image84.png"/><Relationship Id="rId39" Type="http://schemas.openxmlformats.org/officeDocument/2006/relationships/hyperlink" Target="http://www.sec.gov/Archives/edgar/data/1800637/000121390022016936/f10k2021_agrifycorp.htm" TargetMode="External"/><Relationship Id="rId40" Type="http://schemas.openxmlformats.org/officeDocument/2006/relationships/hyperlink" Target="http://www.sec.gov/Archives/edgar/data/1800637/000121390022027256/f10q0322_agrifycorp.htm" TargetMode="External"/><Relationship Id="rId41" Type="http://schemas.openxmlformats.org/officeDocument/2006/relationships/hyperlink" Target="http://www.sec.gov/ix?doc=/Archives/edgar/data/1800637/000121390022048227/f10q0622_agrifycorp.htm" TargetMode="External"/><Relationship Id="rId42" Type="http://schemas.openxmlformats.org/officeDocument/2006/relationships/hyperlink" Target="http://www.sec.gov/ix?doc=/Archives/edgar/data/0001800637/000121390022072289/f10q0922_agrifycorp.htm" TargetMode="External"/><Relationship Id="rId43" Type="http://schemas.openxmlformats.org/officeDocument/2006/relationships/hyperlink" Target="http://www.sec.gov/Archives/edgar/data/1800637/000121390022022512/def14a0422_agrify.htm" TargetMode="External"/><Relationship Id="rId44" Type="http://schemas.openxmlformats.org/officeDocument/2006/relationships/hyperlink" Target="http://www.sec.gov/Archives/edgar/data/1800637/000121390022000601/ea153490-8k_agrifycorp.htm" TargetMode="External"/><Relationship Id="rId45" Type="http://schemas.openxmlformats.org/officeDocument/2006/relationships/hyperlink" Target="http://www.sec.gov/Archives/edgar/data/1800637/000121390022003773/ea154520-8k_agrifycorp.htm" TargetMode="External"/><Relationship Id="rId46" Type="http://schemas.openxmlformats.org/officeDocument/2006/relationships/hyperlink" Target="http://www.sec.gov/Archives/edgar/data/1800637/000121390022004925/ea154783-8k_agrifycorp.htm" TargetMode="External"/><Relationship Id="rId47" Type="http://schemas.openxmlformats.org/officeDocument/2006/relationships/hyperlink" Target="http://www.sec.gov/Archives/edgar/data/1800637/000121390022013613/ea157101-8k_agrifycorp.htm" TargetMode="External"/><Relationship Id="rId48" Type="http://schemas.openxmlformats.org/officeDocument/2006/relationships/hyperlink" Target="http://www.sec.gov/Archives/edgar/data/1800637/000121390022019437/ea158347-8k_agrifycorp.htm" TargetMode="External"/><Relationship Id="rId49" Type="http://schemas.openxmlformats.org/officeDocument/2006/relationships/hyperlink" Target="http://www.sec.gov/Archives/edgar/data/1800637/000121390022032014/ea161353-8k_agrify.htm" TargetMode="External"/><Relationship Id="rId50" Type="http://schemas.openxmlformats.org/officeDocument/2006/relationships/hyperlink" Target="http://www.sec.gov/ix?doc=/Archives/edgar/data/1800637/000121390022039420/ea162872-8k_agrify.htm" TargetMode="External"/><Relationship Id="rId51" Type="http://schemas.openxmlformats.org/officeDocument/2006/relationships/hyperlink" Target="http://www.sec.gov/ix?doc=/Archives/edgar/data/0001800637/000121390022046373/ea164086-8k_agrify.htm" TargetMode="External"/><Relationship Id="rId52" Type="http://schemas.openxmlformats.org/officeDocument/2006/relationships/hyperlink" Target="http://www.sec.gov/ix?doc=/Archives/edgar/data/0001800637/000121390022049494/ea164681-8k_agrify.htm" TargetMode="External"/><Relationship Id="rId53" Type="http://schemas.openxmlformats.org/officeDocument/2006/relationships/hyperlink" Target="http://www.sec.gov/ix?doc=/Archives/edgar/data/0001800637/000121390022062512/ea166855-8k_agrifycorp.htm" TargetMode="External"/><Relationship Id="rId54" Type="http://schemas.openxmlformats.org/officeDocument/2006/relationships/hyperlink" Target="http://www.sec.gov/ix?doc=/Archives/edgar/data/0001800637/000121390022064592/ea167238-8k_agrifycorp.htm" TargetMode="External"/><Relationship Id="rId55" Type="http://schemas.openxmlformats.org/officeDocument/2006/relationships/hyperlink" Target="http://www.sec.gov/ix?doc=/Archives/edgar/data/0001800637/000121390022066781/ea167684-8k_agrifycorp.htm" TargetMode="External"/><Relationship Id="rId56" Type="http://schemas.openxmlformats.org/officeDocument/2006/relationships/hyperlink" Target="http://www.sec.gov/ix?doc=/Archives/edgar/data/0001800637/000121390022067379/ea167783-8k_agrifycorp.htm" TargetMode="External"/><Relationship Id="rId57" Type="http://schemas.openxmlformats.org/officeDocument/2006/relationships/hyperlink" Target="http://www.sec.gov/Archives/edgar/data/1800637/000121390021004285/ea133941-8a12b_agrifycorp.htm" TargetMode="External"/><Relationship Id="rId107" Type="http://schemas.openxmlformats.org/officeDocument/2006/relationships/hyperlink" Target="https://www.sec.gov/Archives/edgar/data/1800637/000121390022022512/def14a0422_agrify.htm" TargetMode="External"/><Relationship Id="rId108" Type="http://schemas.openxmlformats.org/officeDocument/2006/relationships/hyperlink" Target="http://www.sec.gov/Archives/edgar/data/1800637/000162828021025312/agfy-202109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2022-12-16T16:45:07Z</dcterms:created>
  <dcterms:modified xsi:type="dcterms:W3CDTF">2022-12-16T16:45:07Z</dcterms:modified>
</cp:coreProperties>
</file>