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8,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Ticker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Thomas Massie as President and Chief Operating Officer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8, 2021, the Board of Directors (the “Board”) of Agrify Corporation (the “Company”) appointed Thomas Massie as President and Chief Operating Officer, effective as of November 10, 2021. Robert Harrison, who previously served as the Company’s COO, became Senior Vice President, Manufacturing Operations of the Company.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Mr. Thomas Massie, age 58, has served as a member of the Board since June 24, 2020. Since 2016, Mr. Massie has been a senior partner with WAVE Equity Partners, a private equity firm that accelerates market-validated companies solving some of the world’s greatest challenges in essential markets for water, waste, energy and food. Mr. Massie has worked closely with WAVE portfolio companies, driving rapid growth and organizational excellence best practices. From 2016 to 2021, Mr. Massie served as the chief executive officer of Topline Performance Solutions, Inc. (“Topline”), a management consulting firm based in Woburn, MA, and remains a member of Topline’s board of directors. In addition, Mr. Massie is on the board of directors of Living Greens Farm, an early-stage development company specializing in indoor vertical farming.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an employment agreement dated as of November 10, 2021, by and between the Company and Mr. Massie, Mr. Massie’s employment shall be for an initial term of two years, subject to earlier termination, and he shall receive an annual base salary of $300,000 and be eligible to participate in all employee benefit programs sponsored by the Company. Mr. Massie shall also be eligible to receive a discretionary performance-based bonus of up to $300,000 with respect to each fiscal year of the Company, based on the mutually agreed upon goals that will be set by the Company’s Chief Executive Officer and the compensation committee, and shall be issued 200,000 restricted stock units, subject to an increase in the number of shares of common stock authorized for issuance under the Company’s 2020 Omnibus Equity Incentive Plan (the “Plan”). The Company shall pay or reimburse Mr. Massie for reasonable expenses incurred or paid in the performance of his duties in accordance with the Company’s expense reimbursement policies. If Mr. Massie’s employment with the Company is terminated for any reason, he shall be entitled to (i) his annual base salary through the termination date, (ii) any accrued unused paid time off, (iii) any vested benefit due and owing under any employee benefit plan and (iv) any unreimbursed business expenses. If Mr. Massie’s employment is terminated by the Company without cause or by Mr. Massie for good reason, he shall be entitled to receive the following additional severance benefits: (i) the greater of (A) 100% of his annual base salary and his projected bonus for such fiscal year and (B) $1,000,000, (ii) immediate vesting of all his issued but unvested options or restricted stock units and (iii) continued participation in the Company’s group health insurance benefits for a period of at least 12 months.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arrangement or understanding between Mr. Massie and any other person pursuant to which Mr. Massie was appointed as President and Chief Operating Officer of the Company, and other than as disclosed in this Form 8-K, Mr. Massie has not had an interest in any transaction since the beginning of the Company’s last fiscal year, or any currently proposed transaction, that requires disclosure pursuant to Item 404(a) of Regulation S-K. There are no family relationships among any of our directors or executive officers and Mr. Massie.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Timothy Oakes as Chief Financial Officer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November 8, 2021, the Board appointed Timothy Oakes as Chief Financial Officer, effective as of November 10, 2021. Niv Krikov, the Company’s former CFO, will remain an advisor for the next several months to assist with the transition and support the Company’s other initiatives.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Timothy Oakes, age 53, served as a member of the Board from December 17, 2020 until November 10, 2021, when he became the Company’s Chief Financial Officer. Since March 2021, Mr. Oakes has served as the interim Chief Financial Officer of Living Greens Farm, an early-stage development company specializing in indoor vertical farming. From September 2019 to March 2021, Mr. Oakes served as the chief accounting officer of Endurance International Group Holdings, Inc. (“Endurance”), a global provider of cloud-based platform solutions designed to help small and medium-sized businesses succeed online. Endurance was a public company (Nasdaq: EIGI), and in February 2021, was acquired by Clearlake Capital.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6"/>
          <w:szCs w:val="16"/>
          <w:color w:val="auto"/>
        </w:rPr>
        <w:t>Pursuant to the terms of an employment agreement dated as of November 10, 2021, by and between the Company and Mr. Oakes, Mr. Oakes shall receive an annual base salary of $250,000 and be eligible to participate in all employee benefit programs sponsored by the Company. Mr. Oakes shall also be eligible to receive a discretionary performance-based bonus of up to $200,000 with respect to each fiscal year of the Company, based on the mutually agreed upon goals that will be set by the Company’s Chief Executive Officer and the compensation committee, and shall be issued 125,000 restricted stock units, subject to an increase in the number of shares of common stock authorized for issuance under the Plan. The Company shall pay or reimburse Mr. Oakes for reasonable expenses incurred or paid in the performance of his duties in accordance with the Company’s expense reimbursement policies. If Mr. Oakes’ employment with the Company is terminated for any reason, he shall be entitled to (i) his annual base salary through the termination date, (ii) any accrued unused paid time off, (iii) any vested benefit due and owing under any employee benefit plan and (iv) any unreimbursed business expenses. If Mr. Oakes’ employment is terminated by the Company without cause or by Mr. Oakes for good reason, he shall be entitled to receive the following additional severance benefits: (i) 100% of his annual base salary and his projected bonus for such fiscal year, (ii) immediate vesting of all his issued but unvested options or restricted stock units and (iii) continued participation in the Company’s group health insurance benefits for a period of at least 12 months.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arrangement or understanding between Mr. Oakes and any other person pursuant to which Mr. Oakes was appointed as Chief Financial Officer of the Company, and other than as disclosed in this Form 8-K, Mr. Oakes has not had an interest in any transaction since the beginning of the Company’s last fiscal year, or any currently proposed transaction, that requires disclosure pursuant to Item 404(a) of Regulation S-K. There are no family relationships among any of our directors or executive officers and Mr. Oakes.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10, 2021, the Company issued a press release announcing the appointment of Messrs. Massie and Oakes as executive officers. A copy of the release is attached as Exhibit 99.1.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2021, the compensation committee approved Mr. Chang’s compensation for fiscal year 2022. Mr. Chang will receive an annual base salary of $350,000 and be eligible to receive a discretionary performance-based bonus of up to $400,000 that will be determined and paid at the sole discretion of the Company and may be based on a variety of factors, including his individual performance and the overall performance of the Company. In addition, Mr. Chang will be issued 350,000 restricted stock units, subject an increase in the number of shares of common stock authorized for issuance under the Plan.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compensation committee approved the issuance of restricted stock units to the Company’s independent directors as compensation for fiscal year 2022. Each independent directors will be issued 20,000 restricted stock units, subject to an increase in the number of shares of common stock authorized for issuance under the Plan.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management changes discussed above, the Board reconstituted the composition of its existing standing committees: audit committee; compensation committee; and nominating and corporate governance committee; and established an M&amp;A committee.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now consists of Krishnan Varier and Timothy Mahoney, with Mr. Varier serving as the chairman. The Board has affirmatively determined that Messrs. Varier and Mahoney meet the definition of “independent director” for purposes of serving on an audit committee under Rule 10A-3 and Nasdaq rules. The Board has determined that Mr. Varier qualifies as an “audit committee financial expert,” as such term is defined in Item 407(d)(5)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consists of Timothy Mahoney and Stuart Wilcox, with Mr. Mahoney serving as the chairman.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consists of Stuart Wilcox, Timothy Mahoney and Krishnan Varier, with Mr. Wilcox serving as the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M&amp;A committee is to assist the Board to evaluate related-party acquisitions. The M&amp;A committee consists of Timothy Mahoney, Krishnan Varier and Stuart Wilcox, with Mr. Mahoney serving as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will continue to evaluate the composition of its committees and make further changes as necessary. The Board may also establish other committees as it deems necessary or appropriate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Employment Agreement, dated as of November 10, 2021, between the Registrant and Thomas Massie</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tcPr>
          <w:p>
            <w:pPr>
              <w:spacing w:after="0"/>
              <w:rPr>
                <w:sz w:val="15"/>
                <w:szCs w:val="15"/>
                <w:color w:val="auto"/>
              </w:rPr>
            </w:pPr>
          </w:p>
        </w:tc>
        <w:tc>
          <w:tcPr>
            <w:tcW w:w="7340" w:type="dxa"/>
            <w:vAlign w:val="bottom"/>
            <w:tcBorders>
              <w:top w:val="single" w:sz="8" w:color="0000EE"/>
            </w:tcBorders>
            <w:gridSpan w:val="3"/>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Employment Agreement, dated as of November 10, 2021, between the Registrant and Timothy Oakes</w:t>
              </w:r>
            </w:hyperlink>
          </w:p>
        </w:tc>
        <w:tc>
          <w:tcPr>
            <w:tcW w:w="276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Press Release dated November 10,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87"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but not filed.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November 15, 2021</w:t>
            </w:r>
          </w:p>
        </w:tc>
        <w:tc>
          <w:tcPr>
            <w:tcW w:w="360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Oakes</w:t>
            </w:r>
          </w:p>
        </w:tc>
      </w:tr>
      <w:tr>
        <w:trPr>
          <w:trHeight w:val="202"/>
        </w:trPr>
        <w:tc>
          <w:tcPr>
            <w:tcW w:w="3720" w:type="dxa"/>
            <w:vAlign w:val="bottom"/>
          </w:tcPr>
          <w:p>
            <w:pPr>
              <w:spacing w:after="0"/>
              <w:rPr>
                <w:sz w:val="17"/>
                <w:szCs w:val="17"/>
                <w:color w:val="auto"/>
              </w:rPr>
            </w:pPr>
          </w:p>
        </w:tc>
        <w:tc>
          <w:tcPr>
            <w:tcW w:w="3600" w:type="dxa"/>
            <w:vAlign w:val="bottom"/>
          </w:tcPr>
          <w:p>
            <w:pPr>
              <w:ind w:left="30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Oakes</w:t>
            </w:r>
          </w:p>
        </w:tc>
      </w:tr>
      <w:tr>
        <w:trPr>
          <w:trHeight w:val="230"/>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10, 2021 between Agrify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Thomas Massie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57" w:lineRule="auto"/>
        <w:tabs>
          <w:tab w:leader="none" w:pos="82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 Title; Duties and Location</w:t>
      </w:r>
      <w:r>
        <w:rPr>
          <w:rFonts w:ascii="Arial" w:cs="Arial" w:eastAsia="Arial" w:hAnsi="Arial"/>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President and Chief Operating Officer and shall report exclusively and directly to the to the Chief Executive Officer of the Company. Executive shall perform the duties consistent with Executive’s title and position and such other duties commensurate with such position and title as shall be specified or designated by the Company from time to time.</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w:t>
      </w:r>
      <w:r>
        <w:rPr>
          <w:rFonts w:ascii="Arial" w:cs="Arial" w:eastAsia="Arial" w:hAnsi="Arial"/>
          <w:sz w:val="17"/>
          <w:szCs w:val="17"/>
          <w:color w:val="auto"/>
        </w:rPr>
        <w:t>. Executive’s employment hereunder shall commence on November 10, 2021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shall continue for a two-year period thereafter (the “</w:t>
      </w:r>
      <w:r>
        <w:rPr>
          <w:rFonts w:ascii="Arial" w:cs="Arial" w:eastAsia="Arial" w:hAnsi="Arial"/>
          <w:sz w:val="17"/>
          <w:szCs w:val="17"/>
          <w:u w:val="single" w:color="auto"/>
          <w:color w:val="auto"/>
        </w:rPr>
        <w:t>Initial Term</w:t>
      </w:r>
      <w:r>
        <w:rPr>
          <w:rFonts w:ascii="Arial" w:cs="Arial" w:eastAsia="Arial" w:hAnsi="Arial"/>
          <w:sz w:val="17"/>
          <w:szCs w:val="17"/>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one-year periods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subject to earlier termination exclusively as provided for in Section 6 below. For the purposes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at any given time shall mean the Initial Term as it may have been extended by one or more Renewal Terms as of such time (without regard to whether Executive’s employment is terminated prior to the end of such Term), and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means the period of Executive’s employment hereunder (regardless of whether such period ends prior to the end of the Term and regardless of the reason for Executive’s termination of employment hereunder).</w:t>
      </w:r>
    </w:p>
    <w:p>
      <w:pPr>
        <w:spacing w:after="0" w:line="178" w:lineRule="exact"/>
        <w:rPr>
          <w:sz w:val="20"/>
          <w:szCs w:val="20"/>
          <w:color w:val="auto"/>
        </w:rPr>
      </w:pPr>
    </w:p>
    <w:p>
      <w:pPr>
        <w:ind w:firstLine="656"/>
        <w:spacing w:after="0" w:line="277" w:lineRule="auto"/>
        <w:tabs>
          <w:tab w:leader="none" w:pos="85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Salary</w:t>
      </w:r>
      <w:r>
        <w:rPr>
          <w:rFonts w:ascii="Arial" w:cs="Arial" w:eastAsia="Arial" w:hAnsi="Arial"/>
          <w:sz w:val="18"/>
          <w:szCs w:val="18"/>
          <w:color w:val="auto"/>
        </w:rPr>
        <w:t>. Executive shall receive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firstLine="1296"/>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Discretionary Bonus</w:t>
      </w:r>
      <w:r>
        <w:rPr>
          <w:rFonts w:ascii="Arial" w:cs="Arial" w:eastAsia="Arial" w:hAnsi="Arial"/>
          <w:sz w:val="16"/>
          <w:szCs w:val="16"/>
          <w:color w:val="auto"/>
        </w:rPr>
        <w:t>. Executive shall be eligible to receive a discretionary performance-based bonus of up to $300,000 (a “</w:t>
      </w:r>
      <w:r>
        <w:rPr>
          <w:rFonts w:ascii="Arial" w:cs="Arial" w:eastAsia="Arial" w:hAnsi="Arial"/>
          <w:sz w:val="16"/>
          <w:szCs w:val="16"/>
          <w:u w:val="single" w:color="auto"/>
          <w:color w:val="auto"/>
        </w:rPr>
        <w:t>Discretionary Bonus</w:t>
      </w:r>
      <w:r>
        <w:rPr>
          <w:rFonts w:ascii="Arial" w:cs="Arial" w:eastAsia="Arial" w:hAnsi="Arial"/>
          <w:sz w:val="16"/>
          <w:szCs w:val="16"/>
          <w:color w:val="auto"/>
        </w:rPr>
        <w:t>”) with respect to each fiscal year of the Company (a “</w:t>
      </w:r>
      <w:r>
        <w:rPr>
          <w:rFonts w:ascii="Arial" w:cs="Arial" w:eastAsia="Arial" w:hAnsi="Arial"/>
          <w:sz w:val="16"/>
          <w:szCs w:val="16"/>
          <w:u w:val="single" w:color="auto"/>
          <w:color w:val="auto"/>
        </w:rPr>
        <w:t>Fiscal Year</w:t>
      </w:r>
      <w:r>
        <w:rPr>
          <w:rFonts w:ascii="Arial" w:cs="Arial" w:eastAsia="Arial" w:hAnsi="Arial"/>
          <w:sz w:val="16"/>
          <w:szCs w:val="16"/>
          <w:color w:val="auto"/>
        </w:rPr>
        <w:t>”) based on the mutually agreed upon goals that will be set by the Company Chief Executive Officer and the Board of Directors Compensation Committee. The goals will be realistic and attainable and shall be mutually agreed to by the Executive. Based on achieving the agreed upon goals, the annual cash bonus shall be paid in installments of $75,000 on April 30, July 30, October 30, and January 30. The Directors may from time to time elect to pay any additional bonuses based on performance that exceeds the mutually agreed upon goals. To be eligible for a Discretionary Bonus, Executive must be employed by the Company at the time such Bonus is paid.</w:t>
      </w:r>
    </w:p>
    <w:p>
      <w:pPr>
        <w:spacing w:after="0" w:line="16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Annual Compensation Review and Adjustment</w:t>
      </w:r>
      <w:r>
        <w:rPr>
          <w:rFonts w:ascii="Arial" w:cs="Arial" w:eastAsia="Arial" w:hAnsi="Arial"/>
          <w:sz w:val="17"/>
          <w:szCs w:val="17"/>
          <w:color w:val="auto"/>
        </w:rPr>
        <w:t>. The Company agrees that by February 1st of every calendar year,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the Compensation Committee of the Board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have reviewed and adjusted the compensation of Executive based on the results of a report of an independent compensation consultant to be engaged by the Board or the Compensation Committee, at the Company’s sole expense. The results of such report shall take into account a number of factors the consultant deems relevant, including but not limited to an analysis of at least three presidents of other comparable publicly held companies of similar size, similar markets, and who perform their duties in the same geographical location that Executive performs his duties.</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Subject to the terms of the Company’s 2020 Omnibus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Executive shall be issued promptly following the Commencement Date 200,000 restricted stock units pursuant to the Plan. In addition, the Compensation Committee shall grant additional restricted stock units (such number to be determined in the sole discretion of the Compensation Committee taking into account input from the Company’s Chief Executive Officer) to Executive for each fiscal year during the Employment Period.</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Benefits</w:t>
      </w:r>
      <w:r>
        <w:rPr>
          <w:rFonts w:ascii="Arial" w:cs="Arial" w:eastAsia="Arial" w:hAnsi="Arial"/>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President and Chief Operating Officer that may not be made available to other senior executives of the Company.</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Executive shall be entitled to four (4) weeks of paid vacation, as well as sick days and any other paid 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Required Taxes and Withholdings</w:t>
      </w:r>
      <w:r>
        <w:rPr>
          <w:rFonts w:ascii="Arial" w:cs="Arial" w:eastAsia="Arial" w:hAnsi="Arial"/>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56"/>
        <w:spacing w:after="0" w:line="286" w:lineRule="auto"/>
        <w:tabs>
          <w:tab w:leader="none" w:pos="85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During the Employment Period, Executive shall (i) in all respects conform to and comply with the lawful directions and instructions given to Executive by the Company; (ii) subject to the proviso below, devote the majority of the Executive’s productive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below in this Section 4; and (vi) 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10.3(f) below)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 The Company recognizes and approves of the Executives involvement as a Senior Partner of WAVE Equity Partners, a member of the Board of Directors of Living Greens Farm, a member of the Board of Directors of Warriors A Team, and a principle owner of Topline Performance Solutions.</w:t>
      </w:r>
    </w:p>
    <w:p>
      <w:pPr>
        <w:spacing w:after="0" w:line="170" w:lineRule="exact"/>
        <w:rPr>
          <w:rFonts w:ascii="Arial" w:cs="Arial" w:eastAsia="Arial" w:hAnsi="Arial"/>
          <w:sz w:val="16"/>
          <w:szCs w:val="16"/>
          <w:color w:val="auto"/>
        </w:rPr>
      </w:pPr>
    </w:p>
    <w:p>
      <w:pPr>
        <w:jc w:val="both"/>
        <w:ind w:firstLine="656"/>
        <w:spacing w:after="0" w:line="257" w:lineRule="auto"/>
        <w:tabs>
          <w:tab w:leader="none" w:pos="8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Disability</w:t>
      </w:r>
      <w:r>
        <w:rPr>
          <w:rFonts w:ascii="Arial" w:cs="Arial" w:eastAsia="Arial" w:hAnsi="Arial"/>
          <w:sz w:val="17"/>
          <w:szCs w:val="17"/>
          <w:color w:val="auto"/>
        </w:rPr>
        <w:t>. The Company may, subject to applicable law, terminate Executive’s employment due to a Disability by providing written notice of such termination and its effective date to Executive.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 Cause by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9" w:lineRule="auto"/>
        <w:tabs>
          <w:tab w:leader="none" w:pos="219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Confidentiality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for Cause, Executive shall be entitled to a reasonable opportunity to be heard by the Board prior to the effective date of such termination.</w:t>
      </w:r>
    </w:p>
    <w:p>
      <w:pPr>
        <w:spacing w:after="0" w:line="17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 by Executive for Good Reason</w:t>
      </w:r>
      <w:r>
        <w:rPr>
          <w:rFonts w:ascii="Arial" w:cs="Arial" w:eastAsia="Arial" w:hAnsi="Arial"/>
          <w:sz w:val="17"/>
          <w:szCs w:val="17"/>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6.2 above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failure by the Company to conduct an annual compensation review and adjustment in accordance with Section 3.3 above; or (v) other material breach by the Company of a material provision of this Agreement or any other agreement between the Company and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Without Cause or Without Good Reason</w:t>
      </w:r>
      <w:r>
        <w:rPr>
          <w:rFonts w:ascii="Arial" w:cs="Arial" w:eastAsia="Arial" w:hAnsi="Arial"/>
          <w:sz w:val="17"/>
          <w:szCs w:val="17"/>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2.1 above.</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 Executive’s Base Salary through and including the effective date of Executive’s termination of employment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10.3(f) below), in addition to the Accrued Obligations, Executive shall be entitled to receive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and in accordance with the terms of this Section 7.2.</w:t>
      </w:r>
    </w:p>
    <w:p>
      <w:pPr>
        <w:spacing w:after="0" w:line="188" w:lineRule="exact"/>
        <w:rPr>
          <w:sz w:val="20"/>
          <w:szCs w:val="20"/>
          <w:color w:val="auto"/>
        </w:rPr>
      </w:pPr>
    </w:p>
    <w:p>
      <w:pPr>
        <w:ind w:left="2200" w:hanging="248"/>
        <w:spacing w:after="0"/>
        <w:tabs>
          <w:tab w:leader="none" w:pos="220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Severance Benefits shall consist of the payments and benefits provided by this Section 7.2(a).</w:t>
      </w:r>
    </w:p>
    <w:p>
      <w:pPr>
        <w:spacing w:after="0" w:line="225" w:lineRule="exact"/>
        <w:rPr>
          <w:rFonts w:ascii="Arial" w:cs="Arial" w:eastAsia="Arial" w:hAnsi="Arial"/>
          <w:sz w:val="18"/>
          <w:szCs w:val="18"/>
          <w:color w:val="auto"/>
        </w:rPr>
      </w:pPr>
    </w:p>
    <w:p>
      <w:pPr>
        <w:jc w:val="both"/>
        <w:ind w:firstLine="2600"/>
        <w:spacing w:after="0" w:line="285" w:lineRule="auto"/>
        <w:tabs>
          <w:tab w:leader="none" w:pos="2807" w:val="left"/>
        </w:tabs>
        <w:numPr>
          <w:ilvl w:val="2"/>
          <w:numId w:val="8"/>
        </w:numPr>
        <w:rPr>
          <w:rFonts w:ascii="Arial" w:cs="Arial" w:eastAsia="Arial" w:hAnsi="Arial"/>
          <w:sz w:val="16"/>
          <w:szCs w:val="16"/>
          <w:color w:val="auto"/>
        </w:rPr>
      </w:pPr>
      <w:r>
        <w:rPr>
          <w:rFonts w:ascii="Arial" w:cs="Arial" w:eastAsia="Arial" w:hAnsi="Arial"/>
          <w:sz w:val="16"/>
          <w:szCs w:val="16"/>
          <w:color w:val="auto"/>
        </w:rPr>
        <w:t>Executive shall receive payment of an amount (the “</w:t>
      </w:r>
      <w:r>
        <w:rPr>
          <w:rFonts w:ascii="Arial" w:cs="Arial" w:eastAsia="Arial" w:hAnsi="Arial"/>
          <w:sz w:val="16"/>
          <w:szCs w:val="16"/>
          <w:u w:val="single" w:color="auto"/>
          <w:color w:val="auto"/>
        </w:rPr>
        <w:t>Severance Pay</w:t>
      </w:r>
      <w:r>
        <w:rPr>
          <w:rFonts w:ascii="Arial" w:cs="Arial" w:eastAsia="Arial" w:hAnsi="Arial"/>
          <w:sz w:val="16"/>
          <w:szCs w:val="16"/>
          <w:color w:val="auto"/>
        </w:rPr>
        <w:t>”) equal to the greater of (A) one hundred percent (100%) of Executive’s Base Salary immediately prior to the Termination Date (or, if Good Reason was attributable to the Company’s failure to pay the minimum amount of Base Salary provided herein, such minimum amount) and Executive’s projected bonus for such fiscal year and (B) $1,000,000, payable from the day after the Termination Date through the last day of the Term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In addition, if the Company terminates Executive’s employment without Cause, or if Executive resigns for Good Reason, upon the occurrence of, or within thirty (30) days prior to, or within six</w:t>
      </w:r>
    </w:p>
    <w:p>
      <w:pPr>
        <w:spacing w:after="0" w:line="1" w:lineRule="exact"/>
        <w:rPr>
          <w:rFonts w:ascii="Arial" w:cs="Arial" w:eastAsia="Arial" w:hAnsi="Arial"/>
          <w:sz w:val="16"/>
          <w:szCs w:val="16"/>
          <w:color w:val="auto"/>
        </w:rPr>
      </w:pPr>
    </w:p>
    <w:p>
      <w:pPr>
        <w:jc w:val="both"/>
        <w:ind w:firstLine="8"/>
        <w:spacing w:after="0" w:line="251" w:lineRule="auto"/>
        <w:tabs>
          <w:tab w:leader="none" w:pos="28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months following, the effective date of a Change of Control, all issued but unvested options or restricted stock units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below). The first such payment shall include payment for any payroll dates between the Termination Date and the date of such payment.</w:t>
      </w:r>
    </w:p>
    <w:p>
      <w:pPr>
        <w:spacing w:after="0" w:line="197" w:lineRule="exact"/>
        <w:rPr>
          <w:rFonts w:ascii="Arial" w:cs="Arial" w:eastAsia="Arial" w:hAnsi="Arial"/>
          <w:sz w:val="18"/>
          <w:szCs w:val="18"/>
          <w:color w:val="auto"/>
        </w:rPr>
      </w:pPr>
    </w:p>
    <w:p>
      <w:pPr>
        <w:jc w:val="both"/>
        <w:ind w:firstLine="2600"/>
        <w:spacing w:after="0" w:line="289" w:lineRule="auto"/>
        <w:tabs>
          <w:tab w:leader="none" w:pos="2866"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For a period of twelve (12) months following the Termination Date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2600"/>
        <w:spacing w:after="0" w:line="263" w:lineRule="auto"/>
        <w:tabs>
          <w:tab w:leader="none" w:pos="2937" w:val="left"/>
        </w:tabs>
        <w:numPr>
          <w:ilvl w:val="3"/>
          <w:numId w:val="10"/>
        </w:numPr>
        <w:rPr>
          <w:rFonts w:ascii="Arial" w:cs="Arial" w:eastAsia="Arial" w:hAnsi="Arial"/>
          <w:sz w:val="18"/>
          <w:szCs w:val="18"/>
          <w:color w:val="auto"/>
        </w:rPr>
      </w:pPr>
      <w:r>
        <w:rPr>
          <w:rFonts w:ascii="Arial" w:cs="Arial" w:eastAsia="Arial" w:hAnsi="Arial"/>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83" w:lineRule="exact"/>
        <w:rPr>
          <w:rFonts w:ascii="Arial" w:cs="Arial" w:eastAsia="Arial" w:hAnsi="Arial"/>
          <w:sz w:val="18"/>
          <w:szCs w:val="18"/>
          <w:color w:val="auto"/>
        </w:rPr>
      </w:pPr>
    </w:p>
    <w:p>
      <w:pPr>
        <w:ind w:firstLine="2600"/>
        <w:spacing w:after="0" w:line="277" w:lineRule="auto"/>
        <w:tabs>
          <w:tab w:leader="none" w:pos="2923" w:val="left"/>
        </w:tabs>
        <w:numPr>
          <w:ilvl w:val="3"/>
          <w:numId w:val="10"/>
        </w:numPr>
        <w:rPr>
          <w:rFonts w:ascii="Arial" w:cs="Arial" w:eastAsia="Arial" w:hAnsi="Arial"/>
          <w:sz w:val="18"/>
          <w:szCs w:val="18"/>
          <w:color w:val="auto"/>
        </w:rPr>
      </w:pPr>
      <w:r>
        <w:rPr>
          <w:rFonts w:ascii="Arial" w:cs="Arial" w:eastAsia="Arial" w:hAnsi="Arial"/>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auto"/>
        </w:rPr>
      </w:pPr>
    </w:p>
    <w:p>
      <w:pPr>
        <w:jc w:val="both"/>
        <w:ind w:firstLine="8"/>
        <w:spacing w:after="0" w:line="271" w:lineRule="auto"/>
        <w:tabs>
          <w:tab w:leader="none" w:pos="23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Executive must so execute the Separation Agreement within 60 days following the Termination Date (or such shorter time as may be set forth in the Separation Agreement).</w:t>
      </w:r>
    </w:p>
    <w:p>
      <w:pPr>
        <w:spacing w:after="0" w:line="178" w:lineRule="exact"/>
        <w:rPr>
          <w:rFonts w:ascii="Arial" w:cs="Arial" w:eastAsia="Arial" w:hAnsi="Arial"/>
          <w:sz w:val="17"/>
          <w:szCs w:val="17"/>
          <w:color w:val="auto"/>
        </w:rPr>
      </w:pPr>
    </w:p>
    <w:p>
      <w:pPr>
        <w:jc w:val="both"/>
        <w:ind w:firstLine="656"/>
        <w:spacing w:after="0" w:line="269" w:lineRule="auto"/>
        <w:tabs>
          <w:tab w:leader="none" w:pos="828"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auto"/>
        </w:rPr>
      </w:pPr>
    </w:p>
    <w:p>
      <w:pPr>
        <w:jc w:val="both"/>
        <w:ind w:firstLine="656"/>
        <w:spacing w:after="0" w:line="273" w:lineRule="auto"/>
        <w:tabs>
          <w:tab w:leader="none" w:pos="841"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Confidentiality, Restrictive Covenant, Intellectual Property, Return of Company Property and Non-Disparagement</w:t>
      </w:r>
      <w:r>
        <w:rPr>
          <w:rFonts w:ascii="Arial" w:cs="Arial" w:eastAsia="Arial" w:hAnsi="Arial"/>
          <w:sz w:val="17"/>
          <w:szCs w:val="17"/>
          <w:color w:val="auto"/>
        </w:rPr>
        <w:t>. Company and Executive have entered into the Company’s current standard Invention Assignment, Restrictive Covenants, and Confidentiality Agreement (the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 copy of which is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Representations and Acknowledgements</w:t>
      </w:r>
      <w:r>
        <w:rPr>
          <w:rFonts w:ascii="Arial" w:cs="Arial" w:eastAsia="Arial" w:hAnsi="Arial"/>
          <w:sz w:val="17"/>
          <w:szCs w:val="17"/>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auto"/>
        </w:rPr>
        <w:t>Company Affiliates</w:t>
      </w:r>
      <w:r>
        <w:rPr>
          <w:rFonts w:ascii="Arial" w:cs="Arial" w:eastAsia="Arial" w:hAnsi="Arial"/>
          <w:sz w:val="17"/>
          <w:szCs w:val="17"/>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952"/>
        <w:spacing w:after="0" w:line="268" w:lineRule="auto"/>
        <w:tabs>
          <w:tab w:leader="none" w:pos="221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auto"/>
        </w:rPr>
      </w:pPr>
    </w:p>
    <w:p>
      <w:pPr>
        <w:jc w:val="both"/>
        <w:ind w:firstLine="1952"/>
        <w:spacing w:after="0" w:line="257" w:lineRule="auto"/>
        <w:tabs>
          <w:tab w:leader="none" w:pos="218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19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Non-Interference, Non-Competition and Non-Diversion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73" w:lineRule="auto"/>
        <w:tabs>
          <w:tab w:leader="none" w:pos="221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177" w:lineRule="exact"/>
        <w:rPr>
          <w:rFonts w:ascii="Arial" w:cs="Arial" w:eastAsia="Arial" w:hAnsi="Arial"/>
          <w:sz w:val="17"/>
          <w:szCs w:val="17"/>
          <w:color w:val="auto"/>
        </w:rPr>
      </w:pPr>
    </w:p>
    <w:p>
      <w:pPr>
        <w:jc w:val="both"/>
        <w:ind w:firstLine="1952"/>
        <w:spacing w:after="0" w:line="293" w:lineRule="auto"/>
        <w:tabs>
          <w:tab w:leader="none" w:pos="222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64" w:lineRule="exact"/>
        <w:rPr>
          <w:rFonts w:ascii="Arial" w:cs="Arial" w:eastAsia="Arial" w:hAnsi="Arial"/>
          <w:sz w:val="16"/>
          <w:szCs w:val="16"/>
          <w:color w:val="auto"/>
        </w:rPr>
      </w:pPr>
    </w:p>
    <w:p>
      <w:pPr>
        <w:jc w:val="both"/>
        <w:ind w:firstLine="1952"/>
        <w:spacing w:after="0" w:line="257" w:lineRule="auto"/>
        <w:tabs>
          <w:tab w:leader="none" w:pos="220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Non-Diversion</w:t>
      </w:r>
      <w:r>
        <w:rPr>
          <w:rFonts w:ascii="Arial" w:cs="Arial" w:eastAsia="Arial" w:hAnsi="Arial"/>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21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Employment Period and thereafter, except if Executive is terminated for Cause pursuant to Section 6.3 hereof,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21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10. Further, Executive hereby consents to the Company providing such notification to each such Service Recipient.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2180" w:hanging="228"/>
        <w:spacing w:after="0"/>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auto"/>
        </w:rPr>
      </w:pPr>
    </w:p>
    <w:p>
      <w:pPr>
        <w:jc w:val="both"/>
        <w:ind w:firstLine="2600"/>
        <w:spacing w:after="0" w:line="255" w:lineRule="auto"/>
        <w:tabs>
          <w:tab w:leader="none" w:pos="28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192" w:lineRule="exact"/>
        <w:rPr>
          <w:rFonts w:ascii="Arial" w:cs="Arial" w:eastAsia="Arial" w:hAnsi="Arial"/>
          <w:sz w:val="18"/>
          <w:szCs w:val="18"/>
          <w:color w:val="auto"/>
        </w:rPr>
      </w:pPr>
    </w:p>
    <w:p>
      <w:pPr>
        <w:ind w:firstLine="2600"/>
        <w:spacing w:after="0" w:line="308" w:lineRule="auto"/>
        <w:tabs>
          <w:tab w:leader="none" w:pos="287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auto"/>
        </w:rPr>
      </w:pPr>
    </w:p>
    <w:p>
      <w:pPr>
        <w:jc w:val="both"/>
        <w:ind w:firstLine="2600"/>
        <w:spacing w:after="0" w:line="275" w:lineRule="auto"/>
        <w:tabs>
          <w:tab w:leader="none" w:pos="2907"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auto"/>
        </w:rPr>
      </w:pPr>
    </w:p>
    <w:p>
      <w:pPr>
        <w:jc w:val="both"/>
        <w:ind w:firstLine="2600"/>
        <w:spacing w:after="0" w:line="255" w:lineRule="auto"/>
        <w:tabs>
          <w:tab w:leader="none" w:pos="29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auto"/>
        </w:rPr>
      </w:pPr>
    </w:p>
    <w:p>
      <w:pPr>
        <w:jc w:val="both"/>
        <w:ind w:firstLine="2600"/>
        <w:spacing w:after="0" w:line="263" w:lineRule="auto"/>
        <w:tabs>
          <w:tab w:leader="none" w:pos="28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83" w:lineRule="exact"/>
        <w:rPr>
          <w:rFonts w:ascii="Arial" w:cs="Arial" w:eastAsia="Arial" w:hAnsi="Arial"/>
          <w:sz w:val="18"/>
          <w:szCs w:val="18"/>
          <w:color w:val="auto"/>
        </w:rPr>
      </w:pPr>
    </w:p>
    <w:p>
      <w:pPr>
        <w:ind w:right="20" w:firstLine="2600"/>
        <w:spacing w:after="0" w:line="277" w:lineRule="auto"/>
        <w:tabs>
          <w:tab w:leader="none" w:pos="29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2960" w:hanging="360"/>
        <w:spacing w:after="0"/>
        <w:tabs>
          <w:tab w:leader="none" w:pos="2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any state in which the Company is doing business or in which it is contemplating to do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a then current business plan.</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Company’s Proprietary Rights</w:t>
      </w:r>
      <w:r>
        <w:rPr>
          <w:rFonts w:ascii="Arial" w:cs="Arial" w:eastAsia="Arial" w:hAnsi="Arial"/>
          <w:sz w:val="16"/>
          <w:szCs w:val="16"/>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auto"/>
        </w:rPr>
        <w:t>Moral Rights</w:t>
      </w:r>
      <w:r>
        <w:rPr>
          <w:rFonts w:ascii="Arial" w:cs="Arial" w:eastAsia="Arial" w:hAnsi="Arial"/>
          <w:sz w:val="16"/>
          <w:szCs w:val="16"/>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29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Cooperation Regarding Intellectual Property</w:t>
      </w:r>
      <w:r>
        <w:rPr>
          <w:rFonts w:ascii="Arial" w:cs="Arial" w:eastAsia="Arial" w:hAnsi="Arial"/>
          <w:sz w:val="16"/>
          <w:szCs w:val="16"/>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auto"/>
        </w:rPr>
        <w:t>Liens</w:t>
      </w:r>
      <w:r>
        <w:rPr>
          <w:rFonts w:ascii="Arial" w:cs="Arial" w:eastAsia="Arial" w:hAnsi="Arial"/>
          <w:sz w:val="16"/>
          <w:szCs w:val="16"/>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infringement</w:t>
      </w:r>
      <w:r>
        <w:rPr>
          <w:rFonts w:ascii="Arial" w:cs="Arial" w:eastAsia="Arial" w:hAnsi="Arial"/>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License to Prior Invention</w:t>
      </w:r>
      <w:r>
        <w:rPr>
          <w:rFonts w:ascii="Arial" w:cs="Arial" w:eastAsia="Arial" w:hAnsi="Arial"/>
          <w:sz w:val="17"/>
          <w:szCs w:val="17"/>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auto"/>
        </w:rPr>
        <w:t>Prior Invention</w:t>
      </w:r>
      <w:r>
        <w:rPr>
          <w:rFonts w:ascii="Arial" w:cs="Arial" w:eastAsia="Arial" w:hAnsi="Arial"/>
          <w:sz w:val="17"/>
          <w:szCs w:val="17"/>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84" w:lineRule="auto"/>
        <w:tabs>
          <w:tab w:leader="none" w:pos="97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189" w:lineRule="exact"/>
        <w:rPr>
          <w:rFonts w:ascii="Arial" w:cs="Arial" w:eastAsia="Arial" w:hAnsi="Arial"/>
          <w:sz w:val="18"/>
          <w:szCs w:val="18"/>
          <w:color w:val="auto"/>
        </w:rPr>
      </w:pPr>
    </w:p>
    <w:p>
      <w:pPr>
        <w:jc w:val="both"/>
        <w:ind w:firstLine="656"/>
        <w:spacing w:after="0" w:line="271" w:lineRule="auto"/>
        <w:tabs>
          <w:tab w:leader="none" w:pos="918"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78" w:lineRule="exact"/>
        <w:rPr>
          <w:rFonts w:ascii="Arial" w:cs="Arial" w:eastAsia="Arial" w:hAnsi="Arial"/>
          <w:sz w:val="17"/>
          <w:szCs w:val="17"/>
          <w:color w:val="auto"/>
        </w:rPr>
      </w:pPr>
    </w:p>
    <w:p>
      <w:pPr>
        <w:jc w:val="both"/>
        <w:ind w:firstLine="656"/>
        <w:spacing w:after="0" w:line="285" w:lineRule="auto"/>
        <w:tabs>
          <w:tab w:leader="none" w:pos="918"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acknowledges and agrees that Executive shall not disclose the documents referenced in this clause (y) except to Executive’s representatives who have a need to know such information.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85" w:lineRule="auto"/>
        <w:tabs>
          <w:tab w:leader="none" w:pos="93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rFonts w:ascii="Arial" w:cs="Arial" w:eastAsia="Arial" w:hAnsi="Arial"/>
          <w:sz w:val="16"/>
          <w:szCs w:val="16"/>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296"/>
        <w:spacing w:after="0" w:line="279" w:lineRule="auto"/>
        <w:rPr>
          <w:sz w:val="20"/>
          <w:szCs w:val="20"/>
          <w:color w:val="auto"/>
        </w:rPr>
      </w:pPr>
      <w:r>
        <w:rPr>
          <w:rFonts w:ascii="Arial" w:cs="Arial" w:eastAsia="Arial" w:hAnsi="Arial"/>
          <w:sz w:val="17"/>
          <w:szCs w:val="17"/>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16.3 Executive represents and agrees that the Executive has not and will not misappropriate any intellectual property belonging to any 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71" w:lineRule="exact"/>
        <w:rPr>
          <w:sz w:val="20"/>
          <w:szCs w:val="20"/>
          <w:color w:val="auto"/>
        </w:rPr>
      </w:pPr>
    </w:p>
    <w:p>
      <w:pPr>
        <w:jc w:val="both"/>
        <w:ind w:firstLine="656"/>
        <w:spacing w:after="0" w:line="268" w:lineRule="auto"/>
        <w:tabs>
          <w:tab w:leader="none" w:pos="91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Indemnification and Liability Insurance</w:t>
      </w:r>
      <w:r>
        <w:rPr>
          <w:rFonts w:ascii="Arial" w:cs="Arial" w:eastAsia="Arial" w:hAnsi="Arial"/>
          <w:sz w:val="17"/>
          <w:szCs w:val="17"/>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IRCA Compliance</w:t>
      </w:r>
      <w:r>
        <w:rPr>
          <w:rFonts w:ascii="Arial" w:cs="Arial" w:eastAsia="Arial" w:hAnsi="Arial"/>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7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Unless otherwise expressly 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is not subject to a “substantial risk of forfeiture”) for purposes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39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Assignability and Binding Effect</w:t>
      </w:r>
      <w:r>
        <w:rPr>
          <w:rFonts w:ascii="Arial" w:cs="Arial" w:eastAsia="Arial" w:hAnsi="Arial"/>
          <w:sz w:val="16"/>
          <w:szCs w:val="16"/>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296"/>
        <w:spacing w:after="0" w:line="263"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Right of Set-Off</w:t>
      </w:r>
      <w:r>
        <w:rPr>
          <w:rFonts w:ascii="Arial" w:cs="Arial" w:eastAsia="Arial" w:hAnsi="Arial"/>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Severability and Blue Penciling</w:t>
      </w:r>
      <w:r>
        <w:rPr>
          <w:rFonts w:ascii="Arial" w:cs="Arial" w:eastAsia="Arial" w:hAnsi="Arial"/>
          <w:sz w:val="17"/>
          <w:szCs w:val="17"/>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Choice of Law and Forum; Attorneys’ Fees</w:t>
      </w:r>
      <w:r>
        <w:rPr>
          <w:rFonts w:ascii="Arial" w:cs="Arial" w:eastAsia="Arial" w:hAnsi="Arial"/>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277" w:lineRule="auto"/>
        <w:tabs>
          <w:tab w:leader="none" w:pos="21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auto"/>
        </w:rPr>
      </w:pPr>
    </w:p>
    <w:p>
      <w:pPr>
        <w:ind w:left="2820" w:hanging="220"/>
        <w:spacing w:after="0"/>
        <w:tabs>
          <w:tab w:leader="none" w:pos="2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to Executive, to Executive’s address on the books and records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right="20" w:firstLine="2600"/>
        <w:spacing w:after="0" w:line="277" w:lineRule="auto"/>
        <w:tabs>
          <w:tab w:leader="none" w:pos="28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Company, to 76 Treble Cove Rd., Bldg. 3, Billerica, MA 01862, or at such other mailing address, email address or facsimile number as it may have furnished in writing to Executive.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2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Survival of Terms</w:t>
      </w:r>
      <w:r>
        <w:rPr>
          <w:rFonts w:ascii="Arial" w:cs="Arial" w:eastAsia="Arial" w:hAnsi="Arial"/>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Voluntary and Knowing Execution of Agreement</w:t>
      </w:r>
      <w:r>
        <w:rPr>
          <w:rFonts w:ascii="Arial" w:cs="Arial" w:eastAsia="Arial" w:hAnsi="Arial"/>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Thomas Massie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MASSIE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5" w:name="page26"/>
    <w:bookmarkEnd w:id="25"/>
    <w:p>
      <w:pPr>
        <w:ind w:left="1032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10, 2021 between Agrify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Timothy Oakes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57"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Employment; Title; Duties and Location</w:t>
      </w:r>
      <w:r>
        <w:rPr>
          <w:rFonts w:ascii="Arial" w:cs="Arial" w:eastAsia="Arial" w:hAnsi="Arial"/>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and shall report exclusively and directly to the to the Chief Executive Officer of the Company. Executive shall perform the duties consistent with Executive’s title and position and such other duties commensurate with such position and title as shall be specified or designated by the Company from time to time.</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w:t>
      </w:r>
      <w:r>
        <w:rPr>
          <w:rFonts w:ascii="Arial" w:cs="Arial" w:eastAsia="Arial" w:hAnsi="Arial"/>
          <w:sz w:val="17"/>
          <w:szCs w:val="17"/>
          <w:color w:val="auto"/>
        </w:rPr>
        <w:t>. Executive’s employment hereunder shall commence on November 10, 2021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shall continue for a one-year period thereafter (the “</w:t>
      </w:r>
      <w:r>
        <w:rPr>
          <w:rFonts w:ascii="Arial" w:cs="Arial" w:eastAsia="Arial" w:hAnsi="Arial"/>
          <w:sz w:val="17"/>
          <w:szCs w:val="17"/>
          <w:u w:val="single" w:color="auto"/>
          <w:color w:val="auto"/>
        </w:rPr>
        <w:t>Initial Term</w:t>
      </w:r>
      <w:r>
        <w:rPr>
          <w:rFonts w:ascii="Arial" w:cs="Arial" w:eastAsia="Arial" w:hAnsi="Arial"/>
          <w:sz w:val="17"/>
          <w:szCs w:val="17"/>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one-year periods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subject to earlier termination exclusively as provided for in Section 6 below. For the purposes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at any given time shall mean the Initial Term as it may have been extended by one or more Renewal Terms as of such time (without regard to whether Executive’s employment is terminated prior to the end of such Term), and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means the period of Executive’s employment hereunder (regardless of whether such period ends prior to the end of the Term and regardless of the reason for Executive’s termination of employment hereunder).</w:t>
      </w:r>
    </w:p>
    <w:p>
      <w:pPr>
        <w:spacing w:after="0" w:line="178" w:lineRule="exact"/>
        <w:rPr>
          <w:sz w:val="20"/>
          <w:szCs w:val="20"/>
          <w:color w:val="auto"/>
        </w:rPr>
      </w:pPr>
    </w:p>
    <w:p>
      <w:pPr>
        <w:ind w:firstLine="656"/>
        <w:spacing w:after="0" w:line="277" w:lineRule="auto"/>
        <w:tabs>
          <w:tab w:leader="none" w:pos="8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Salary</w:t>
      </w:r>
      <w:r>
        <w:rPr>
          <w:rFonts w:ascii="Arial" w:cs="Arial" w:eastAsia="Arial" w:hAnsi="Arial"/>
          <w:sz w:val="18"/>
          <w:szCs w:val="18"/>
          <w:color w:val="auto"/>
        </w:rPr>
        <w:t>. Executive shall receive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$250,000.</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Discretionary Bonus</w:t>
      </w:r>
      <w:r>
        <w:rPr>
          <w:rFonts w:ascii="Arial" w:cs="Arial" w:eastAsia="Arial" w:hAnsi="Arial"/>
          <w:sz w:val="16"/>
          <w:szCs w:val="16"/>
          <w:color w:val="auto"/>
        </w:rPr>
        <w:t>. Executive shall be eligible to receive a discretionary performance-based bonus of up to $200,000 (a “</w:t>
      </w:r>
      <w:r>
        <w:rPr>
          <w:rFonts w:ascii="Arial" w:cs="Arial" w:eastAsia="Arial" w:hAnsi="Arial"/>
          <w:sz w:val="16"/>
          <w:szCs w:val="16"/>
          <w:u w:val="single" w:color="auto"/>
          <w:color w:val="auto"/>
        </w:rPr>
        <w:t>Discretionary Bonus</w:t>
      </w:r>
      <w:r>
        <w:rPr>
          <w:rFonts w:ascii="Arial" w:cs="Arial" w:eastAsia="Arial" w:hAnsi="Arial"/>
          <w:sz w:val="16"/>
          <w:szCs w:val="16"/>
          <w:color w:val="auto"/>
        </w:rPr>
        <w:t>”) with respect to each fiscal year of the Company (a “</w:t>
      </w:r>
      <w:r>
        <w:rPr>
          <w:rFonts w:ascii="Arial" w:cs="Arial" w:eastAsia="Arial" w:hAnsi="Arial"/>
          <w:sz w:val="16"/>
          <w:szCs w:val="16"/>
          <w:u w:val="single" w:color="auto"/>
          <w:color w:val="auto"/>
        </w:rPr>
        <w:t>Fiscal Year</w:t>
      </w:r>
      <w:r>
        <w:rPr>
          <w:rFonts w:ascii="Arial" w:cs="Arial" w:eastAsia="Arial" w:hAnsi="Arial"/>
          <w:sz w:val="16"/>
          <w:szCs w:val="16"/>
          <w:color w:val="auto"/>
        </w:rPr>
        <w:t>”) based on the mutually agreed upon goals that will be set by the Company Chief Executive Officer and the Board of Directors Compensation Committee. The goals will be realistic and attainable and shall be mutually agreed to by the Executive. Based on achieving the agreed upon goals, the annual cash bonus shall be paid in installments of $50,000 on April 30, July 30, October 30, and January 30. The Directors may from time to time elect to pay any additional bonuses based on performance that exceeds the mutually agreed upon goals. To be eligible for a Discretionary Bonus, Executive must be employed by the Company at the time such Bonus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296"/>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Annual Compensation Review and Adjustment</w:t>
      </w:r>
      <w:r>
        <w:rPr>
          <w:rFonts w:ascii="Arial" w:cs="Arial" w:eastAsia="Arial" w:hAnsi="Arial"/>
          <w:sz w:val="17"/>
          <w:szCs w:val="17"/>
          <w:color w:val="auto"/>
        </w:rPr>
        <w:t>. The Company agrees that by February 1st of every calendar year,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the Compensation Committee of the Board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have reviewed and adjusted the compensation of Executive based on the results of a report of an independent compensation consultant to be engaged by the Board or the Compensation Committee, at the Company’s sole expense. The results of such report shall take into account a number of factors the consultant deems relevant, including but not limited to an analysis of at least three chief financial officers of other comparable publicly held companies of similar size, similar markets, and who perform their duties in the same geographical location that Executive performs his duties.</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Subject to the terms of the Company’s 2020 Omnibus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Executive shall be issued promptly following the Commencement Date 125,000 restricted stock units pursuant to the Plan. In addition, the Compensation Committee shall grant additional restricted stock units (such number to be determined in the sole discretion of the Compensation Committee taking into account input from the Company’s Chief Executive Officer) to Executive for each fiscal year during the Employment Period.</w:t>
      </w:r>
    </w:p>
    <w:p>
      <w:pPr>
        <w:spacing w:after="0" w:line="17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Benefits</w:t>
      </w:r>
      <w:r>
        <w:rPr>
          <w:rFonts w:ascii="Arial" w:cs="Arial" w:eastAsia="Arial" w:hAnsi="Arial"/>
          <w:sz w:val="16"/>
          <w:szCs w:val="16"/>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Chief Financial Officer that may not be made available to other senior executives of the Company.</w:t>
      </w:r>
    </w:p>
    <w:p>
      <w:pPr>
        <w:spacing w:after="0" w:line="16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Executive shall be entitled to four (4) weeks of paid vacation, as well as sick days and any other paid 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Required Taxes and Withholdings</w:t>
      </w:r>
      <w:r>
        <w:rPr>
          <w:rFonts w:ascii="Arial" w:cs="Arial" w:eastAsia="Arial" w:hAnsi="Arial"/>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both"/>
        <w:ind w:firstLine="656"/>
        <w:spacing w:after="0" w:line="284" w:lineRule="auto"/>
        <w:tabs>
          <w:tab w:leader="none" w:pos="85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below in this Section 4; and</w:t>
      </w:r>
    </w:p>
    <w:p>
      <w:pPr>
        <w:spacing w:after="0" w:line="4" w:lineRule="exact"/>
        <w:rPr>
          <w:rFonts w:ascii="Arial" w:cs="Arial" w:eastAsia="Arial" w:hAnsi="Arial"/>
          <w:sz w:val="16"/>
          <w:szCs w:val="16"/>
          <w:color w:val="auto"/>
        </w:rPr>
      </w:pPr>
    </w:p>
    <w:p>
      <w:pPr>
        <w:jc w:val="both"/>
        <w:ind w:firstLine="8"/>
        <w:spacing w:after="0" w:line="290" w:lineRule="auto"/>
        <w:tabs>
          <w:tab w:leader="none" w:pos="3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10.3(f) below)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63" w:lineRule="exact"/>
        <w:rPr>
          <w:rFonts w:ascii="Arial" w:cs="Arial" w:eastAsia="Arial" w:hAnsi="Arial"/>
          <w:sz w:val="16"/>
          <w:szCs w:val="16"/>
          <w:color w:val="auto"/>
        </w:rPr>
      </w:pPr>
    </w:p>
    <w:p>
      <w:pPr>
        <w:jc w:val="both"/>
        <w:ind w:firstLine="656"/>
        <w:spacing w:after="0" w:line="257"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Disability</w:t>
      </w:r>
      <w:r>
        <w:rPr>
          <w:rFonts w:ascii="Arial" w:cs="Arial" w:eastAsia="Arial" w:hAnsi="Arial"/>
          <w:sz w:val="17"/>
          <w:szCs w:val="17"/>
          <w:color w:val="auto"/>
        </w:rPr>
        <w:t>. The Company may, subject to applicable law, terminate Executive’s employment due to a Disability by providing written notice of such termination and its effective date to Executive.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 Cause by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53" w:lineRule="auto"/>
        <w:tabs>
          <w:tab w:leader="none" w:pos="21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Confidentiality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w:t>
      </w:r>
    </w:p>
    <w:p>
      <w:pPr>
        <w:spacing w:after="0" w:line="19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 by Executive for Good Reason</w:t>
      </w:r>
      <w:r>
        <w:rPr>
          <w:rFonts w:ascii="Arial" w:cs="Arial" w:eastAsia="Arial" w:hAnsi="Arial"/>
          <w:sz w:val="17"/>
          <w:szCs w:val="17"/>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6.2 above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failure by the Company to conduct an annual compensation review and adjustment in accordance with Section 3.3 above; or (v) other material breach by the Company of a material provision of this Agreement or any other agreement between the Company and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Without Cause or Without Good Reason</w:t>
      </w:r>
      <w:r>
        <w:rPr>
          <w:rFonts w:ascii="Arial" w:cs="Arial" w:eastAsia="Arial" w:hAnsi="Arial"/>
          <w:sz w:val="17"/>
          <w:szCs w:val="17"/>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2.1 above.</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 Executive’s Base Salary through and including the effective date of Executive’s termination of employment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10.3(f) below), in addition to the Accrued Obligations, Executive shall be entitled to receive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and in accordance with the terms of this Section 7.2.</w:t>
      </w:r>
    </w:p>
    <w:p>
      <w:pPr>
        <w:spacing w:after="0" w:line="188" w:lineRule="exact"/>
        <w:rPr>
          <w:sz w:val="20"/>
          <w:szCs w:val="20"/>
          <w:color w:val="auto"/>
        </w:rPr>
      </w:pPr>
    </w:p>
    <w:p>
      <w:pPr>
        <w:ind w:left="2200" w:hanging="248"/>
        <w:spacing w:after="0"/>
        <w:tabs>
          <w:tab w:leader="none" w:pos="2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Severance Benefits shall consist of the payments and benefits provided by this Section 7.2(a).</w:t>
      </w:r>
    </w:p>
    <w:p>
      <w:pPr>
        <w:spacing w:after="0" w:line="225" w:lineRule="exact"/>
        <w:rPr>
          <w:rFonts w:ascii="Arial" w:cs="Arial" w:eastAsia="Arial" w:hAnsi="Arial"/>
          <w:sz w:val="18"/>
          <w:szCs w:val="18"/>
          <w:color w:val="auto"/>
        </w:rPr>
      </w:pPr>
    </w:p>
    <w:p>
      <w:pPr>
        <w:jc w:val="both"/>
        <w:ind w:firstLine="2600"/>
        <w:spacing w:after="0" w:line="287" w:lineRule="auto"/>
        <w:tabs>
          <w:tab w:leader="none" w:pos="283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Executive shall receive payment of an amount (the “</w:t>
      </w:r>
      <w:r>
        <w:rPr>
          <w:rFonts w:ascii="Arial" w:cs="Arial" w:eastAsia="Arial" w:hAnsi="Arial"/>
          <w:sz w:val="16"/>
          <w:szCs w:val="16"/>
          <w:u w:val="single" w:color="auto"/>
          <w:color w:val="auto"/>
        </w:rPr>
        <w:t>Severance Pay</w:t>
      </w:r>
      <w:r>
        <w:rPr>
          <w:rFonts w:ascii="Arial" w:cs="Arial" w:eastAsia="Arial" w:hAnsi="Arial"/>
          <w:sz w:val="16"/>
          <w:szCs w:val="16"/>
          <w:color w:val="auto"/>
        </w:rPr>
        <w:t>”) equal to one hundred percent (100%) of Executive’s Base Salary immediately prior to the Termination Date (or, if Good Reason was attributable to the Company’s failure to pay the minimum amount of Base Salary provided herein, such minimum amount) and Executive’s projected bonus for such fiscal year, payable from the day after the Termination Date through the last day of the Term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or restricted stock units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below). The first such payment shall include payment for any payroll dates between the Termination Date and the date of such payment.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2600"/>
        <w:spacing w:after="0" w:line="289" w:lineRule="auto"/>
        <w:tabs>
          <w:tab w:leader="none" w:pos="2866" w:val="left"/>
        </w:tabs>
        <w:numPr>
          <w:ilvl w:val="3"/>
          <w:numId w:val="36"/>
        </w:numPr>
        <w:rPr>
          <w:rFonts w:ascii="Arial" w:cs="Arial" w:eastAsia="Arial" w:hAnsi="Arial"/>
          <w:sz w:val="16"/>
          <w:szCs w:val="16"/>
          <w:color w:val="auto"/>
        </w:rPr>
      </w:pPr>
      <w:r>
        <w:rPr>
          <w:rFonts w:ascii="Arial" w:cs="Arial" w:eastAsia="Arial" w:hAnsi="Arial"/>
          <w:sz w:val="16"/>
          <w:szCs w:val="16"/>
          <w:color w:val="auto"/>
        </w:rPr>
        <w:t xml:space="preserve">For a period of twelve (12) months following the Termination Date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66" w:lineRule="exact"/>
        <w:rPr>
          <w:rFonts w:ascii="Arial" w:cs="Arial" w:eastAsia="Arial" w:hAnsi="Arial"/>
          <w:sz w:val="16"/>
          <w:szCs w:val="16"/>
          <w:color w:val="auto"/>
        </w:rPr>
      </w:pPr>
    </w:p>
    <w:p>
      <w:pPr>
        <w:jc w:val="both"/>
        <w:ind w:firstLine="2600"/>
        <w:spacing w:after="0" w:line="263" w:lineRule="auto"/>
        <w:tabs>
          <w:tab w:leader="none" w:pos="2937" w:val="left"/>
        </w:tabs>
        <w:numPr>
          <w:ilvl w:val="3"/>
          <w:numId w:val="36"/>
        </w:numPr>
        <w:rPr>
          <w:rFonts w:ascii="Arial" w:cs="Arial" w:eastAsia="Arial" w:hAnsi="Arial"/>
          <w:sz w:val="18"/>
          <w:szCs w:val="18"/>
          <w:color w:val="auto"/>
        </w:rPr>
      </w:pPr>
      <w:r>
        <w:rPr>
          <w:rFonts w:ascii="Arial" w:cs="Arial" w:eastAsia="Arial" w:hAnsi="Arial"/>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83" w:lineRule="exact"/>
        <w:rPr>
          <w:rFonts w:ascii="Arial" w:cs="Arial" w:eastAsia="Arial" w:hAnsi="Arial"/>
          <w:sz w:val="18"/>
          <w:szCs w:val="18"/>
          <w:color w:val="auto"/>
        </w:rPr>
      </w:pPr>
    </w:p>
    <w:p>
      <w:pPr>
        <w:ind w:firstLine="2600"/>
        <w:spacing w:after="0" w:line="277" w:lineRule="auto"/>
        <w:tabs>
          <w:tab w:leader="none" w:pos="2923" w:val="left"/>
        </w:tabs>
        <w:numPr>
          <w:ilvl w:val="3"/>
          <w:numId w:val="36"/>
        </w:numPr>
        <w:rPr>
          <w:rFonts w:ascii="Arial" w:cs="Arial" w:eastAsia="Arial" w:hAnsi="Arial"/>
          <w:sz w:val="18"/>
          <w:szCs w:val="18"/>
          <w:color w:val="auto"/>
        </w:rPr>
      </w:pPr>
      <w:r>
        <w:rPr>
          <w:rFonts w:ascii="Arial" w:cs="Arial" w:eastAsia="Arial" w:hAnsi="Arial"/>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auto"/>
        </w:rPr>
      </w:pPr>
    </w:p>
    <w:p>
      <w:pPr>
        <w:jc w:val="both"/>
        <w:ind w:firstLine="8"/>
        <w:spacing w:after="0" w:line="271" w:lineRule="auto"/>
        <w:tabs>
          <w:tab w:leader="none" w:pos="2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Executive must so execute the Separation Agreement within 60 days following the Termination Date (or such shorter time as may be set forth in the Separation Agreement).</w:t>
      </w:r>
    </w:p>
    <w:p>
      <w:pPr>
        <w:spacing w:after="0" w:line="178" w:lineRule="exact"/>
        <w:rPr>
          <w:rFonts w:ascii="Arial" w:cs="Arial" w:eastAsia="Arial" w:hAnsi="Arial"/>
          <w:sz w:val="17"/>
          <w:szCs w:val="17"/>
          <w:color w:val="auto"/>
        </w:rPr>
      </w:pPr>
    </w:p>
    <w:p>
      <w:pPr>
        <w:jc w:val="both"/>
        <w:ind w:firstLine="656"/>
        <w:spacing w:after="0" w:line="269" w:lineRule="auto"/>
        <w:tabs>
          <w:tab w:leader="none" w:pos="828"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56"/>
        <w:spacing w:after="0" w:line="273" w:lineRule="auto"/>
        <w:tabs>
          <w:tab w:leader="none" w:pos="84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Confidentiality, Restrictive Covenant, Intellectual Property, Return of Company Property and Non-Disparagement</w:t>
      </w:r>
      <w:r>
        <w:rPr>
          <w:rFonts w:ascii="Arial" w:cs="Arial" w:eastAsia="Arial" w:hAnsi="Arial"/>
          <w:sz w:val="17"/>
          <w:szCs w:val="17"/>
          <w:color w:val="auto"/>
        </w:rPr>
        <w:t>. Company and Executive have entered into the Company’s current standard Invention Assignment, Restrictive Covenants, and Confidentiality Agreement (the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 copy of which is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177" w:lineRule="exact"/>
        <w:rPr>
          <w:rFonts w:ascii="Arial" w:cs="Arial" w:eastAsia="Arial" w:hAnsi="Arial"/>
          <w:sz w:val="17"/>
          <w:szCs w:val="17"/>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Representations and Acknowledgements</w:t>
      </w:r>
      <w:r>
        <w:rPr>
          <w:rFonts w:ascii="Arial" w:cs="Arial" w:eastAsia="Arial" w:hAnsi="Arial"/>
          <w:sz w:val="17"/>
          <w:szCs w:val="17"/>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auto"/>
        </w:rPr>
        <w:t>Company Affiliates</w:t>
      </w:r>
      <w:r>
        <w:rPr>
          <w:rFonts w:ascii="Arial" w:cs="Arial" w:eastAsia="Arial" w:hAnsi="Arial"/>
          <w:sz w:val="17"/>
          <w:szCs w:val="17"/>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952"/>
        <w:spacing w:after="0" w:line="268" w:lineRule="auto"/>
        <w:tabs>
          <w:tab w:leader="none" w:pos="221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auto"/>
        </w:rPr>
      </w:pPr>
    </w:p>
    <w:p>
      <w:pPr>
        <w:jc w:val="both"/>
        <w:ind w:firstLine="1952"/>
        <w:spacing w:after="0" w:line="257" w:lineRule="auto"/>
        <w:tabs>
          <w:tab w:leader="none" w:pos="21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19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Non-Interference, Non-Competition and Non-Diversion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73" w:lineRule="auto"/>
        <w:tabs>
          <w:tab w:leader="none" w:pos="221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952"/>
        <w:spacing w:after="0" w:line="293" w:lineRule="auto"/>
        <w:tabs>
          <w:tab w:leader="none" w:pos="222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64" w:lineRule="exact"/>
        <w:rPr>
          <w:rFonts w:ascii="Arial" w:cs="Arial" w:eastAsia="Arial" w:hAnsi="Arial"/>
          <w:sz w:val="16"/>
          <w:szCs w:val="16"/>
          <w:color w:val="auto"/>
        </w:rPr>
      </w:pPr>
    </w:p>
    <w:p>
      <w:pPr>
        <w:jc w:val="both"/>
        <w:ind w:firstLine="1952"/>
        <w:spacing w:after="0" w:line="257" w:lineRule="auto"/>
        <w:tabs>
          <w:tab w:leader="none" w:pos="220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Non-Diversion</w:t>
      </w:r>
      <w:r>
        <w:rPr>
          <w:rFonts w:ascii="Arial" w:cs="Arial" w:eastAsia="Arial" w:hAnsi="Arial"/>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21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Employment Period and thereafter, except if Executive is terminated for Cause pursuant to Section 6.3 hereof,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21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10. Further, Executive hereby consents to the Company providing such notification to each such Service Recipient.</w:t>
      </w:r>
    </w:p>
    <w:p>
      <w:pPr>
        <w:spacing w:after="0" w:line="171" w:lineRule="exact"/>
        <w:rPr>
          <w:rFonts w:ascii="Arial" w:cs="Arial" w:eastAsia="Arial" w:hAnsi="Arial"/>
          <w:sz w:val="17"/>
          <w:szCs w:val="17"/>
          <w:color w:val="auto"/>
        </w:rPr>
      </w:pPr>
    </w:p>
    <w:p>
      <w:pPr>
        <w:ind w:left="2180" w:hanging="228"/>
        <w:spacing w:after="0"/>
        <w:tabs>
          <w:tab w:leader="none" w:pos="2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auto"/>
        </w:rPr>
      </w:pPr>
    </w:p>
    <w:p>
      <w:pPr>
        <w:jc w:val="both"/>
        <w:ind w:firstLine="2600"/>
        <w:spacing w:after="0" w:line="255" w:lineRule="auto"/>
        <w:tabs>
          <w:tab w:leader="none" w:pos="28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firstLine="2600"/>
        <w:spacing w:after="0" w:line="308" w:lineRule="auto"/>
        <w:tabs>
          <w:tab w:leader="none" w:pos="2870"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auto"/>
        </w:rPr>
      </w:pPr>
    </w:p>
    <w:p>
      <w:pPr>
        <w:jc w:val="both"/>
        <w:ind w:firstLine="2600"/>
        <w:spacing w:after="0" w:line="275" w:lineRule="auto"/>
        <w:tabs>
          <w:tab w:leader="none" w:pos="2907"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auto"/>
        </w:rPr>
      </w:pPr>
    </w:p>
    <w:p>
      <w:pPr>
        <w:jc w:val="both"/>
        <w:ind w:firstLine="2600"/>
        <w:spacing w:after="0" w:line="255" w:lineRule="auto"/>
        <w:tabs>
          <w:tab w:leader="none" w:pos="29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auto"/>
        </w:rPr>
      </w:pPr>
    </w:p>
    <w:p>
      <w:pPr>
        <w:jc w:val="both"/>
        <w:ind w:firstLine="2600"/>
        <w:spacing w:after="0" w:line="263" w:lineRule="auto"/>
        <w:tabs>
          <w:tab w:leader="none" w:pos="28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83" w:lineRule="exact"/>
        <w:rPr>
          <w:rFonts w:ascii="Arial" w:cs="Arial" w:eastAsia="Arial" w:hAnsi="Arial"/>
          <w:sz w:val="18"/>
          <w:szCs w:val="18"/>
          <w:color w:val="auto"/>
        </w:rPr>
      </w:pPr>
    </w:p>
    <w:p>
      <w:pPr>
        <w:ind w:right="20" w:firstLine="2600"/>
        <w:spacing w:after="0" w:line="277" w:lineRule="auto"/>
        <w:tabs>
          <w:tab w:leader="none" w:pos="29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auto"/>
        </w:rPr>
      </w:pPr>
    </w:p>
    <w:p>
      <w:pPr>
        <w:ind w:left="2960" w:hanging="360"/>
        <w:spacing w:after="0"/>
        <w:tabs>
          <w:tab w:leader="none" w:pos="29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any state in which the Company is doing business or in which it is contemplating to do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a then current business plan.</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Company’s Proprietary Rights</w:t>
      </w:r>
      <w:r>
        <w:rPr>
          <w:rFonts w:ascii="Arial" w:cs="Arial" w:eastAsia="Arial" w:hAnsi="Arial"/>
          <w:sz w:val="16"/>
          <w:szCs w:val="16"/>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auto"/>
        </w:rPr>
        <w:t>Moral Rights</w:t>
      </w:r>
      <w:r>
        <w:rPr>
          <w:rFonts w:ascii="Arial" w:cs="Arial" w:eastAsia="Arial" w:hAnsi="Arial"/>
          <w:sz w:val="16"/>
          <w:szCs w:val="16"/>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Cooperation Regarding Intellectual Property</w:t>
      </w:r>
      <w:r>
        <w:rPr>
          <w:rFonts w:ascii="Arial" w:cs="Arial" w:eastAsia="Arial" w:hAnsi="Arial"/>
          <w:sz w:val="16"/>
          <w:szCs w:val="16"/>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auto"/>
        </w:rPr>
        <w:t>Liens</w:t>
      </w:r>
      <w:r>
        <w:rPr>
          <w:rFonts w:ascii="Arial" w:cs="Arial" w:eastAsia="Arial" w:hAnsi="Arial"/>
          <w:sz w:val="16"/>
          <w:szCs w:val="16"/>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infringement</w:t>
      </w:r>
      <w:r>
        <w:rPr>
          <w:rFonts w:ascii="Arial" w:cs="Arial" w:eastAsia="Arial" w:hAnsi="Arial"/>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License to Prior Invention</w:t>
      </w:r>
      <w:r>
        <w:rPr>
          <w:rFonts w:ascii="Arial" w:cs="Arial" w:eastAsia="Arial" w:hAnsi="Arial"/>
          <w:sz w:val="17"/>
          <w:szCs w:val="17"/>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auto"/>
        </w:rPr>
        <w:t>Prior Invention</w:t>
      </w:r>
      <w:r>
        <w:rPr>
          <w:rFonts w:ascii="Arial" w:cs="Arial" w:eastAsia="Arial" w:hAnsi="Arial"/>
          <w:sz w:val="17"/>
          <w:szCs w:val="17"/>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56"/>
        <w:spacing w:after="0" w:line="284" w:lineRule="auto"/>
        <w:tabs>
          <w:tab w:leader="none" w:pos="97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189" w:lineRule="exact"/>
        <w:rPr>
          <w:rFonts w:ascii="Arial" w:cs="Arial" w:eastAsia="Arial" w:hAnsi="Arial"/>
          <w:sz w:val="18"/>
          <w:szCs w:val="18"/>
          <w:color w:val="auto"/>
        </w:rPr>
      </w:pPr>
    </w:p>
    <w:p>
      <w:pPr>
        <w:jc w:val="both"/>
        <w:ind w:firstLine="656"/>
        <w:spacing w:after="0" w:line="271" w:lineRule="auto"/>
        <w:tabs>
          <w:tab w:leader="none" w:pos="918"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78" w:lineRule="exact"/>
        <w:rPr>
          <w:rFonts w:ascii="Arial" w:cs="Arial" w:eastAsia="Arial" w:hAnsi="Arial"/>
          <w:sz w:val="17"/>
          <w:szCs w:val="17"/>
          <w:color w:val="auto"/>
        </w:rPr>
      </w:pPr>
    </w:p>
    <w:p>
      <w:pPr>
        <w:jc w:val="both"/>
        <w:ind w:firstLine="656"/>
        <w:spacing w:after="0" w:line="285" w:lineRule="auto"/>
        <w:tabs>
          <w:tab w:leader="none" w:pos="918"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acknowledges and agrees that Executive shall not disclose the documents referenced in this clause (y) except to Executive’s representatives who have a need to know such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56"/>
        <w:spacing w:after="0" w:line="285" w:lineRule="auto"/>
        <w:tabs>
          <w:tab w:leader="none" w:pos="93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rFonts w:ascii="Arial" w:cs="Arial" w:eastAsia="Arial" w:hAnsi="Arial"/>
          <w:sz w:val="16"/>
          <w:szCs w:val="16"/>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16.3 Executive represents and agrees that the Executive has not and will not misappropriate any intellectual property belonging to any 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68" w:lineRule="auto"/>
        <w:tabs>
          <w:tab w:leader="none" w:pos="91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Indemnification and Liability Insurance</w:t>
      </w:r>
      <w:r>
        <w:rPr>
          <w:rFonts w:ascii="Arial" w:cs="Arial" w:eastAsia="Arial" w:hAnsi="Arial"/>
          <w:sz w:val="17"/>
          <w:szCs w:val="17"/>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184"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IRCA Compliance</w:t>
      </w:r>
      <w:r>
        <w:rPr>
          <w:rFonts w:ascii="Arial" w:cs="Arial" w:eastAsia="Arial" w:hAnsi="Arial"/>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7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Unless otherwise expressly 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is not subject to a “substantial risk of forfeiture”) for purposes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9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Assignability and Binding Effect</w:t>
      </w:r>
      <w:r>
        <w:rPr>
          <w:rFonts w:ascii="Arial" w:cs="Arial" w:eastAsia="Arial" w:hAnsi="Arial"/>
          <w:sz w:val="16"/>
          <w:szCs w:val="16"/>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Right of Set-Off</w:t>
      </w:r>
      <w:r>
        <w:rPr>
          <w:rFonts w:ascii="Arial" w:cs="Arial" w:eastAsia="Arial" w:hAnsi="Arial"/>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Severability and Blue Penciling</w:t>
      </w:r>
      <w:r>
        <w:rPr>
          <w:rFonts w:ascii="Arial" w:cs="Arial" w:eastAsia="Arial" w:hAnsi="Arial"/>
          <w:sz w:val="17"/>
          <w:szCs w:val="17"/>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Choice of Law and Forum; Attorneys’ Fees</w:t>
      </w:r>
      <w:r>
        <w:rPr>
          <w:rFonts w:ascii="Arial" w:cs="Arial" w:eastAsia="Arial" w:hAnsi="Arial"/>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277" w:lineRule="auto"/>
        <w:tabs>
          <w:tab w:leader="none" w:pos="21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auto"/>
        </w:rPr>
      </w:pPr>
    </w:p>
    <w:p>
      <w:pPr>
        <w:ind w:left="2820" w:hanging="220"/>
        <w:spacing w:after="0"/>
        <w:tabs>
          <w:tab w:leader="none" w:pos="28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auto"/>
        </w:rPr>
      </w:pPr>
    </w:p>
    <w:p>
      <w:pPr>
        <w:ind w:right="20" w:firstLine="2600"/>
        <w:spacing w:after="0" w:line="277" w:lineRule="auto"/>
        <w:tabs>
          <w:tab w:leader="none" w:pos="28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to the Company, to 76 Treble Cove Rd., Bldg. 3, Billerica, MA 01862, or at such other mailing address, email address or facsimile number as it may have furnished in writing to Executive.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2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Survival of Terms</w:t>
      </w:r>
      <w:r>
        <w:rPr>
          <w:rFonts w:ascii="Arial" w:cs="Arial" w:eastAsia="Arial" w:hAnsi="Arial"/>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Voluntary and Knowing Execution of Agreement</w:t>
      </w:r>
      <w:r>
        <w:rPr>
          <w:rFonts w:ascii="Arial" w:cs="Arial" w:eastAsia="Arial" w:hAnsi="Arial"/>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Timothy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OAKES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Strengthens Executive Leadership Team to Further Support Growth Initiatives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Thomas Massie Becomes New President and Chief Operating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Timothy Oakes Transitions to Chief Financial Officer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BILLERICA, Mass., Nov. 10, 2021 (GLOBE NEWSWIRE) -- Agrify Corporation (Nasdaq:AGFY) (“Agrify” or the “Company”), a vertically integrated provider of premium cultivation and extraction solutions for the cannabis and hemp industry, today announced that Thomas Massie has become the Company’s new President and Chief Operating Officer (“COO”) and Timothy Oakes is transitioning to Chief Financial Officer (“CFO”), effective today.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Massie is a member of Agrify’s Board of Directors, and he will continue in that role while also serving as the Company’s President and COO. Mr. Massie has extensive experience leading growth-oriented organizations, and he has been actively involved in shaping the Company’s market strategies and growth to date. Robert Harrison, who formerly served as Agrify’s COO, has become the Senior Vice President (“SVP”), Manufacturing Operations, and he will focus much of his attention on critical manufacturing and product development initiatives as the Company continues to scale.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Oakes, a finance executive with more than 30 years of experience, has served as a key member of Agrify’s Board of Directors, as well as its Audit Committee Chair. In that role, he has worked closely with the Company to expand its operations through strategic M&amp;A and strengthen its financial position. As CFO, Mr. Oakes will step down from Agrify’s Board of Directors and succeed Niv Krikov, who will remain a valued advisor for the next several months to assist with the transition and support other Company initiatives.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excited to further enhance and expand our executive leadership team as we position ourselves for the next phase of our organizational development,” said Raymond Chang, Chief Executive Officer of Agrify. “Thomas has a strong track record of driving rapid growth and implementing scalable processes and best practices, and Tim brings deep experience in leading finance and strategy for public companies. As board members, Thomas and Tim have been instrumental to the successful execution of our growth strategy. I am confident that their new roles will allow them to have an even stronger impact on our business as we pursue our next phase of growth and mission of becoming the most dynamic solution provider across the supply chain in the cannabis and hemp industry.”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incredibly grateful to Niv for his many contributions as CFO, most notably in guiding our financial performance over the past year, and we wish him well as he embarks on his next opportunity,” Mr. Chang continued. “We are also fortunate to have Robert become our SVP, Manufacturing Operations. In that capacity, he will be a vital part of our efforts to increase our category leadership and become even more valuable to major players in the cannabis and hemp space.”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Massie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2016, Mr. Massie has been a Senior Partner with WAVE Equity Partners, a private equity firm that accelerates market-validated companies solving some of the world’s greatest challenges in essential markets for water, waste, energy and food. Mr. Massie has worked closely with WAVE portfolio companies, driving rapid growth and organizational excellence best practices. From 1987 to 2016, Mr. Massie was the Founder and Chief Executive Officer of three technology companies, Mass Micro Systems, Focus Enhancements and Bridgeline Digital, each recognized by Deloitte Fast 50 as amongst the fastest growing companies in the United States, cumulatively generating over $750M in revenue and each completing successful IPOs on Nasdaq. From 2002 to 2007, Mr. Massie was a board member and chairman of the corporate governance committee for MapInfo, which was acquired by Pitney Bowes for $480M in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Oakes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March of 2021, Mr. Oakes has served as the interim Chief Financial Officer of Living Greens Farm, an early-stage development company specializing in indoor vertical farming. Prior, Mr. Oakes served as the Chief Accounting Officer of Endurance International Group, a $1.2B global provider of cloud-based platform solutions designed to help small and medium-sized businesses succeed online. Endurance was a public company (Nasdaq:EIGI), and in February of 2021, was acquired by Clearlake Capital for $3B. From 2004 to 2018, Mr. Oakes served in various finance leadership roles, including Chief Financial Officer at Edgewater Technology. The company was public (Nasdaq:EDGW), and during Mr. Oakes’ tenure, Edgewater experienced rapid growth from $25M in annual revenue to $150M in annual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Agrify is a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 and Precision Extraction, a division of Agrify, at http://www.precisionextraction.com.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 Pinkston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926-9159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Renee Cotsis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decimal"/>
      <w:start w:val="4"/>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decimal"/>
      <w:start w:val="7"/>
    </w:lvl>
  </w:abstractNum>
  <w:abstractNum w:abstractNumId="7">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
    <w:nsid w:val="3A95F87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5"/>
    </w:lvl>
  </w:abstractNum>
  <w:abstractNum w:abstractNumId="9">
    <w:nsid w:val="813864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0">
    <w:nsid w:val="1E7FF52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1">
    <w:nsid w:val="7C3DBD3D"/>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12">
    <w:nsid w:val="737B8DDC"/>
    <w:multiLevelType w:val="hybridMultilevel"/>
    <w:lvl w:ilvl="0">
      <w:lvlJc w:val="left"/>
      <w:lvlText w:val="%1."/>
      <w:numFmt w:val="decimal"/>
      <w:start w:val="10"/>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2"/>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6"/>
    </w:lvl>
    <w:lvl w:ilvl="1">
      <w:lvlJc w:val="left"/>
      <w:lvlText w:val="(%2)"/>
      <w:numFmt w:val="lowerRoman"/>
      <w:start w:val="1"/>
    </w:lvl>
  </w:abstractNum>
  <w:abstractNum w:abstractNumId="17">
    <w:nsid w:val="614FD4A1"/>
    <w:multiLevelType w:val="hybridMultilevel"/>
    <w:lvl w:ilvl="0">
      <w:lvlJc w:val="left"/>
      <w:lvlText w:val="%1"/>
      <w:numFmt w:val="decimal"/>
      <w:start w:val="1"/>
    </w:lvl>
    <w:lvl w:ilvl="1">
      <w:lvlJc w:val="left"/>
      <w:lvlText w:val="(%2)"/>
      <w:numFmt w:val="lowerRoman"/>
      <w:start w:val="7"/>
    </w:lvl>
  </w:abstractNum>
  <w:abstractNum w:abstractNumId="18">
    <w:nsid w:val="419AC241"/>
    <w:multiLevelType w:val="hybridMultilevel"/>
    <w:lvl w:ilvl="0">
      <w:lvlJc w:val="left"/>
      <w:lvlText w:val="%1."/>
      <w:numFmt w:val="decimal"/>
      <w:start w:val="11"/>
    </w:lvl>
    <w:lvl w:ilvl="1">
      <w:lvlJc w:val="left"/>
      <w:lvlText w:val="%2"/>
      <w:numFmt w:val="lowerRoman"/>
      <w:start w:val="1"/>
    </w:lvl>
  </w:abstractNum>
  <w:abstractNum w:abstractNumId="19">
    <w:nsid w:val="5577F8E1"/>
    <w:multiLevelType w:val="hybridMultilevel"/>
    <w:lvl w:ilvl="0">
      <w:lvlJc w:val="left"/>
      <w:lvlText w:val="%1"/>
      <w:numFmt w:val="lowerRoman"/>
      <w:start w:val="1"/>
    </w:lvl>
    <w:lvl w:ilvl="1">
      <w:lvlJc w:val="left"/>
      <w:lvlText w:val="%2."/>
      <w:numFmt w:val="decimal"/>
      <w:start w:val="12"/>
    </w:lvl>
  </w:abstractNum>
  <w:abstractNum w:abstractNumId="20">
    <w:nsid w:val="440BADFC"/>
    <w:multiLevelType w:val="hybridMultilevel"/>
    <w:lvl w:ilvl="0">
      <w:lvlJc w:val="left"/>
      <w:lvlText w:val="(%1)"/>
      <w:numFmt w:val="lowerRoman"/>
      <w:start w:val="1"/>
    </w:lvl>
    <w:lvl w:ilvl="1">
      <w:lvlJc w:val="left"/>
      <w:lvlText w:val="%2."/>
      <w:numFmt w:val="decimal"/>
      <w:start w:val="13"/>
    </w:lvl>
  </w:abstractNum>
  <w:abstractNum w:abstractNumId="21">
    <w:nsid w:val="5072367"/>
    <w:multiLevelType w:val="hybridMultilevel"/>
    <w:lvl w:ilvl="0">
      <w:lvlJc w:val="left"/>
      <w:lvlText w:val="%1."/>
      <w:numFmt w:val="decimal"/>
      <w:start w:val="15"/>
    </w:lvl>
  </w:abstractNum>
  <w:abstractNum w:abstractNumId="22">
    <w:nsid w:val="3804823E"/>
    <w:multiLevelType w:val="hybridMultilevel"/>
    <w:lvl w:ilvl="0">
      <w:lvlJc w:val="left"/>
      <w:lvlText w:val="%1."/>
      <w:numFmt w:val="decimal"/>
      <w:start w:val="17"/>
    </w:lvl>
  </w:abstractNum>
  <w:abstractNum w:abstractNumId="23">
    <w:nsid w:val="77465F01"/>
    <w:multiLevelType w:val="hybridMultilevel"/>
    <w:lvl w:ilvl="0">
      <w:lvlJc w:val="left"/>
      <w:lvlText w:val="%1."/>
      <w:numFmt w:val="decimal"/>
      <w:start w:val="18"/>
    </w:lvl>
  </w:abstractNum>
  <w:abstractNum w:abstractNumId="24">
    <w:nsid w:val="7724C67E"/>
    <w:multiLevelType w:val="hybridMultilevel"/>
    <w:lvl w:ilvl="0">
      <w:lvlJc w:val="left"/>
      <w:lvlText w:val="(%1)"/>
      <w:numFmt w:val="lowerLetter"/>
      <w:start w:val="1"/>
    </w:lvl>
    <w:lvl w:ilvl="1">
      <w:lvlJc w:val="left"/>
      <w:lvlText w:val="(%2)"/>
      <w:numFmt w:val="lowerLetter"/>
      <w:start w:val="9"/>
    </w:lvl>
  </w:abstractNum>
  <w:abstractNum w:abstractNumId="25">
    <w:nsid w:val="5C482A97"/>
    <w:multiLevelType w:val="hybridMultilevel"/>
    <w:lvl w:ilvl="0">
      <w:lvlJc w:val="left"/>
      <w:lvlText w:val="%1"/>
      <w:numFmt w:val="lowerLetter"/>
      <w:start w:val="1"/>
    </w:lvl>
    <w:lvl w:ilvl="1">
      <w:lvlJc w:val="left"/>
      <w:lvlText w:val="(%2)"/>
      <w:numFmt w:val="lowerLetter"/>
      <w:start w:val="35"/>
    </w:lvl>
  </w:abstractNum>
  <w:abstractNum w:abstractNumId="26">
    <w:nsid w:val="2463B9EA"/>
    <w:multiLevelType w:val="hybridMultilevel"/>
    <w:lvl w:ilvl="0">
      <w:lvlJc w:val="left"/>
      <w:lvlText w:val="(%1)"/>
      <w:numFmt w:val="lowerLetter"/>
      <w:start w:val="2"/>
    </w:lvl>
    <w:lvl w:ilvl="1">
      <w:lvlJc w:val="left"/>
      <w:lvlText w:val="%2"/>
      <w:numFmt w:val="lowerLetter"/>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1"/>
      <w:numFmt w:val="lowerRoman"/>
      <w:start w:val="1"/>
    </w:lvl>
    <w:lvl w:ilvl="1">
      <w:lvlJc w:val="left"/>
      <w:lvlText w:val="%2."/>
      <w:numFmt w:val="decimal"/>
      <w:start w:val="4"/>
    </w:lvl>
  </w:abstractNum>
  <w:abstractNum w:abstractNumId="30">
    <w:nsid w:val="580BD78F"/>
    <w:multiLevelType w:val="hybridMultilevel"/>
    <w:lvl w:ilvl="0">
      <w:lvlJc w:val="left"/>
      <w:lvlText w:val="(%1)"/>
      <w:numFmt w:val="lowerRoman"/>
      <w:start w:val="6"/>
    </w:lvl>
    <w:lvl w:ilvl="1">
      <w:lvlJc w:val="left"/>
      <w:lvlText w:val="%2."/>
      <w:numFmt w:val="decimal"/>
      <w:start w:val="5"/>
    </w:lvl>
  </w:abstractNum>
  <w:abstractNum w:abstractNumId="31">
    <w:nsid w:val="153EA438"/>
    <w:multiLevelType w:val="hybridMultilevel"/>
    <w:lvl w:ilvl="0">
      <w:lvlJc w:val="left"/>
      <w:lvlText w:val="%1."/>
      <w:numFmt w:val="decimal"/>
      <w:start w:val="6"/>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7"/>
    </w:lvl>
  </w:abstractNum>
  <w:abstractNum w:abstractNumId="34">
    <w:nsid w:val="6A2342EC"/>
    <w:multiLevelType w:val="hybridMultilevel"/>
    <w:lvl w:ilvl="0">
      <w:lvlJc w:val="left"/>
      <w:lvlText w:val="(%1)"/>
      <w:numFmt w:val="lowerLetter"/>
      <w:start w:val="1"/>
    </w:lvl>
    <w:lvl w:ilvl="1">
      <w:lvlJc w:val="left"/>
      <w:lvlText w:val="(%2)"/>
      <w:numFmt w:val="lowerLetter"/>
      <w:start w:val="9"/>
    </w:lvl>
  </w:abstractNum>
  <w:abstractNum w:abstractNumId="35">
    <w:nsid w:val="2A487CB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36">
    <w:nsid w:val="1D4ED4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7">
    <w:nsid w:val="725A06FB"/>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2"/>
    </w:lvl>
    <w:lvl w:ilvl="1">
      <w:lvlJc w:val="left"/>
      <w:lvlText w:val="(%2)"/>
      <w:numFmt w:val="lowerLetter"/>
      <w:start w:val="9"/>
    </w:lvl>
  </w:abstractNum>
  <w:abstractNum w:abstractNumId="43">
    <w:nsid w:val="6DE91B18"/>
    <w:multiLevelType w:val="hybridMultilevel"/>
    <w:lvl w:ilvl="0">
      <w:lvlJc w:val="left"/>
      <w:lvlText w:val="%1"/>
      <w:numFmt w:val="decimal"/>
      <w:start w:val="1"/>
    </w:lvl>
    <w:lvl w:ilvl="1">
      <w:lvlJc w:val="left"/>
      <w:lvlText w:val="(%2)"/>
      <w:numFmt w:val="lowerRoman"/>
      <w:start w:val="2"/>
    </w:lvl>
  </w:abstractNum>
  <w:abstractNum w:abstractNumId="44">
    <w:nsid w:val="38437FDB"/>
    <w:multiLevelType w:val="hybridMultilevel"/>
    <w:lvl w:ilvl="0">
      <w:lvlJc w:val="left"/>
      <w:lvlText w:val="%1."/>
      <w:numFmt w:val="decimal"/>
      <w:start w:val="11"/>
    </w:lvl>
    <w:lvl w:ilvl="1">
      <w:lvlJc w:val="left"/>
      <w:lvlText w:val="%2"/>
      <w:numFmt w:val="lowerRoman"/>
      <w:start w:val="1"/>
    </w:lvl>
  </w:abstractNum>
  <w:abstractNum w:abstractNumId="45">
    <w:nsid w:val="7644A45C"/>
    <w:multiLevelType w:val="hybridMultilevel"/>
    <w:lvl w:ilvl="0">
      <w:lvlJc w:val="left"/>
      <w:lvlText w:val="%1"/>
      <w:numFmt w:val="lowerRoman"/>
      <w:start w:val="1"/>
    </w:lvl>
    <w:lvl w:ilvl="1">
      <w:lvlJc w:val="left"/>
      <w:lvlText w:val="%2."/>
      <w:numFmt w:val="decimal"/>
      <w:start w:val="12"/>
    </w:lvl>
  </w:abstractNum>
  <w:abstractNum w:abstractNumId="46">
    <w:nsid w:val="32FFF902"/>
    <w:multiLevelType w:val="hybridMultilevel"/>
    <w:lvl w:ilvl="0">
      <w:lvlJc w:val="left"/>
      <w:lvlText w:val="(%1)"/>
      <w:numFmt w:val="lowerRoman"/>
      <w:start w:val="1"/>
    </w:lvl>
    <w:lvl w:ilvl="1">
      <w:lvlJc w:val="left"/>
      <w:lvlText w:val="%2."/>
      <w:numFmt w:val="decimal"/>
      <w:start w:val="13"/>
    </w:lvl>
  </w:abstractNum>
  <w:abstractNum w:abstractNumId="47">
    <w:nsid w:val="684A481A"/>
    <w:multiLevelType w:val="hybridMultilevel"/>
    <w:lvl w:ilvl="0">
      <w:lvlJc w:val="left"/>
      <w:lvlText w:val="%1."/>
      <w:numFmt w:val="decimal"/>
      <w:start w:val="15"/>
    </w:lvl>
  </w:abstractNum>
  <w:abstractNum w:abstractNumId="48">
    <w:nsid w:val="579478FE"/>
    <w:multiLevelType w:val="hybridMultilevel"/>
    <w:lvl w:ilvl="0">
      <w:lvlJc w:val="left"/>
      <w:lvlText w:val="%1."/>
      <w:numFmt w:val="decimal"/>
      <w:start w:val="17"/>
    </w:lvl>
  </w:abstractNum>
  <w:abstractNum w:abstractNumId="49">
    <w:nsid w:val="749ABB4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2021-11-15T16:47:57Z</dcterms:created>
  <dcterms:modified xsi:type="dcterms:W3CDTF">2021-11-15T16:47:57Z</dcterms:modified>
</cp:coreProperties>
</file>