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Hua Guichao</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01/27/2021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617"/>
        <w:spacing w:after="0" w:line="332" w:lineRule="auto"/>
        <w:rPr>
          <w:sz w:val="20"/>
          <w:szCs w:val="20"/>
          <w:color w:val="auto"/>
        </w:rPr>
      </w:pPr>
      <w:r>
        <w:rPr>
          <w:rFonts w:ascii="Times New Roman" w:cs="Times New Roman" w:eastAsia="Times New Roman" w:hAnsi="Times New Roman"/>
          <w:sz w:val="18"/>
          <w:szCs w:val="18"/>
          <w:color w:val="0000FF"/>
        </w:rPr>
        <w:t>101 MIDDLESEX TURNPIKE, SUITE 6, PMB 326</w:t>
      </w:r>
    </w:p>
    <w:p>
      <w:pPr>
        <w:spacing w:after="0" w:line="280"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760" w:type="dxa"/>
            <w:vAlign w:val="bottom"/>
          </w:tcPr>
          <w:p>
            <w:pPr>
              <w:spacing w:after="0"/>
              <w:rPr>
                <w:sz w:val="17"/>
                <w:szCs w:val="17"/>
                <w:color w:val="auto"/>
              </w:rPr>
            </w:pPr>
          </w:p>
        </w:tc>
      </w:tr>
      <w:tr>
        <w:trPr>
          <w:trHeight w:val="265"/>
        </w:trPr>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BURLINGTON MA</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01803</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12"/>
        </w:trPr>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116,913</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34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542,636</w:t>
            </w:r>
          </w:p>
        </w:tc>
        <w:tc>
          <w:tcPr>
            <w:tcW w:w="88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20"/>
                <w:szCs w:val="20"/>
                <w:color w:val="0000FF"/>
              </w:rPr>
              <w:t>I</w:t>
            </w:r>
          </w:p>
        </w:tc>
        <w:tc>
          <w:tcPr>
            <w:tcW w:w="3360" w:type="dxa"/>
            <w:vAlign w:val="bottom"/>
            <w:tcBorders>
              <w:bottom w:val="single" w:sz="8" w:color="2C2C2C"/>
            </w:tcBorders>
            <w:gridSpan w:val="4"/>
          </w:tcPr>
          <w:p>
            <w:pPr>
              <w:ind w:left="580"/>
              <w:spacing w:after="0"/>
              <w:rPr>
                <w:sz w:val="20"/>
                <w:szCs w:val="20"/>
                <w:color w:val="auto"/>
              </w:rPr>
            </w:pPr>
            <w:r>
              <w:rPr>
                <w:rFonts w:ascii="Times New Roman" w:cs="Times New Roman" w:eastAsia="Times New Roman" w:hAnsi="Times New Roman"/>
                <w:sz w:val="20"/>
                <w:szCs w:val="20"/>
                <w:color w:val="0000FF"/>
              </w:rPr>
              <w:t>By Inventronics Inc.</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27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1"/>
                <w:szCs w:val="21"/>
                <w:color w:val="auto"/>
              </w:rPr>
            </w:pPr>
          </w:p>
        </w:tc>
        <w:tc>
          <w:tcPr>
            <w:tcW w:w="14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80" w:type="dxa"/>
            <w:vAlign w:val="bottom"/>
            <w:gridSpan w:val="2"/>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10/19/2030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41,120</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4.86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-1826260</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ind w:left="40" w:right="20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common stock issuable upon the automatic conversion of the Issuer's Series A Preferred Stock immediately prior to the consummation of an initial public offering held by Inventronics Inc., of which Mr. Hua shares voting and dispositive control, and may be deemed to be indirectly beneficially owned by Mr. Hua. Mr. Hua disclaims beneficial ownership of the reported securities except to the extent of his pecuniary interest therein, and this report shall not be deemed an admission that such person is the beneficial owner of the securities for purposes of Section 16 of the Securities Exchange Act of 1934, as amended, or for any other purpose.</w:t>
      </w:r>
    </w:p>
    <w:p>
      <w:pPr>
        <w:spacing w:after="0" w:line="33"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options will vest on 10/19/21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Guichao Hua</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01/27/2021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33474"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2021-01-27T20:22:53Z</dcterms:created>
  <dcterms:modified xsi:type="dcterms:W3CDTF">2021-01-27T20:22:53Z</dcterms:modified>
</cp:coreProperties>
</file>