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00853E 305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 Agrify Corporation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2468 Industrial Drive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Troy, MI 48084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(617) 896-5243</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14,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which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w:t>
      </w:r>
      <w:r>
        <w:rPr>
          <w:rFonts w:ascii="Times New Roman" w:cs="Times New Roman" w:eastAsia="Times New Roman" w:hAnsi="Times New Roman"/>
          <w:sz w:val="18"/>
          <w:szCs w:val="18"/>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Names of Reporting Persons </w:t>
      </w:r>
      <w:r>
        <w:rPr>
          <w:rFonts w:ascii="Times New Roman" w:cs="Times New Roman" w:eastAsia="Times New Roman" w:hAnsi="Times New Roman"/>
          <w:sz w:val="18"/>
          <w:szCs w:val="18"/>
          <w:color w:val="auto"/>
        </w:rPr>
        <w:t>I-Tseng Jenny Chan</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2"/>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ind w:left="920" w:right="9060" w:hanging="782"/>
        <w:spacing w:after="0" w:line="286" w:lineRule="auto"/>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PF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11,609,789</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w:t>
      </w:r>
    </w:p>
    <w:p>
      <w:pPr>
        <w:spacing w:after="0" w:line="339" w:lineRule="exact"/>
        <w:rPr>
          <w:rFonts w:ascii="Times New Roman" w:cs="Times New Roman" w:eastAsia="Times New Roman" w:hAnsi="Times New Roman"/>
          <w:sz w:val="18"/>
          <w:szCs w:val="18"/>
          <w:b w:val="1"/>
          <w:bCs w:val="1"/>
          <w:color w:val="auto"/>
        </w:rPr>
      </w:pPr>
    </w:p>
    <w:p>
      <w:pPr>
        <w:jc w:val="both"/>
        <w:ind w:left="380" w:hanging="318"/>
        <w:spacing w:after="0" w:line="25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445,272 shares of common stock, par value $0.001, of Agrify Corporation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held by M Zion Capital, LLC (“</w:t>
      </w:r>
      <w:r>
        <w:rPr>
          <w:rFonts w:ascii="Times New Roman" w:cs="Times New Roman" w:eastAsia="Times New Roman" w:hAnsi="Times New Roman"/>
          <w:sz w:val="18"/>
          <w:szCs w:val="18"/>
          <w:i w:val="1"/>
          <w:iCs w:val="1"/>
          <w:color w:val="auto"/>
        </w:rPr>
        <w:t>M Zion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an entity controlled by Ms. Chan, (ii) 445,272 shares of Common Stock held by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an entity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by Ms. Chan, (iii) 445,272 shares of Common Stock held by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 entity controlled by Ms. Chan, (iv) that number of shares of Common Stock issuable to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an entity controlled by Ms. Chan, issuable to Ms. Chan upon the conversion of that certain Senior Secured Amended, Restated and Consolidated Convertible Note, as amended (the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due 2025 described herein with an outstanding principal amount of $3,500,000.00 and a conversion price of $1.46 per share (as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in which case the 49.99% beneficial ownership limitation will apply to each of them individually, (v) that number of shares of Common Stock issuable to CP Acquisitions or, at CP Acquisition’s election, pre-funded warrants to purchase shares of Common Stock issuable to CP Acquisitions upon conversion of that certain Junior Secured Convertible Promissory Note (“</w:t>
      </w:r>
      <w:r>
        <w:rPr>
          <w:rFonts w:ascii="Times New Roman" w:cs="Times New Roman" w:eastAsia="Times New Roman" w:hAnsi="Times New Roman"/>
          <w:sz w:val="18"/>
          <w:szCs w:val="18"/>
          <w:i w:val="1"/>
          <w:iCs w:val="1"/>
          <w:color w:val="auto"/>
        </w:rPr>
        <w:t>New Junior Note</w:t>
      </w:r>
      <w:r>
        <w:rPr>
          <w:rFonts w:ascii="Times New Roman" w:cs="Times New Roman" w:eastAsia="Times New Roman" w:hAnsi="Times New Roman"/>
          <w:sz w:val="18"/>
          <w:szCs w:val="18"/>
          <w:color w:val="auto"/>
        </w:rPr>
        <w:t>”) due July 1, 2025 described herein with an outstanding principal amount of $1,500,000.00 and a conversion price of $0.2633 (as may be adjusted per the New Junior Note), which pre-funded warrants are exercisable subject to a 49.99% beneficial ownership limitation, and (vi) pre-funded warrants to purchase 7,876,712 shares of Common Stock held by CP Acquisitions that are exercisable within 60 days of the date hereof, subject to a 49.99% beneficial ownership limitation.</w:t>
      </w:r>
    </w:p>
    <w:p>
      <w:pPr>
        <w:spacing w:after="0" w:line="19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176" w:lineRule="exact"/>
        <w:rPr>
          <w:sz w:val="20"/>
          <w:szCs w:val="20"/>
          <w:color w:val="auto"/>
        </w:rPr>
      </w:pPr>
    </w:p>
    <w:p>
      <w:pPr>
        <w:jc w:val="both"/>
        <w:ind w:left="34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on August 14, 2024, plus the shares of Common</w:t>
      </w:r>
    </w:p>
    <w:p>
      <w:pPr>
        <w:sectPr>
          <w:pgSz w:w="11900" w:h="16838" w:orient="portrait"/>
          <w:cols w:equalWidth="0" w:num="1">
            <w:col w:w="11240"/>
          </w:cols>
          <w:pgMar w:left="320" w:top="900" w:right="339" w:bottom="0" w:gutter="0" w:footer="0" w:header="0"/>
        </w:sectPr>
      </w:pPr>
    </w:p>
    <w:bookmarkStart w:id="2" w:name="page3"/>
    <w:bookmarkEnd w:id="2"/>
    <w:p>
      <w:pPr>
        <w:spacing w:after="0" w:line="282" w:lineRule="auto"/>
        <w:rPr>
          <w:sz w:val="20"/>
          <w:szCs w:val="20"/>
          <w:color w:val="auto"/>
        </w:rPr>
      </w:pPr>
      <w:r>
        <w:rPr>
          <w:rFonts w:ascii="Times New Roman" w:cs="Times New Roman" w:eastAsia="Times New Roman" w:hAnsi="Times New Roman"/>
          <w:sz w:val="18"/>
          <w:szCs w:val="18"/>
          <w:color w:val="auto"/>
        </w:rPr>
        <w:t>Stock issuable upon the exercise of the warrants and conversion of the Convertible Note in footnote (1), subject to applicable beneficial ownership limitations.</w:t>
      </w:r>
    </w:p>
    <w:p>
      <w:pPr>
        <w:spacing w:after="0" w:line="2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Zion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7"/>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OO</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Zion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Olivet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1"/>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2" w:lineRule="exact"/>
        <w:rPr>
          <w:rFonts w:ascii="Times New Roman" w:cs="Times New Roman" w:eastAsia="Times New Roman" w:hAnsi="Times New Roman"/>
          <w:sz w:val="17"/>
          <w:szCs w:val="17"/>
          <w:b w:val="1"/>
          <w:bCs w:val="1"/>
          <w:color w:val="auto"/>
        </w:rPr>
      </w:pPr>
    </w:p>
    <w:p>
      <w:pPr>
        <w:ind w:left="2600" w:right="7240" w:hanging="774"/>
        <w:spacing w:after="0" w:line="286" w:lineRule="auto"/>
        <w:tabs>
          <w:tab w:leader="none" w:pos="2600"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Sole Voting Power </w:t>
      </w:r>
      <w:r>
        <w:rPr>
          <w:rFonts w:ascii="Times New Roman" w:cs="Times New Roman" w:eastAsia="Times New Roman" w:hAnsi="Times New Roman"/>
          <w:sz w:val="18"/>
          <w:szCs w:val="18"/>
          <w:color w:val="auto"/>
        </w:rPr>
        <w:t>0</w:t>
      </w:r>
    </w:p>
    <w:p>
      <w:pPr>
        <w:spacing w:after="0" w:line="209"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Olivet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M Cannan Capital,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5"/>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445,272</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3.13%</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445,272 shares of Common Stock held by M Cannan Capital.</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00853E 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6532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532245"/>
                    </a:xfrm>
                    <a:prstGeom prst="rect">
                      <a:avLst/>
                    </a:prstGeom>
                    <a:noFill/>
                  </pic:spPr>
                </pic:pic>
              </a:graphicData>
            </a:graphic>
          </wp:anchor>
        </w:drawing>
      </w:r>
    </w:p>
    <w:p>
      <w:pPr>
        <w:spacing w:after="0" w:line="259" w:lineRule="exact"/>
        <w:rPr>
          <w:sz w:val="20"/>
          <w:szCs w:val="20"/>
          <w:color w:val="auto"/>
        </w:rPr>
      </w:pPr>
    </w:p>
    <w:p>
      <w:pPr>
        <w:ind w:left="920" w:right="8140" w:hanging="782"/>
        <w:spacing w:after="0" w:line="317" w:lineRule="auto"/>
        <w:tabs>
          <w:tab w:leader="none" w:pos="9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CP Acquisitions, LLC</w:t>
      </w:r>
    </w:p>
    <w:p>
      <w:pPr>
        <w:spacing w:after="0" w:line="212" w:lineRule="exact"/>
        <w:rPr>
          <w:rFonts w:ascii="Times New Roman" w:cs="Times New Roman" w:eastAsia="Times New Roman" w:hAnsi="Times New Roman"/>
          <w:sz w:val="17"/>
          <w:szCs w:val="17"/>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31" w:lineRule="exact"/>
        <w:rPr>
          <w:rFonts w:ascii="Times New Roman" w:cs="Times New Roman" w:eastAsia="Times New Roman" w:hAnsi="Times New Roman"/>
          <w:sz w:val="18"/>
          <w:szCs w:val="18"/>
          <w:b w:val="1"/>
          <w:bCs w:val="1"/>
          <w:color w:val="auto"/>
        </w:rPr>
      </w:pPr>
    </w:p>
    <w:p>
      <w:pPr>
        <w:ind w:left="1220" w:hanging="294"/>
        <w:spacing w:after="0" w:line="207" w:lineRule="exact"/>
        <w:tabs>
          <w:tab w:leader="none" w:pos="122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1" w:lineRule="exact"/>
        <w:rPr>
          <w:rFonts w:ascii="Times New Roman" w:cs="Times New Roman" w:eastAsia="Times New Roman" w:hAnsi="Times New Roman"/>
          <w:sz w:val="18"/>
          <w:szCs w:val="18"/>
          <w:b w:val="1"/>
          <w:bCs w:val="1"/>
          <w:color w:val="auto"/>
        </w:rPr>
      </w:pPr>
    </w:p>
    <w:p>
      <w:pPr>
        <w:ind w:left="1240" w:hanging="314"/>
        <w:spacing w:after="0" w:line="207" w:lineRule="exact"/>
        <w:tabs>
          <w:tab w:leader="none" w:pos="1240" w:val="left"/>
        </w:tabs>
        <w:numPr>
          <w:ilvl w:val="1"/>
          <w:numId w:val="19"/>
        </w:numPr>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93"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306" w:lineRule="exact"/>
        <w:rPr>
          <w:rFonts w:ascii="Times New Roman" w:cs="Times New Roman" w:eastAsia="Times New Roman" w:hAnsi="Times New Roman"/>
          <w:sz w:val="18"/>
          <w:szCs w:val="18"/>
          <w:b w:val="1"/>
          <w:bCs w:val="1"/>
          <w:color w:val="auto"/>
        </w:rPr>
      </w:pPr>
    </w:p>
    <w:p>
      <w:pPr>
        <w:jc w:val="both"/>
        <w:ind w:left="920" w:right="9060" w:hanging="782"/>
        <w:spacing w:after="0" w:line="286" w:lineRule="auto"/>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Funds </w:t>
      </w:r>
      <w:r>
        <w:rPr>
          <w:rFonts w:ascii="Times New Roman" w:cs="Times New Roman" w:eastAsia="Times New Roman" w:hAnsi="Times New Roman"/>
          <w:sz w:val="18"/>
          <w:szCs w:val="18"/>
          <w:color w:val="auto"/>
        </w:rPr>
        <w:t>WC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Item 3)</w:t>
      </w:r>
    </w:p>
    <w:p>
      <w:pPr>
        <w:spacing w:after="0" w:line="23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box if disclosure of legal proceedings is required pursuant to Items 2(d) or 2(e) b</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right="7520" w:hanging="782"/>
        <w:spacing w:after="0" w:line="317" w:lineRule="auto"/>
        <w:tabs>
          <w:tab w:leader="none" w:pos="92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or Place of Organization </w:t>
      </w:r>
      <w:r>
        <w:rPr>
          <w:rFonts w:ascii="Times New Roman" w:cs="Times New Roman" w:eastAsia="Times New Roman" w:hAnsi="Times New Roman"/>
          <w:sz w:val="17"/>
          <w:szCs w:val="17"/>
          <w:color w:val="auto"/>
        </w:rPr>
        <w:t>United States of America</w:t>
      </w:r>
    </w:p>
    <w:p>
      <w:pPr>
        <w:spacing w:after="0" w:line="213" w:lineRule="exact"/>
        <w:rPr>
          <w:sz w:val="20"/>
          <w:szCs w:val="20"/>
          <w:color w:val="auto"/>
        </w:rPr>
      </w:pPr>
    </w:p>
    <w:tbl>
      <w:tblPr>
        <w:tblLayout w:type="fixed"/>
        <w:tblInd w:w="360" w:type="dxa"/>
        <w:tblCellMar>
          <w:top w:w="0" w:type="dxa"/>
          <w:left w:w="0" w:type="dxa"/>
          <w:bottom w:w="0" w:type="dxa"/>
          <w:right w:w="0" w:type="dxa"/>
        </w:tblCellMar>
      </w:tblPr>
      <w:tr>
        <w:trPr>
          <w:trHeight w:val="220"/>
        </w:trPr>
        <w:tc>
          <w:tcPr>
            <w:tcW w:w="1340" w:type="dxa"/>
            <w:vAlign w:val="bottom"/>
          </w:tcPr>
          <w:p>
            <w:pPr>
              <w:spacing w:after="0"/>
              <w:rPr>
                <w:sz w:val="19"/>
                <w:szCs w:val="19"/>
                <w:color w:val="auto"/>
              </w:rPr>
            </w:pPr>
          </w:p>
        </w:tc>
        <w:tc>
          <w:tcPr>
            <w:tcW w:w="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7.</w:t>
            </w: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34"/>
        </w:trPr>
        <w:tc>
          <w:tcPr>
            <w:tcW w:w="1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9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50"/>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580" w:type="dxa"/>
            <w:vAlign w:val="bottom"/>
            <w:tcBorders>
              <w:bottom w:val="single" w:sz="8" w:color="auto"/>
            </w:tcBorders>
          </w:tcPr>
          <w:p>
            <w:pPr>
              <w:spacing w:after="0"/>
              <w:rPr>
                <w:sz w:val="21"/>
                <w:szCs w:val="21"/>
                <w:color w:val="auto"/>
              </w:rPr>
            </w:pPr>
          </w:p>
        </w:tc>
        <w:tc>
          <w:tcPr>
            <w:tcW w:w="8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340" w:type="dxa"/>
            <w:vAlign w:val="bottom"/>
            <w:vMerge w:val="continue"/>
          </w:tcPr>
          <w:p>
            <w:pPr>
              <w:spacing w:after="0"/>
              <w:rPr>
                <w:sz w:val="16"/>
                <w:szCs w:val="16"/>
                <w:color w:val="auto"/>
              </w:rPr>
            </w:pPr>
          </w:p>
        </w:tc>
        <w:tc>
          <w:tcPr>
            <w:tcW w:w="58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b w:val="1"/>
                <w:bCs w:val="1"/>
                <w:color w:val="auto"/>
              </w:rPr>
              <w:t>8.</w:t>
            </w:r>
          </w:p>
        </w:tc>
        <w:tc>
          <w:tcPr>
            <w:tcW w:w="8960" w:type="dxa"/>
            <w:vAlign w:val="bottom"/>
          </w:tcPr>
          <w:p>
            <w:pPr>
              <w:ind w:left="320"/>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252"/>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580" w:type="dxa"/>
            <w:vAlign w:val="bottom"/>
          </w:tcPr>
          <w:p>
            <w:pPr>
              <w:spacing w:after="0"/>
              <w:rPr>
                <w:sz w:val="21"/>
                <w:szCs w:val="21"/>
                <w:color w:val="auto"/>
              </w:rPr>
            </w:pPr>
          </w:p>
        </w:tc>
        <w:tc>
          <w:tcPr>
            <w:tcW w:w="8960" w:type="dxa"/>
            <w:vAlign w:val="bottom"/>
          </w:tcPr>
          <w:p>
            <w:pPr>
              <w:ind w:left="320"/>
              <w:spacing w:after="0" w:line="252" w:lineRule="exact"/>
              <w:rPr>
                <w:sz w:val="20"/>
                <w:szCs w:val="20"/>
                <w:color w:val="auto"/>
              </w:rPr>
            </w:pP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180"/>
        </w:trPr>
        <w:tc>
          <w:tcPr>
            <w:tcW w:w="1340" w:type="dxa"/>
            <w:vAlign w:val="bottom"/>
          </w:tcPr>
          <w:p>
            <w:pPr>
              <w:jc w:val="center"/>
              <w:ind w:right="230"/>
              <w:spacing w:after="0" w:line="180" w:lineRule="exact"/>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8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Owned by</w:t>
            </w:r>
          </w:p>
        </w:tc>
        <w:tc>
          <w:tcPr>
            <w:tcW w:w="580" w:type="dxa"/>
            <w:vAlign w:val="bottom"/>
            <w:tcBorders>
              <w:bottom w:val="single" w:sz="8" w:color="auto"/>
            </w:tcBorders>
          </w:tcPr>
          <w:p>
            <w:pPr>
              <w:spacing w:after="0"/>
              <w:rPr>
                <w:sz w:val="10"/>
                <w:szCs w:val="10"/>
                <w:color w:val="auto"/>
              </w:rPr>
            </w:pPr>
          </w:p>
        </w:tc>
        <w:tc>
          <w:tcPr>
            <w:tcW w:w="8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1340" w:type="dxa"/>
            <w:vAlign w:val="bottom"/>
            <w:vMerge w:val="continue"/>
          </w:tcPr>
          <w:p>
            <w:pPr>
              <w:spacing w:after="0"/>
              <w:rPr>
                <w:sz w:val="6"/>
                <w:szCs w:val="6"/>
                <w:color w:val="auto"/>
              </w:rPr>
            </w:pPr>
          </w:p>
        </w:tc>
        <w:tc>
          <w:tcPr>
            <w:tcW w:w="5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9.</w:t>
            </w: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0" w:type="dxa"/>
            <w:vAlign w:val="bottom"/>
          </w:tcPr>
          <w:p>
            <w:pPr>
              <w:spacing w:after="0"/>
              <w:rPr>
                <w:sz w:val="1"/>
                <w:szCs w:val="1"/>
                <w:color w:val="auto"/>
              </w:rPr>
            </w:pPr>
          </w:p>
        </w:tc>
      </w:tr>
      <w:tr>
        <w:trPr>
          <w:trHeight w:val="153"/>
        </w:trPr>
        <w:tc>
          <w:tcPr>
            <w:tcW w:w="13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7"/>
              </w:rPr>
              <w:t>Each</w:t>
            </w:r>
          </w:p>
        </w:tc>
        <w:tc>
          <w:tcPr>
            <w:tcW w:w="580" w:type="dxa"/>
            <w:vAlign w:val="bottom"/>
            <w:vMerge w:val="continue"/>
          </w:tcPr>
          <w:p>
            <w:pPr>
              <w:spacing w:after="0"/>
              <w:rPr>
                <w:sz w:val="13"/>
                <w:szCs w:val="13"/>
                <w:color w:val="auto"/>
              </w:rPr>
            </w:pPr>
          </w:p>
        </w:tc>
        <w:tc>
          <w:tcPr>
            <w:tcW w:w="8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13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Reporting</w:t>
            </w:r>
          </w:p>
        </w:tc>
        <w:tc>
          <w:tcPr>
            <w:tcW w:w="580" w:type="dxa"/>
            <w:vAlign w:val="bottom"/>
          </w:tcPr>
          <w:p>
            <w:pPr>
              <w:spacing w:after="0"/>
              <w:rPr>
                <w:sz w:val="18"/>
                <w:szCs w:val="18"/>
                <w:color w:val="auto"/>
              </w:rPr>
            </w:pPr>
          </w:p>
        </w:tc>
        <w:tc>
          <w:tcPr>
            <w:tcW w:w="8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3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Person With:</w:t>
            </w:r>
          </w:p>
        </w:tc>
        <w:tc>
          <w:tcPr>
            <w:tcW w:w="58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2600" w:right="6680" w:hanging="774"/>
        <w:spacing w:after="0" w:line="289" w:lineRule="auto"/>
        <w:tabs>
          <w:tab w:leader="none" w:pos="2600" w:val="left"/>
        </w:tabs>
        <w:numPr>
          <w:ilvl w:val="2"/>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Shared Dispositive Power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9" w:lineRule="exact"/>
        <w:rPr>
          <w:rFonts w:ascii="Times New Roman" w:cs="Times New Roman" w:eastAsia="Times New Roman" w:hAnsi="Times New Roman"/>
          <w:sz w:val="18"/>
          <w:szCs w:val="18"/>
          <w:b w:val="1"/>
          <w:bCs w:val="1"/>
          <w:color w:val="auto"/>
        </w:rPr>
      </w:pPr>
    </w:p>
    <w:p>
      <w:pPr>
        <w:ind w:left="920" w:right="5240" w:hanging="782"/>
        <w:spacing w:after="0" w:line="295" w:lineRule="auto"/>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Amount Beneficially Owned by Each Reporting Person </w:t>
      </w:r>
      <w:r>
        <w:rPr>
          <w:rFonts w:ascii="Times New Roman" w:cs="Times New Roman" w:eastAsia="Times New Roman" w:hAnsi="Times New Roman"/>
          <w:sz w:val="18"/>
          <w:szCs w:val="18"/>
          <w:color w:val="auto"/>
        </w:rPr>
        <w:t>10,273,973</w:t>
      </w:r>
      <w:r>
        <w:rPr>
          <w:rFonts w:ascii="Times New Roman" w:cs="Times New Roman" w:eastAsia="Times New Roman" w:hAnsi="Times New Roman"/>
          <w:sz w:val="29"/>
          <w:szCs w:val="29"/>
          <w:color w:val="auto"/>
          <w:vertAlign w:val="superscript"/>
        </w:rPr>
        <w:t>(1)</w:t>
      </w:r>
    </w:p>
    <w:p>
      <w:pPr>
        <w:spacing w:after="0" w:line="10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(11) Excludes Certain Shares (See Instructions)</w:t>
      </w:r>
    </w:p>
    <w:p>
      <w:pPr>
        <w:spacing w:after="0" w:line="26" w:lineRule="exact"/>
        <w:rPr>
          <w:rFonts w:ascii="Times New Roman" w:cs="Times New Roman" w:eastAsia="Times New Roman" w:hAnsi="Times New Roman"/>
          <w:sz w:val="18"/>
          <w:szCs w:val="18"/>
          <w:b w:val="1"/>
          <w:bCs w:val="1"/>
          <w:color w:val="auto"/>
        </w:rPr>
      </w:pPr>
    </w:p>
    <w:p>
      <w:pPr>
        <w:ind w:left="920"/>
        <w:spacing w:after="0" w:line="181" w:lineRule="exact"/>
        <w:rPr>
          <w:rFonts w:ascii="Times New Roman" w:cs="Times New Roman" w:eastAsia="Times New Roman" w:hAnsi="Times New Roman"/>
          <w:sz w:val="18"/>
          <w:szCs w:val="18"/>
          <w:b w:val="1"/>
          <w:bCs w:val="1"/>
          <w:color w:val="auto"/>
        </w:rPr>
      </w:pPr>
      <w:r>
        <w:rPr>
          <w:rFonts w:ascii="MS PGothic" w:cs="MS PGothic" w:eastAsia="MS PGothic" w:hAnsi="MS PGothic"/>
          <w:sz w:val="18"/>
          <w:szCs w:val="18"/>
          <w:color w:val="auto"/>
        </w:rPr>
        <w:t>☐</w:t>
      </w:r>
    </w:p>
    <w:p>
      <w:pPr>
        <w:spacing w:after="0" w:line="315"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 Represented by Amount in Row (11)</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49.99%</w:t>
      </w:r>
      <w:r>
        <w:rPr>
          <w:rFonts w:ascii="Times New Roman" w:cs="Times New Roman" w:eastAsia="Times New Roman" w:hAnsi="Times New Roman"/>
          <w:sz w:val="29"/>
          <w:szCs w:val="29"/>
          <w:color w:val="auto"/>
          <w:vertAlign w:val="superscript"/>
        </w:rPr>
        <w:t>(2)</w:t>
      </w:r>
    </w:p>
    <w:p>
      <w:pPr>
        <w:spacing w:after="0" w:line="197" w:lineRule="exact"/>
        <w:rPr>
          <w:rFonts w:ascii="Times New Roman" w:cs="Times New Roman" w:eastAsia="Times New Roman" w:hAnsi="Times New Roman"/>
          <w:sz w:val="18"/>
          <w:szCs w:val="18"/>
          <w:b w:val="1"/>
          <w:bCs w:val="1"/>
          <w:color w:val="auto"/>
        </w:rPr>
      </w:pPr>
    </w:p>
    <w:p>
      <w:pPr>
        <w:ind w:left="920" w:hanging="782"/>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Type of Reporting Person (See Instructions)</w:t>
      </w:r>
    </w:p>
    <w:p>
      <w:pPr>
        <w:spacing w:after="0" w:line="31" w:lineRule="exact"/>
        <w:rPr>
          <w:rFonts w:ascii="Times New Roman" w:cs="Times New Roman" w:eastAsia="Times New Roman" w:hAnsi="Times New Roman"/>
          <w:sz w:val="18"/>
          <w:szCs w:val="18"/>
          <w:b w:val="1"/>
          <w:bCs w:val="1"/>
          <w:color w:val="auto"/>
        </w:rPr>
      </w:pP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PN</w:t>
      </w:r>
    </w:p>
    <w:p>
      <w:pPr>
        <w:spacing w:after="0" w:line="200" w:lineRule="exact"/>
        <w:rPr>
          <w:rFonts w:ascii="Times New Roman" w:cs="Times New Roman" w:eastAsia="Times New Roman" w:hAnsi="Times New Roman"/>
          <w:sz w:val="18"/>
          <w:szCs w:val="18"/>
          <w:b w:val="1"/>
          <w:bCs w:val="1"/>
          <w:color w:val="auto"/>
        </w:rPr>
      </w:pPr>
    </w:p>
    <w:p>
      <w:pPr>
        <w:spacing w:after="0" w:line="276" w:lineRule="exact"/>
        <w:rPr>
          <w:rFonts w:ascii="Times New Roman" w:cs="Times New Roman" w:eastAsia="Times New Roman" w:hAnsi="Times New Roman"/>
          <w:sz w:val="18"/>
          <w:szCs w:val="18"/>
          <w:b w:val="1"/>
          <w:bCs w:val="1"/>
          <w:color w:val="auto"/>
        </w:rPr>
      </w:pPr>
    </w:p>
    <w:p>
      <w:pPr>
        <w:jc w:val="both"/>
        <w:ind w:left="340" w:hanging="332"/>
        <w:spacing w:after="0" w:line="253"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that number of shares of Common Stock issuable to CP Acquisitions, an entity controlled by Ms. Chan, issuable to Ms. Chan upon the conversion of the Convertible Note due 2025 described herein with an outstanding principal amount of $3,500,000.00 and a conversion price of $1.46 per share (as may be adjusted per the Senior Secured Amended, Restated and Consolidated Convertible Note due 2025 from time to time), which conversion is subject to a 49.99% beneficial ownership limitation; provided that CP Acquisitions may assign its right to receive shares of Common Stock upon conversion to Mr. Chang and/or Ms. Chan, each a member of the Board, in which case the 49.99% beneficial ownership limitation will apply to each of them individually, (ii) that number of shares of Common Stock issuable to CP Acquisitions or, at CP Acquisition’s election, pre-funded warrants to purchase shares of Common Stock issuable to CP Acquisitions upon conversion of the New Junior Note due July 1, 2025 described herein with an outstanding principal amount of $1,500,000.00 and a conversion price of $0.2633 (as may be adjusted per the New Junior Note), which pre-funded warrants are exercisable subject to a 49.99% beneficial ownership limitation, and (iii) pre-funded warrants to purchase 7,876,712 shares of Common Stock held by CP Acquisitions that are exercisable within 60 days of the date hereof, subject to a 49.99% beneficial ownership limitation.</w:t>
      </w:r>
    </w:p>
    <w:p>
      <w:pPr>
        <w:spacing w:after="0" w:line="194"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14,230,447 shares of Common Stock outstanding as of August 14, 2024, as set forth in the Issuer’s Quarterly Report on Form 10-Q for the quarterly period ended June 30, 2024 filed with the SEC on August 14, 2024, plus the shares of Common Stock issuable upon the exercise of the warrants and conversion of the Convertible Note in footnote (1), subject to applicable beneficial ownership limitations.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71"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SCHEDULE 13D – EXPLANATORY NOTE</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Amendment No. 3 to the statement on Schedule 13D (“</w:t>
      </w:r>
      <w:r>
        <w:rPr>
          <w:rFonts w:ascii="Times New Roman" w:cs="Times New Roman" w:eastAsia="Times New Roman" w:hAnsi="Times New Roman"/>
          <w:sz w:val="18"/>
          <w:szCs w:val="18"/>
          <w:i w:val="1"/>
          <w:iCs w:val="1"/>
          <w:color w:val="auto"/>
        </w:rPr>
        <w:t>Amendment No. 3</w:t>
      </w:r>
      <w:r>
        <w:rPr>
          <w:rFonts w:ascii="Times New Roman" w:cs="Times New Roman" w:eastAsia="Times New Roman" w:hAnsi="Times New Roman"/>
          <w:sz w:val="18"/>
          <w:szCs w:val="18"/>
          <w:color w:val="auto"/>
        </w:rPr>
        <w:t>”) amends the Schedule 13D originally filed by the Reporting Persons (as defined herein) on January 25, 2024, as amended by that certain Amendment No. 1 filed on May 23, 2024 and Amendment No. 2 filed on August 6, 2024 (collectively, the “</w:t>
      </w:r>
      <w:r>
        <w:rPr>
          <w:rFonts w:ascii="Times New Roman" w:cs="Times New Roman" w:eastAsia="Times New Roman" w:hAnsi="Times New Roman"/>
          <w:sz w:val="18"/>
          <w:szCs w:val="18"/>
          <w:i w:val="1"/>
          <w:iCs w:val="1"/>
          <w:color w:val="auto"/>
        </w:rPr>
        <w:t>Schedule 13D</w:t>
      </w:r>
      <w:r>
        <w:rPr>
          <w:rFonts w:ascii="Times New Roman" w:cs="Times New Roman" w:eastAsia="Times New Roman" w:hAnsi="Times New Roman"/>
          <w:sz w:val="18"/>
          <w:szCs w:val="18"/>
          <w:color w:val="auto"/>
        </w:rPr>
        <w:t>”), and relates to the shares of common stock, par value $0.001 (“</w:t>
      </w: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of the Agrify Corporation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beneficially owned by M Zion Capital, LLC (“</w:t>
      </w:r>
      <w:r>
        <w:rPr>
          <w:rFonts w:ascii="Times New Roman" w:cs="Times New Roman" w:eastAsia="Times New Roman" w:hAnsi="Times New Roman"/>
          <w:sz w:val="18"/>
          <w:szCs w:val="18"/>
          <w:i w:val="1"/>
          <w:iCs w:val="1"/>
          <w:color w:val="auto"/>
        </w:rPr>
        <w:t>M Zion Capital</w:t>
      </w:r>
      <w:r>
        <w:rPr>
          <w:rFonts w:ascii="Times New Roman" w:cs="Times New Roman" w:eastAsia="Times New Roman" w:hAnsi="Times New Roman"/>
          <w:sz w:val="18"/>
          <w:szCs w:val="18"/>
          <w:color w:val="auto"/>
        </w:rPr>
        <w:t>”), M Olivet Capital, LLC (“</w:t>
      </w:r>
      <w:r>
        <w:rPr>
          <w:rFonts w:ascii="Times New Roman" w:cs="Times New Roman" w:eastAsia="Times New Roman" w:hAnsi="Times New Roman"/>
          <w:sz w:val="18"/>
          <w:szCs w:val="18"/>
          <w:i w:val="1"/>
          <w:iCs w:val="1"/>
          <w:color w:val="auto"/>
        </w:rPr>
        <w:t>M Olivet Capital</w:t>
      </w:r>
      <w:r>
        <w:rPr>
          <w:rFonts w:ascii="Times New Roman" w:cs="Times New Roman" w:eastAsia="Times New Roman" w:hAnsi="Times New Roman"/>
          <w:sz w:val="18"/>
          <w:szCs w:val="18"/>
          <w:color w:val="auto"/>
        </w:rPr>
        <w:t>”), M Cannan Capital, LLC (“</w:t>
      </w:r>
      <w:r>
        <w:rPr>
          <w:rFonts w:ascii="Times New Roman" w:cs="Times New Roman" w:eastAsia="Times New Roman" w:hAnsi="Times New Roman"/>
          <w:sz w:val="18"/>
          <w:szCs w:val="18"/>
          <w:i w:val="1"/>
          <w:iCs w:val="1"/>
          <w:color w:val="auto"/>
        </w:rPr>
        <w:t>M Cannan Capital</w:t>
      </w:r>
      <w:r>
        <w:rPr>
          <w:rFonts w:ascii="Times New Roman" w:cs="Times New Roman" w:eastAsia="Times New Roman" w:hAnsi="Times New Roman"/>
          <w:sz w:val="18"/>
          <w:szCs w:val="18"/>
          <w:color w:val="auto"/>
        </w:rPr>
        <w:t>”), and CP Acquisitions, LLC (“</w:t>
      </w:r>
      <w:r>
        <w:rPr>
          <w:rFonts w:ascii="Times New Roman" w:cs="Times New Roman" w:eastAsia="Times New Roman" w:hAnsi="Times New Roman"/>
          <w:sz w:val="18"/>
          <w:szCs w:val="18"/>
          <w:i w:val="1"/>
          <w:iCs w:val="1"/>
          <w:color w:val="auto"/>
        </w:rPr>
        <w:t>CP Acquisitions</w:t>
      </w:r>
      <w:r>
        <w:rPr>
          <w:rFonts w:ascii="Times New Roman" w:cs="Times New Roman" w:eastAsia="Times New Roman" w:hAnsi="Times New Roman"/>
          <w:sz w:val="18"/>
          <w:szCs w:val="18"/>
          <w:color w:val="auto"/>
        </w:rPr>
        <w:t>”) (each of M Zion Capital, M Olivet Capital, M Cannan Capital CP Acquisitions, a “</w:t>
      </w:r>
      <w:r>
        <w:rPr>
          <w:rFonts w:ascii="Times New Roman" w:cs="Times New Roman" w:eastAsia="Times New Roman" w:hAnsi="Times New Roman"/>
          <w:sz w:val="18"/>
          <w:szCs w:val="18"/>
          <w:i w:val="1"/>
          <w:iCs w:val="1"/>
          <w:color w:val="auto"/>
        </w:rPr>
        <w:t>Reporting Person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i w:val="1"/>
          <w:iCs w:val="1"/>
          <w:color w:val="auto"/>
        </w:rPr>
        <w:t>Reporting Persons</w:t>
      </w:r>
      <w:r>
        <w:rPr>
          <w:rFonts w:ascii="Times New Roman" w:cs="Times New Roman" w:eastAsia="Times New Roman" w:hAnsi="Times New Roman"/>
          <w:sz w:val="18"/>
          <w:szCs w:val="18"/>
          <w:color w:val="auto"/>
        </w:rPr>
        <w:t>”) with respect to shares of Common Stock that they may be deemed to have beneficial ownership.</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Rule 13d-2 of the Securities Exchange Act of 1934, as amended, except as specifically provided herein, this Amendment No. 3 does not modify any of the information previously reported on the Schedule 13D. Capitalized terms used but not otherwise defined in this Amendment No. 3 shall have the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5(a) of the Schedule 13D is hereby amended and restated in its entirety as follows: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Reporting Person is the record owner of the securities set forth on their respective cover sheet. The percentage of outstanding Common Stock which may be deemed to be beneficially owned by each Reporting Person is set forth on Line 13 of each Reporting Person’s cover sheet. Such percentage was calculated based on the 14,230,447 shares of Common Stock outstanding as of the date hereof. Notwithstanding the foregoing, Ms. Chan disclaims beneficial ownership with respect to the shares held by M Zion Capital, the shares held by M Olivet Capital, the shares held by M Cannan Capital and the shares entitled to CP Acquisitions upon conversion of its Convertible Note, in each case except to the extent of her pecuniary interest therein.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Item 5(c) of the Schedule 13D is hereby amended and supplemented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New Junior Note for CP Acquisitions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14, 2024, Issuer issued a junior secured promissory note (the “</w:t>
      </w:r>
      <w:r>
        <w:rPr>
          <w:rFonts w:ascii="Times New Roman" w:cs="Times New Roman" w:eastAsia="Times New Roman" w:hAnsi="Times New Roman"/>
          <w:sz w:val="18"/>
          <w:szCs w:val="18"/>
          <w:i w:val="1"/>
          <w:iCs w:val="1"/>
          <w:color w:val="auto"/>
        </w:rPr>
        <w:t>New Junior Note</w:t>
      </w:r>
      <w:r>
        <w:rPr>
          <w:rFonts w:ascii="Times New Roman" w:cs="Times New Roman" w:eastAsia="Times New Roman" w:hAnsi="Times New Roman"/>
          <w:sz w:val="18"/>
          <w:szCs w:val="18"/>
          <w:color w:val="auto"/>
        </w:rPr>
        <w:t>”) in favor of CP Acquisitions, an entity affiliated with and controlled by I-Tseng Jenny Chan, a member of the Board of Directors of the Issuer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 Raymond Chang, the Chief Executive Officer of the Issuer and a member of the Board. Pursuant to the New Junior Note, CP Acquisitions will lend up to $1,500,000 to the Issuer. The New Junior Note bears interest at a rate of 10% per annum, will mature in full on July 1, 2025, and may be prepaid without any fee or penalty. The New Junior Note is secured by the Issuer’s assets and ranks junior to existing secured indebtedness of the Issuer. The New Junior Note may be converted into common stock of the Company or, at CP Acquisition’s election, pre-funded warrants with an exercise price of $0.001 per share (the “</w:t>
      </w:r>
      <w:r>
        <w:rPr>
          <w:rFonts w:ascii="Times New Roman" w:cs="Times New Roman" w:eastAsia="Times New Roman" w:hAnsi="Times New Roman"/>
          <w:sz w:val="18"/>
          <w:szCs w:val="18"/>
          <w:i w:val="1"/>
          <w:iCs w:val="1"/>
          <w:color w:val="auto"/>
        </w:rPr>
        <w:t>Pre-Funded Warrants</w:t>
      </w:r>
      <w:r>
        <w:rPr>
          <w:rFonts w:ascii="Times New Roman" w:cs="Times New Roman" w:eastAsia="Times New Roman" w:hAnsi="Times New Roman"/>
          <w:sz w:val="18"/>
          <w:szCs w:val="18"/>
          <w:color w:val="auto"/>
        </w:rPr>
        <w:t>”), in each case at a conversion price of $0.2633.</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summaries of the New Junior Note and the form of Pre-Funded Warrant do not purport to be complete, and are qualified in their entirety by reference to copies of the New Junior Note and the form of Pre-Funded Warrant, which are filed as Exhibits 4.1 and 4.2, respectively, to the Issuer’s Current Report on Form 8-K, filed with the SEC on August 14, 2024, which are attached as exhibits 1 and 2, respectively, to this Schedule 13D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The information provided or incorporated by reference in </w:t>
      </w:r>
      <w:r>
        <w:rPr>
          <w:rFonts w:ascii="Times New Roman" w:cs="Times New Roman" w:eastAsia="Times New Roman" w:hAnsi="Times New Roman"/>
          <w:sz w:val="18"/>
          <w:szCs w:val="18"/>
          <w:i w:val="1"/>
          <w:iCs w:val="1"/>
          <w:u w:val="single" w:color="auto"/>
          <w:color w:val="auto"/>
        </w:rPr>
        <w:t>Item 5</w:t>
      </w:r>
      <w:r>
        <w:rPr>
          <w:rFonts w:ascii="Times New Roman" w:cs="Times New Roman" w:eastAsia="Times New Roman" w:hAnsi="Times New Roman"/>
          <w:sz w:val="18"/>
          <w:szCs w:val="18"/>
          <w:i w:val="1"/>
          <w:iCs w:val="1"/>
          <w:color w:val="auto"/>
        </w:rPr>
        <w:t xml:space="preserve"> of this Schedule 13D, is hereby incorporated herein by this reference thereto.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Item 6 is hereby amended and modified to include the following (which shall be in addition to the information previously included in the Schedule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13D):</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Except as set forth in the New Junior Note, or herein, the Reporting Persons do not have any contracts, arrangements, understandings or relationships (legal or otherwise) with any person with respect to any securities of the Issuer, including, but not limited to, any contracts, arrangements, understandings or relationships concerning the call options, put options, security-based swaps or any other derivative securities, transfer or voting of such securities, finder’s fees, joint ventures, loan or option arrangements, guarantees of profits, division of profits or losses, or the giving or withholding of proxies.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p>
    <w:p>
      <w:pPr>
        <w:ind w:left="1140" w:hanging="1132"/>
        <w:spacing w:after="0" w:line="261" w:lineRule="auto"/>
        <w:tabs>
          <w:tab w:leader="none" w:pos="1140" w:val="left"/>
        </w:tabs>
        <w:numPr>
          <w:ilvl w:val="0"/>
          <w:numId w:val="23"/>
        </w:numPr>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Junior Secured Convertible Promissory Note dated as of August 14, 2024 (incorporated by reference to Exhibit 4.1 to the Issuer’s Current</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Report on Form 8-K, filed with the SEC on August 14, 2024).</w:t>
        </w:r>
      </w:hyperlink>
    </w:p>
    <w:p>
      <w:pPr>
        <w:ind w:left="1140" w:hanging="1132"/>
        <w:spacing w:after="0" w:line="260" w:lineRule="auto"/>
        <w:tabs>
          <w:tab w:leader="none" w:pos="1140" w:val="left"/>
        </w:tabs>
        <w:numPr>
          <w:ilvl w:val="0"/>
          <w:numId w:val="24"/>
        </w:numPr>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Form of Pre-Funded Warrant (incorporated by reference to Exhibit 4.2 to the Issuer’s Current Report on Form 8-K, filed with the SEC on</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August 14, 2024).</w:t>
        </w:r>
      </w:hyperlink>
    </w:p>
    <w:p>
      <w:pPr>
        <w:spacing w:after="0" w:line="39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16,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I-Tseng Jenny Chan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I-Tseng Jenny 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I-Tseng Jenny Chan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 Zion Capital,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Pr>
          <w:p>
            <w:pPr>
              <w:spacing w:after="0"/>
              <w:rPr>
                <w:sz w:val="20"/>
                <w:szCs w:val="20"/>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Olivet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 Cannan Capital,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r>
        <w:trPr>
          <w:trHeight w:val="432"/>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CP Acquisitions, LLC</w:t>
            </w:r>
          </w:p>
        </w:tc>
        <w:tc>
          <w:tcPr>
            <w:tcW w:w="40" w:type="dxa"/>
            <w:vAlign w:val="bottom"/>
          </w:tcPr>
          <w:p>
            <w:pPr>
              <w:spacing w:after="0"/>
              <w:rPr>
                <w:sz w:val="24"/>
                <w:szCs w:val="24"/>
                <w:color w:val="auto"/>
              </w:rPr>
            </w:pPr>
          </w:p>
        </w:tc>
      </w:tr>
      <w:tr>
        <w:trPr>
          <w:trHeight w:val="439"/>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4"/>
                <w:szCs w:val="24"/>
                <w:color w:val="auto"/>
              </w:rPr>
            </w:pPr>
          </w:p>
        </w:tc>
        <w:tc>
          <w:tcPr>
            <w:tcW w:w="3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I-Tseng Jenny Chan</w:t>
            </w:r>
          </w:p>
        </w:tc>
        <w:tc>
          <w:tcPr>
            <w:tcW w:w="40" w:type="dxa"/>
            <w:vAlign w:val="bottom"/>
            <w:tcBorders>
              <w:bottom w:val="single" w:sz="8" w:color="auto"/>
            </w:tcBorders>
          </w:tcPr>
          <w:p>
            <w:pPr>
              <w:spacing w:after="0"/>
              <w:rPr>
                <w:sz w:val="24"/>
                <w:szCs w:val="24"/>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8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I-Tseng Jenny Chan</w:t>
            </w:r>
          </w:p>
        </w:tc>
        <w:tc>
          <w:tcPr>
            <w:tcW w:w="4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c>
          <w:tcPr>
            <w:tcW w:w="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109CF92E"/>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3">
    <w:nsid w:val="DED7263"/>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4">
    <w:nsid w:val="7FDCC2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1BEFD79F"/>
    <w:multiLevelType w:val="hybridMultilevel"/>
    <w:lvl w:ilvl="0">
      <w:lvlJc w:val="left"/>
      <w:lvlText w:val="(%1)"/>
      <w:numFmt w:val="decimal"/>
      <w:start w:val="2"/>
    </w:lvl>
  </w:abstractNum>
  <w:abstractNum w:abstractNumId="6">
    <w:nsid w:val="41A7C4C9"/>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7">
    <w:nsid w:val="6B68079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8">
    <w:nsid w:val="4E6AFB66"/>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9">
    <w:nsid w:val="25E45D3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519B500D"/>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1">
    <w:nsid w:val="431BD7B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2">
    <w:nsid w:val="3F2DBA3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3">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257130A3"/>
    <w:multiLevelType w:val="hybridMultilevel"/>
    <w:lvl w:ilvl="0">
      <w:lvlJc w:val="left"/>
      <w:lvlText w:val="%1."/>
      <w:numFmt w:val="decimal"/>
      <w:start w:val="1"/>
    </w:lvl>
    <w:lvl w:ilvl="1">
      <w:lvlJc w:val="left"/>
      <w:lvlText w:val="(%2)"/>
      <w:numFmt w:val="lowerLetter"/>
      <w:start w:val="1"/>
    </w:lvl>
  </w:abstractNum>
  <w:abstractNum w:abstractNumId="15">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0">
    <w:nsid w:val="2443A8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1">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6763845E"/>
    <w:multiLevelType w:val="hybridMultilevel"/>
    <w:lvl w:ilvl="0">
      <w:lvlJc w:val="left"/>
      <w:lvlText w:val="1"/>
      <w:numFmt w:val="bullet"/>
      <w:start w:val="1"/>
    </w:lvl>
  </w:abstractNum>
  <w:abstractNum w:abstractNumId="23">
    <w:nsid w:val="75A2A8D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4" Type="http://schemas.openxmlformats.org/officeDocument/2006/relationships/hyperlink" Target="http://www.sec.gov/Archives/edgar/data/1800637/000121390024069076/ea021134001ex4-1_agrify.htm" TargetMode="External"/><Relationship Id="rId25" Type="http://schemas.openxmlformats.org/officeDocument/2006/relationships/hyperlink" Target="http://www.sec.gov/Archives/edgar/data/1800637/000121390024045718/ea020667101ex4-2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2024-08-16T15:41:27Z</dcterms:created>
  <dcterms:modified xsi:type="dcterms:W3CDTF">2024-08-16T15:41:27Z</dcterms:modified>
</cp:coreProperties>
</file>