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ea177338-8k_agrify.htm"/>
      <w:bookmarkStart w:id="1" w:name="ksea1773388k_agrify"/>
      <w:bookmarkEnd w:id="0"/>
      <w:bookmarkEnd w:id="1"/>
      <w:r>
        <w:rPr>
          <w:bdr w:val="single" w:sz="16" w:space="1" w:color="000000"/>
        </w:rPr>
        <w:t> </w:t>
      </w:r>
    </w:p>
    <w:p>
      <w:pPr>
        <w:pStyle w:val="TextBody"/>
        <w:rPr/>
      </w:pPr>
      <w:r>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8_edei--DocumentType_c20230418__20"/>
      <w:bookmarkEnd w:id="2"/>
      <w:r>
        <w:rPr>
          <w:rFonts w:ascii="Times New Roman;Times;Serif" w:hAnsi="Times New Roman;Times;Serif"/>
          <w:b/>
          <w:i w:val="false"/>
          <w:caps w:val="false"/>
          <w:smallCaps w:val="false"/>
          <w:sz w:val="28"/>
        </w:rPr>
        <w:t>8-K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April 18, 2023</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4" w:name="xdx_900_edei--EntityRegistrantName_c2023"/>
      <w:bookmarkEnd w:id="4"/>
      <w:r>
        <w:rPr>
          <w:rFonts w:ascii="Times New Roman;Times;Serif" w:hAnsi="Times New Roman;Times;Serif"/>
          <w:b/>
          <w:i w:val="false"/>
          <w:caps w:val="false"/>
          <w:smallCaps w:val="false"/>
          <w:sz w:val="20"/>
        </w:rPr>
        <w:t>AGRIFY CORPORATION</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tbl>
      <w:tblPr>
        <w:tblW w:w="9240" w:type="dxa"/>
        <w:jc w:val="left"/>
        <w:tblInd w:w="0" w:type="dxa"/>
        <w:tblCellMar>
          <w:top w:w="0" w:type="dxa"/>
          <w:left w:w="0" w:type="dxa"/>
          <w:bottom w:w="28" w:type="dxa"/>
          <w:right w:w="0" w:type="dxa"/>
        </w:tblCellMar>
      </w:tblPr>
      <w:tblGrid>
        <w:gridCol w:w="4130"/>
        <w:gridCol w:w="60"/>
        <w:gridCol w:w="2210"/>
        <w:gridCol w:w="60"/>
        <w:gridCol w:w="2780"/>
      </w:tblGrid>
      <w:tr>
        <w:trPr/>
        <w:tc>
          <w:tcPr>
            <w:tcW w:w="4130" w:type="dxa"/>
            <w:tcBorders>
              <w:bottom w:val="single" w:sz="12" w:space="0" w:color="000000"/>
            </w:tcBorders>
            <w:shd w:fill="auto" w:val="clear"/>
            <w:vAlign w:val="center"/>
          </w:tcPr>
          <w:p>
            <w:pPr>
              <w:pStyle w:val="TableContents"/>
              <w:spacing w:before="0" w:after="283"/>
              <w:jc w:val="center"/>
              <w:rPr>
                <w:b/>
              </w:rPr>
            </w:pPr>
            <w:bookmarkStart w:id="5" w:name="xdx_904_edei--EntityIncorporationStateCo"/>
            <w:bookmarkEnd w:id="5"/>
            <w:r>
              <w:rPr>
                <w:b/>
              </w:rPr>
              <w:t>Nevada</w:t>
            </w:r>
          </w:p>
        </w:tc>
        <w:tc>
          <w:tcPr>
            <w:tcW w:w="60" w:type="dxa"/>
            <w:tcBorders/>
            <w:shd w:fill="auto" w:val="clear"/>
            <w:tcMar>
              <w:bottom w:w="0" w:type="dxa"/>
            </w:tcMar>
            <w:vAlign w:val="center"/>
          </w:tcPr>
          <w:p>
            <w:pPr>
              <w:pStyle w:val="TableContents"/>
              <w:spacing w:before="0" w:after="283"/>
              <w:rPr/>
            </w:pPr>
            <w:r>
              <w:rPr/>
              <w:t> </w:t>
            </w:r>
          </w:p>
        </w:tc>
        <w:tc>
          <w:tcPr>
            <w:tcW w:w="2210" w:type="dxa"/>
            <w:tcBorders>
              <w:bottom w:val="single" w:sz="12" w:space="0" w:color="000000"/>
            </w:tcBorders>
            <w:shd w:fill="auto" w:val="clear"/>
            <w:vAlign w:val="center"/>
          </w:tcPr>
          <w:p>
            <w:pPr>
              <w:pStyle w:val="TableContents"/>
              <w:spacing w:before="0" w:after="283"/>
              <w:jc w:val="center"/>
              <w:rPr>
                <w:b/>
                <w:sz w:val="20"/>
              </w:rPr>
            </w:pPr>
            <w:bookmarkStart w:id="6" w:name="xdx_90F_edei--EntityFileNumber_c20230418"/>
            <w:bookmarkEnd w:id="6"/>
            <w:r>
              <w:rPr>
                <w:b/>
                <w:sz w:val="20"/>
              </w:rPr>
              <w:t>001-39946</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12" w:space="0" w:color="000000"/>
            </w:tcBorders>
            <w:shd w:fill="auto" w:val="clear"/>
            <w:vAlign w:val="center"/>
          </w:tcPr>
          <w:p>
            <w:pPr>
              <w:pStyle w:val="TableContents"/>
              <w:spacing w:before="0" w:after="283"/>
              <w:jc w:val="center"/>
              <w:rPr>
                <w:b/>
                <w:sz w:val="20"/>
              </w:rPr>
            </w:pPr>
            <w:bookmarkStart w:id="7" w:name="xdx_908_edei--EntityTaxIdentificationNum"/>
            <w:bookmarkEnd w:id="7"/>
            <w:r>
              <w:rPr>
                <w:b/>
                <w:sz w:val="20"/>
              </w:rPr>
              <w:t>30-0943453</w:t>
            </w:r>
          </w:p>
        </w:tc>
      </w:tr>
      <w:tr>
        <w:trPr/>
        <w:tc>
          <w:tcPr>
            <w:tcW w:w="4130" w:type="dxa"/>
            <w:tcBorders/>
            <w:shd w:fill="auto" w:val="clear"/>
            <w:tcMar>
              <w:bottom w:w="0" w:type="dxa"/>
            </w:tcMar>
            <w:vAlign w:val="center"/>
          </w:tcPr>
          <w:p>
            <w:pPr>
              <w:pStyle w:val="TableContents"/>
              <w:spacing w:before="0" w:after="283"/>
              <w:jc w:val="center"/>
              <w:rPr/>
            </w:pPr>
            <w:r>
              <w:rPr/>
              <w:t>(State or other jurisdiction of incorporation)</w:t>
            </w:r>
          </w:p>
        </w:tc>
        <w:tc>
          <w:tcPr>
            <w:tcW w:w="60" w:type="dxa"/>
            <w:tcBorders/>
            <w:shd w:fill="auto" w:val="clear"/>
            <w:tcMar>
              <w:bottom w:w="0" w:type="dxa"/>
            </w:tcMar>
            <w:vAlign w:val="center"/>
          </w:tcPr>
          <w:p>
            <w:pPr>
              <w:pStyle w:val="TableContents"/>
              <w:spacing w:before="0" w:after="283"/>
              <w:rPr/>
            </w:pPr>
            <w:r>
              <w:rPr/>
              <w:t> </w:t>
            </w:r>
          </w:p>
        </w:tc>
        <w:tc>
          <w:tcPr>
            <w:tcW w:w="2210"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bl>
    <w:p>
      <w:pPr>
        <w:pStyle w:val="TextBody"/>
        <w:rPr/>
      </w:pPr>
      <w:r>
        <w:rPr/>
        <w:t> </w:t>
      </w:r>
    </w:p>
    <w:tbl>
      <w:tblPr>
        <w:tblW w:w="5545" w:type="dxa"/>
        <w:jc w:val="left"/>
        <w:tblInd w:w="0" w:type="dxa"/>
        <w:tblCellMar>
          <w:top w:w="0" w:type="dxa"/>
          <w:left w:w="0" w:type="dxa"/>
          <w:bottom w:w="28" w:type="dxa"/>
          <w:right w:w="0" w:type="dxa"/>
        </w:tblCellMar>
      </w:tblPr>
      <w:tblGrid>
        <w:gridCol w:w="4565"/>
        <w:gridCol w:w="60"/>
        <w:gridCol w:w="920"/>
      </w:tblGrid>
      <w:tr>
        <w:trPr/>
        <w:tc>
          <w:tcPr>
            <w:tcW w:w="4565" w:type="dxa"/>
            <w:tcBorders>
              <w:bottom w:val="single" w:sz="12" w:space="0" w:color="000000"/>
            </w:tcBorders>
            <w:shd w:fill="auto" w:val="clear"/>
            <w:vAlign w:val="center"/>
          </w:tcPr>
          <w:p>
            <w:pPr>
              <w:pStyle w:val="TableContents"/>
              <w:spacing w:before="0" w:after="283"/>
              <w:jc w:val="center"/>
              <w:rPr/>
            </w:pPr>
            <w:bookmarkStart w:id="8" w:name="xdx_90E_edei--EntityAddressAddressLine1_"/>
            <w:bookmarkEnd w:id="8"/>
            <w:r>
              <w:rPr>
                <w:b/>
              </w:rPr>
              <w:t>76 Treble Cove Rd.</w:t>
            </w:r>
            <w:r>
              <w:rPr/>
              <w:t xml:space="preserve"> </w:t>
            </w:r>
            <w:bookmarkStart w:id="9" w:name="xdx_904_edei--EntityAddressAddressLine2_"/>
            <w:bookmarkEnd w:id="9"/>
            <w:r>
              <w:rPr>
                <w:b/>
              </w:rPr>
              <w:t>Building 3</w:t>
            </w:r>
            <w:r>
              <w:rPr/>
              <w:t xml:space="preserve"> </w:t>
            </w:r>
            <w:bookmarkStart w:id="10" w:name="xdx_901_edei--EntityAddressCityOrTown_c2"/>
            <w:bookmarkEnd w:id="10"/>
            <w:r>
              <w:rPr>
                <w:b/>
              </w:rPr>
              <w:t xml:space="preserve">Billerica, </w:t>
            </w:r>
            <w:bookmarkStart w:id="11" w:name="xdx_905_edei--EntityAddressStateOrProvin"/>
            <w:bookmarkEnd w:id="11"/>
            <w:r>
              <w:rPr>
                <w:b/>
              </w:rPr>
              <w:t>MA</w:t>
            </w:r>
          </w:p>
        </w:tc>
        <w:tc>
          <w:tcPr>
            <w:tcW w:w="60" w:type="dxa"/>
            <w:tcBorders/>
            <w:shd w:fill="auto" w:val="clear"/>
            <w:tcMar>
              <w:bottom w:w="0" w:type="dxa"/>
            </w:tcMar>
            <w:vAlign w:val="center"/>
          </w:tcPr>
          <w:p>
            <w:pPr>
              <w:pStyle w:val="TableContents"/>
              <w:spacing w:before="0" w:after="283"/>
              <w:rPr/>
            </w:pPr>
            <w:r>
              <w:rPr/>
              <w:t> </w:t>
            </w:r>
          </w:p>
        </w:tc>
        <w:tc>
          <w:tcPr>
            <w:tcW w:w="920" w:type="dxa"/>
            <w:tcBorders>
              <w:bottom w:val="single" w:sz="12" w:space="0" w:color="000000"/>
            </w:tcBorders>
            <w:shd w:fill="auto" w:val="clear"/>
            <w:vAlign w:val="center"/>
          </w:tcPr>
          <w:p>
            <w:pPr>
              <w:pStyle w:val="TableContents"/>
              <w:spacing w:before="0" w:after="283"/>
              <w:jc w:val="center"/>
              <w:rPr>
                <w:b/>
              </w:rPr>
            </w:pPr>
            <w:bookmarkStart w:id="12" w:name="xdx_90C_edei--EntityAddressPostalZipCode"/>
            <w:bookmarkEnd w:id="12"/>
            <w:r>
              <w:rPr>
                <w:b/>
              </w:rPr>
              <w:t>01862</w:t>
            </w:r>
          </w:p>
        </w:tc>
      </w:tr>
      <w:tr>
        <w:trPr/>
        <w:tc>
          <w:tcPr>
            <w:tcW w:w="4565"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92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30418__20"/>
      <w:bookmarkEnd w:id="13"/>
      <w:r>
        <w:rPr>
          <w:rFonts w:ascii="Times New Roman;Times;Serif" w:hAnsi="Times New Roman;Times;Serif"/>
          <w:b/>
          <w:i w:val="false"/>
          <w:caps w:val="false"/>
          <w:smallCaps w:val="false"/>
          <w:sz w:val="20"/>
        </w:rPr>
        <w:t xml:space="preserve">617) </w:t>
      </w:r>
      <w:bookmarkStart w:id="14" w:name="xdx_90F_edei--LocalPhoneNumber_c20230418"/>
      <w:bookmarkEnd w:id="14"/>
      <w:r>
        <w:rPr>
          <w:rFonts w:ascii="Times New Roman;Times;Serif" w:hAnsi="Times New Roman;Times;Serif"/>
          <w:b/>
          <w:i w:val="false"/>
          <w:caps w:val="false"/>
          <w:smallCaps w:val="false"/>
          <w:sz w:val="20"/>
        </w:rPr>
        <w:t>896-5243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8770" w:type="dxa"/>
        <w:jc w:val="left"/>
        <w:tblInd w:w="0" w:type="dxa"/>
        <w:tblCellMar>
          <w:top w:w="0" w:type="dxa"/>
          <w:left w:w="0" w:type="dxa"/>
          <w:bottom w:w="0" w:type="dxa"/>
          <w:right w:w="0" w:type="dxa"/>
        </w:tblCellMar>
      </w:tblPr>
      <w:tblGrid>
        <w:gridCol w:w="245"/>
        <w:gridCol w:w="8525"/>
      </w:tblGrid>
      <w:tr>
        <w:trPr/>
        <w:tc>
          <w:tcPr>
            <w:tcW w:w="245" w:type="dxa"/>
            <w:tcBorders/>
            <w:shd w:fill="auto" w:val="clear"/>
            <w:vAlign w:val="center"/>
          </w:tcPr>
          <w:p>
            <w:pPr>
              <w:pStyle w:val="TableContents"/>
              <w:spacing w:before="0" w:after="283"/>
              <w:jc w:val="left"/>
              <w:rPr/>
            </w:pPr>
            <w:bookmarkStart w:id="15" w:name="xdx_90E_edei--WrittenCommunications_c202"/>
            <w:bookmarkEnd w:id="15"/>
            <w:r>
              <w:rPr/>
              <w:t>☐</w:t>
            </w:r>
          </w:p>
        </w:tc>
        <w:tc>
          <w:tcPr>
            <w:tcW w:w="8525" w:type="dxa"/>
            <w:tcBorders/>
            <w:shd w:fill="auto" w:val="clear"/>
            <w:vAlign w:val="center"/>
          </w:tcPr>
          <w:p>
            <w:pPr>
              <w:pStyle w:val="TableContents"/>
              <w:spacing w:before="0" w:after="283"/>
              <w:jc w:val="both"/>
              <w:rPr/>
            </w:pPr>
            <w:r>
              <w:rPr/>
              <w:t>Written communications pursuant to Rule 425 under the Securities Act (17 CFR 230.425)</w:t>
            </w:r>
          </w:p>
        </w:tc>
      </w:tr>
    </w:tbl>
    <w:p>
      <w:pPr>
        <w:pStyle w:val="TextBody"/>
        <w:spacing w:before="0" w:after="0"/>
        <w:ind w:left="0" w:right="0" w:hanging="0"/>
        <w:rPr>
          <w:caps w:val="false"/>
          <w:smallCaps w:val="false"/>
        </w:rPr>
      </w:pPr>
      <w:r>
        <w:rPr>
          <w:caps w:val="false"/>
          <w:smallCaps w:val="false"/>
        </w:rPr>
        <w:t> </w:t>
      </w:r>
    </w:p>
    <w:tbl>
      <w:tblPr>
        <w:tblW w:w="8800" w:type="dxa"/>
        <w:jc w:val="left"/>
        <w:tblInd w:w="0" w:type="dxa"/>
        <w:tblCellMar>
          <w:top w:w="0" w:type="dxa"/>
          <w:left w:w="0" w:type="dxa"/>
          <w:bottom w:w="0" w:type="dxa"/>
          <w:right w:w="0" w:type="dxa"/>
        </w:tblCellMar>
      </w:tblPr>
      <w:tblGrid>
        <w:gridCol w:w="245"/>
        <w:gridCol w:w="8555"/>
      </w:tblGrid>
      <w:tr>
        <w:trPr/>
        <w:tc>
          <w:tcPr>
            <w:tcW w:w="245" w:type="dxa"/>
            <w:tcBorders/>
            <w:shd w:fill="auto" w:val="clear"/>
            <w:vAlign w:val="center"/>
          </w:tcPr>
          <w:p>
            <w:pPr>
              <w:pStyle w:val="TableContents"/>
              <w:spacing w:before="0" w:after="283"/>
              <w:jc w:val="left"/>
              <w:rPr/>
            </w:pPr>
            <w:bookmarkStart w:id="16" w:name="xdx_902_edei--SolicitingMaterial_c202304"/>
            <w:bookmarkEnd w:id="16"/>
            <w:r>
              <w:rPr/>
              <w:t>☐</w:t>
            </w:r>
          </w:p>
        </w:tc>
        <w:tc>
          <w:tcPr>
            <w:tcW w:w="8555" w:type="dxa"/>
            <w:tcBorders/>
            <w:shd w:fill="auto" w:val="clear"/>
            <w:vAlign w:val="center"/>
          </w:tcPr>
          <w:p>
            <w:pPr>
              <w:pStyle w:val="TableContents"/>
              <w:spacing w:before="0" w:after="283"/>
              <w:jc w:val="both"/>
              <w:rPr/>
            </w:pPr>
            <w:r>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bookmarkStart w:id="17" w:name="xdx_901_edei--PreCommencementTenderOffer"/>
            <w:bookmarkEnd w:id="17"/>
            <w:r>
              <w:rPr/>
              <w:t>☐</w:t>
            </w:r>
          </w:p>
        </w:tc>
        <w:tc>
          <w:tcPr>
            <w:tcW w:w="9960" w:type="dxa"/>
            <w:tcBorders/>
            <w:shd w:fill="auto" w:val="clear"/>
            <w:vAlign w:val="center"/>
          </w:tcPr>
          <w:p>
            <w:pPr>
              <w:pStyle w:val="TableContents"/>
              <w:spacing w:before="0" w:after="283"/>
              <w:jc w:val="both"/>
              <w:rPr/>
            </w:pPr>
            <w:r>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bookmarkStart w:id="18" w:name="xdx_90C_edei--PreCommencementIssuerTende"/>
            <w:bookmarkEnd w:id="18"/>
            <w:r>
              <w:rPr/>
              <w:t>☐</w:t>
            </w:r>
          </w:p>
        </w:tc>
        <w:tc>
          <w:tcPr>
            <w:tcW w:w="9960"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360" w:right="0" w:hanging="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250" w:type="dxa"/>
        <w:jc w:val="left"/>
        <w:tblInd w:w="0" w:type="dxa"/>
        <w:tblCellMar>
          <w:top w:w="0" w:type="dxa"/>
          <w:left w:w="0" w:type="dxa"/>
          <w:bottom w:w="28" w:type="dxa"/>
          <w:right w:w="0" w:type="dxa"/>
        </w:tblCellMar>
      </w:tblPr>
      <w:tblGrid>
        <w:gridCol w:w="2750"/>
        <w:gridCol w:w="60"/>
        <w:gridCol w:w="1610"/>
        <w:gridCol w:w="60"/>
        <w:gridCol w:w="3770"/>
      </w:tblGrid>
      <w:tr>
        <w:trPr/>
        <w:tc>
          <w:tcPr>
            <w:tcW w:w="2750" w:type="dxa"/>
            <w:tcBorders>
              <w:bottom w:val="single" w:sz="12"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bottom w:val="single" w:sz="12"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770" w:type="dxa"/>
            <w:tcBorders>
              <w:bottom w:val="single" w:sz="12"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2750" w:type="dxa"/>
            <w:tcBorders/>
            <w:shd w:fill="CCEEFF" w:val="clear"/>
            <w:tcMar>
              <w:bottom w:w="0" w:type="dxa"/>
            </w:tcMar>
            <w:vAlign w:val="center"/>
          </w:tcPr>
          <w:p>
            <w:pPr>
              <w:pStyle w:val="TableContents"/>
              <w:spacing w:before="0" w:after="283"/>
              <w:jc w:val="center"/>
              <w:rPr>
                <w:sz w:val="20"/>
              </w:rPr>
            </w:pPr>
            <w:bookmarkStart w:id="19" w:name="xdx_905_edei--Security12bTitle_c20230418"/>
            <w:bookmarkEnd w:id="19"/>
            <w:r>
              <w:rPr>
                <w:sz w:val="20"/>
              </w:rPr>
              <w:t>Common Stock, $0.001 par value</w:t>
            </w:r>
          </w:p>
        </w:tc>
        <w:tc>
          <w:tcPr>
            <w:tcW w:w="60" w:type="dxa"/>
            <w:tcBorders/>
            <w:shd w:fill="CCEEFF" w:val="clear"/>
            <w:tcMar>
              <w:bottom w:w="0" w:type="dxa"/>
            </w:tcMar>
            <w:vAlign w:val="center"/>
          </w:tcPr>
          <w:p>
            <w:pPr>
              <w:pStyle w:val="TableContents"/>
              <w:spacing w:before="0" w:after="283"/>
              <w:jc w:val="center"/>
              <w:rPr/>
            </w:pPr>
            <w:r>
              <w:rPr/>
              <w:t> </w:t>
            </w:r>
          </w:p>
        </w:tc>
        <w:tc>
          <w:tcPr>
            <w:tcW w:w="1610" w:type="dxa"/>
            <w:tcBorders/>
            <w:shd w:fill="CCEEFF" w:val="clear"/>
            <w:tcMar>
              <w:bottom w:w="0" w:type="dxa"/>
            </w:tcMar>
            <w:vAlign w:val="center"/>
          </w:tcPr>
          <w:p>
            <w:pPr>
              <w:pStyle w:val="TableContents"/>
              <w:spacing w:before="0" w:after="283"/>
              <w:jc w:val="center"/>
              <w:rPr>
                <w:sz w:val="20"/>
              </w:rPr>
            </w:pPr>
            <w:bookmarkStart w:id="20" w:name="xdx_90C_edei--TradingSymbol_c20230418__2"/>
            <w:bookmarkEnd w:id="20"/>
            <w:r>
              <w:rPr>
                <w:sz w:val="20"/>
              </w:rPr>
              <w:t>AGFY</w:t>
            </w:r>
          </w:p>
        </w:tc>
        <w:tc>
          <w:tcPr>
            <w:tcW w:w="60" w:type="dxa"/>
            <w:tcBorders/>
            <w:shd w:fill="CCEEFF" w:val="clear"/>
            <w:tcMar>
              <w:bottom w:w="0" w:type="dxa"/>
            </w:tcMar>
            <w:vAlign w:val="center"/>
          </w:tcPr>
          <w:p>
            <w:pPr>
              <w:pStyle w:val="TableContents"/>
              <w:spacing w:before="0" w:after="283"/>
              <w:jc w:val="center"/>
              <w:rPr/>
            </w:pPr>
            <w:r>
              <w:rPr/>
              <w:t> </w:t>
            </w:r>
          </w:p>
        </w:tc>
        <w:tc>
          <w:tcPr>
            <w:tcW w:w="3770" w:type="dxa"/>
            <w:tcBorders/>
            <w:shd w:fill="CCEEFF" w:val="clear"/>
            <w:tcMar>
              <w:bottom w:w="0" w:type="dxa"/>
            </w:tcMar>
            <w:vAlign w:val="center"/>
          </w:tcPr>
          <w:p>
            <w:pPr>
              <w:pStyle w:val="TableContents"/>
              <w:spacing w:before="0" w:after="283"/>
              <w:jc w:val="center"/>
              <w:rPr>
                <w:sz w:val="20"/>
              </w:rPr>
            </w:pPr>
            <w:r>
              <w:rPr>
                <w:sz w:val="20"/>
              </w:rPr>
              <w:t xml:space="preserve">The </w:t>
            </w:r>
            <w:bookmarkStart w:id="21" w:name="xdx_90F_edei--SecurityExchangeName_c2023"/>
            <w:bookmarkEnd w:id="21"/>
            <w:r>
              <w:rPr>
                <w:sz w:val="20"/>
              </w:rPr>
              <w:t>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Notice of Delisting or Failure to Satisfy a Continued Listing Rule or Standard; Transfer of Listing.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2023, Agrify Corporation (the “Company”) received a notice (the “Notice”) from The Nasdaq Stock Market LLC (“Nasdaq”) stating that because the Company had not yet filed its Annual Report on Form 10-K for the fiscal year ended December 31, 2022 (the “Form 10-K”), the Company is no longer in compliance with Nasdaq Listing Rule 5250(c)(1). Nasdaq Listing Rule 5250(c)(1) requires listed companies to timely file all required periodic financial reports with the Securities and Exchange Commission.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 xml:space="preserve">As disclosed in the Current Report on Form 8-K filed by the Company on </w:t>
      </w:r>
      <w:r>
        <w:rPr>
          <w:rFonts w:ascii="Times New Roman;Times;Serif" w:hAnsi="Times New Roman;Times;Serif"/>
          <w:b w:val="false"/>
          <w:i w:val="false"/>
          <w:caps w:val="false"/>
          <w:smallCaps w:val="false"/>
          <w:sz w:val="20"/>
        </w:rPr>
        <w:t>April 17</w:t>
      </w:r>
      <w:r>
        <w:rPr>
          <w:rFonts w:ascii="Times New Roman;Times;Serif" w:hAnsi="Times New Roman;Times;Serif"/>
          <w:b w:val="false"/>
          <w:i w:val="false"/>
          <w:caps w:val="false"/>
          <w:smallCaps w:val="false"/>
          <w:sz w:val="20"/>
          <w:highlight w:val="white"/>
        </w:rPr>
        <w:t xml:space="preserve">, 2023, the Company’s audit committee concluded that, as a result of inadvertent errors in the accounting for warrants previously issued by the Company, it was appropriate to restate the Company’s previously </w:t>
      </w:r>
      <w:r>
        <w:rPr>
          <w:rFonts w:ascii="Times New Roman;Times;Serif" w:hAnsi="Times New Roman;Times;Serif"/>
          <w:b w:val="false"/>
          <w:i w:val="false"/>
          <w:caps w:val="false"/>
          <w:smallCaps w:val="false"/>
          <w:sz w:val="20"/>
        </w:rPr>
        <w:t>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(the “Amended 10-Qs”)</w:t>
      </w:r>
      <w:r>
        <w:rPr>
          <w:rFonts w:ascii="Times New Roman;Times;Serif" w:hAnsi="Times New Roman;Times;Serif"/>
          <w:b w:val="false"/>
          <w:i w:val="false"/>
          <w:caps w:val="false"/>
          <w:smallCaps w:val="false"/>
          <w:sz w:val="20"/>
          <w:highlight w:val="white"/>
        </w:rPr>
        <w:t xml:space="preserve">. Given the scope of the process for preparing the Amended 10-Qs, the Company was unable to complete and file the Form 10-K by the required due date of March 31, 2023. On March 31, 2023, the Company filed a Form 12b-25 Notification of Late Filing with the SEC related to the Form 10-K.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states that the Company has 60 calendar days from April 18, 2023, or until June 20, 2023, to </w:t>
      </w:r>
      <w:r>
        <w:rPr>
          <w:rFonts w:ascii="Times New Roman;Times;Serif" w:hAnsi="Times New Roman;Times;Serif"/>
          <w:b w:val="false"/>
          <w:i w:val="false"/>
          <w:caps w:val="false"/>
          <w:smallCaps w:val="false"/>
          <w:sz w:val="20"/>
          <w:highlight w:val="white"/>
        </w:rPr>
        <w:t>regain compliance by filing the Form 10-K or to </w:t>
      </w:r>
      <w:r>
        <w:rPr>
          <w:rFonts w:ascii="Times New Roman;Times;Serif" w:hAnsi="Times New Roman;Times;Serif"/>
          <w:b w:val="false"/>
          <w:i w:val="false"/>
          <w:caps w:val="false"/>
          <w:smallCaps w:val="false"/>
          <w:sz w:val="20"/>
        </w:rPr>
        <w:t>submit to Nasdaq a plan to regain compliance with the Nasdaq Listing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file the Form 10-K as soon as practicable within the 60-day required period. If the Company is unable to file the Form 10-K by June 20, 2023, the Company intends to submit a plan with Nasdaq to regain compliance. If Nasdaq accepts the Company’s plan, then Nasdaq may, in its discretion, grant the Company up to 180 days from the prescribed due date for filing the Form 10-K, or until October 16, 2023, to regain compliance. If Nasdaq does not accept the Company’s plan, then the Company will have the opportunity to appeal that decision to a Nasdaq Hearings Panel. The Notice has no immediate effect on the listing of the Company’s common stock on The Nasdaq Stock Market LLC.</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2023, the Company issued a press release disclosing the receipt of the Notice referenced above. A copy of the press release is furnished as Exhibit 99.1 to this Current Report on Form 8-K and is incorporated herein by reference.</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 </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spacing w:before="0" w:after="0"/>
        <w:ind w:left="0" w:right="0" w:hanging="0"/>
        <w:rPr>
          <w:caps w:val="false"/>
          <w:smallCaps w:val="false"/>
        </w:rPr>
      </w:pPr>
      <w:r>
        <w:rPr>
          <w:caps w:val="false"/>
          <w:smallCaps w:val="false"/>
        </w:rPr>
        <w:t> </w:t>
      </w:r>
    </w:p>
    <w:tbl>
      <w:tblPr>
        <w:tblW w:w="1030" w:type="dxa"/>
        <w:jc w:val="left"/>
        <w:tblInd w:w="0" w:type="dxa"/>
        <w:tblCellMar>
          <w:top w:w="0" w:type="dxa"/>
          <w:left w:w="0" w:type="dxa"/>
          <w:bottom w:w="0" w:type="dxa"/>
          <w:right w:w="0" w:type="dxa"/>
        </w:tblCellMar>
      </w:tblPr>
      <w:tblGrid>
        <w:gridCol w:w="260"/>
        <w:gridCol w:w="770"/>
      </w:tblGrid>
      <w:tr>
        <w:trPr/>
        <w:tc>
          <w:tcPr>
            <w:tcW w:w="260" w:type="dxa"/>
            <w:tcBorders/>
            <w:shd w:fill="auto" w:val="clear"/>
            <w:vAlign w:val="center"/>
          </w:tcPr>
          <w:p>
            <w:pPr>
              <w:pStyle w:val="TableContents"/>
              <w:spacing w:before="0" w:after="283"/>
              <w:jc w:val="left"/>
              <w:rPr>
                <w:sz w:val="20"/>
              </w:rPr>
            </w:pPr>
            <w:r>
              <w:rPr>
                <w:sz w:val="20"/>
              </w:rPr>
              <w:t>(d)</w:t>
            </w:r>
          </w:p>
        </w:tc>
        <w:tc>
          <w:tcPr>
            <w:tcW w:w="770" w:type="dxa"/>
            <w:tcBorders/>
            <w:shd w:fill="auto" w:val="clear"/>
            <w:vAlign w:val="center"/>
          </w:tcPr>
          <w:p>
            <w:pPr>
              <w:pStyle w:val="TableContents"/>
              <w:spacing w:before="0" w:after="283"/>
              <w:jc w:val="both"/>
              <w:rPr>
                <w:sz w:val="20"/>
              </w:rPr>
            </w:pPr>
            <w:r>
              <w:rPr>
                <w:sz w:val="20"/>
              </w:rPr>
              <w:t>Exhibits.</w:t>
            </w:r>
          </w:p>
        </w:tc>
      </w:tr>
    </w:tbl>
    <w:p>
      <w:pPr>
        <w:pStyle w:val="TextBody"/>
        <w:spacing w:before="0" w:after="0"/>
        <w:ind w:left="0" w:right="0" w:hanging="0"/>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395"/>
        <w:gridCol w:w="60"/>
        <w:gridCol w:w="6530"/>
      </w:tblGrid>
      <w:tr>
        <w:trPr/>
        <w:tc>
          <w:tcPr>
            <w:tcW w:w="395" w:type="dxa"/>
            <w:tcBorders/>
            <w:shd w:fill="CCEEFF" w:val="clear"/>
            <w:vAlign w:val="center"/>
          </w:tcPr>
          <w:p>
            <w:pPr>
              <w:pStyle w:val="TableContents"/>
              <w:spacing w:before="0" w:after="283"/>
              <w:rPr>
                <w:sz w:val="20"/>
              </w:rPr>
            </w:pPr>
            <w:r>
              <w:rPr>
                <w:sz w:val="20"/>
              </w:rPr>
              <w:t>99.1</w:t>
            </w:r>
          </w:p>
        </w:tc>
        <w:tc>
          <w:tcPr>
            <w:tcW w:w="60" w:type="dxa"/>
            <w:tcBorders/>
            <w:shd w:fill="CCEEFF" w:val="clear"/>
            <w:vAlign w:val="center"/>
          </w:tcPr>
          <w:p>
            <w:pPr>
              <w:pStyle w:val="TableContents"/>
              <w:spacing w:before="0" w:after="283"/>
              <w:rPr/>
            </w:pPr>
            <w:r>
              <w:rPr/>
              <w:t> </w:t>
            </w:r>
          </w:p>
        </w:tc>
        <w:tc>
          <w:tcPr>
            <w:tcW w:w="6530" w:type="dxa"/>
            <w:tcBorders/>
            <w:shd w:fill="CCEEFF" w:val="clear"/>
            <w:vAlign w:val="center"/>
          </w:tcPr>
          <w:p>
            <w:pPr>
              <w:pStyle w:val="TableContents"/>
              <w:spacing w:before="0" w:after="283"/>
              <w:jc w:val="both"/>
              <w:rPr/>
            </w:pPr>
            <w:hyperlink w:anchor="ea177338ex99-1_agrify.htm">
              <w:r>
                <w:rPr>
                  <w:rStyle w:val="InternetLink"/>
                  <w:sz w:val="20"/>
                </w:rPr>
                <w:t>Press Release of the Company, dated as of April 24, 2023</w:t>
              </w:r>
            </w:hyperlink>
          </w:p>
        </w:tc>
      </w:tr>
      <w:tr>
        <w:trPr/>
        <w:tc>
          <w:tcPr>
            <w:tcW w:w="395" w:type="dxa"/>
            <w:tcBorders/>
            <w:shd w:fill="FFFFFF" w:val="clear"/>
            <w:vAlign w:val="center"/>
          </w:tcPr>
          <w:p>
            <w:pPr>
              <w:pStyle w:val="TableContents"/>
              <w:spacing w:before="0" w:after="283"/>
              <w:rPr>
                <w:sz w:val="20"/>
              </w:rPr>
            </w:pPr>
            <w:r>
              <w:rPr>
                <w:sz w:val="20"/>
              </w:rPr>
              <w:t>104</w:t>
            </w:r>
          </w:p>
        </w:tc>
        <w:tc>
          <w:tcPr>
            <w:tcW w:w="60" w:type="dxa"/>
            <w:tcBorders/>
            <w:shd w:fill="FFFFFF" w:val="clear"/>
            <w:vAlign w:val="center"/>
          </w:tcPr>
          <w:p>
            <w:pPr>
              <w:pStyle w:val="TableContents"/>
              <w:spacing w:before="0" w:after="283"/>
              <w:rPr/>
            </w:pPr>
            <w:r>
              <w:rPr/>
              <w:t> </w:t>
            </w:r>
          </w:p>
        </w:tc>
        <w:tc>
          <w:tcPr>
            <w:tcW w:w="6530" w:type="dxa"/>
            <w:tcBorders/>
            <w:shd w:fill="FFFFFF" w:val="clear"/>
            <w:vAlign w:val="center"/>
          </w:tcPr>
          <w:p>
            <w:pPr>
              <w:pStyle w:val="TableContents"/>
              <w:spacing w:before="0" w:after="283"/>
              <w:jc w:val="both"/>
              <w:rPr>
                <w:sz w:val="20"/>
              </w:rPr>
            </w:pPr>
            <w:r>
              <w:rPr>
                <w:sz w:val="20"/>
              </w:rPr>
              <w:t>Cover Page Interactive Data File (embedded within the Inline XBRL document).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caps w:val="false"/>
          <w:smallCaps w:val="false"/>
        </w:rPr>
      </w:pPr>
      <w:r>
        <w:rPr>
          <w:caps w:val="false"/>
          <w:smallCaps w:val="false"/>
        </w:rPr>
        <w:t> </w:t>
      </w:r>
    </w:p>
    <w:tbl>
      <w:tblPr>
        <w:tblW w:w="2545" w:type="dxa"/>
        <w:jc w:val="left"/>
        <w:tblInd w:w="0" w:type="dxa"/>
        <w:tblCellMar>
          <w:top w:w="0" w:type="dxa"/>
          <w:left w:w="0" w:type="dxa"/>
          <w:bottom w:w="0" w:type="dxa"/>
          <w:right w:w="0" w:type="dxa"/>
        </w:tblCellMar>
      </w:tblPr>
      <w:tblGrid>
        <w:gridCol w:w="75"/>
        <w:gridCol w:w="320"/>
        <w:gridCol w:w="2150"/>
      </w:tblGrid>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b/>
                <w:sz w:val="20"/>
              </w:rPr>
            </w:pPr>
            <w:r>
              <w:rPr>
                <w:b/>
                <w:sz w:val="20"/>
              </w:rPr>
              <w:t>AGRIFY CORPORATION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150" w:type="dxa"/>
            <w:tcBorders>
              <w:bottom w:val="single" w:sz="12" w:space="0" w:color="000000"/>
            </w:tcBorders>
            <w:shd w:fill="auto" w:val="clear"/>
            <w:tcMar>
              <w:bottom w:w="28" w:type="dxa"/>
            </w:tcMar>
            <w:vAlign w:val="center"/>
          </w:tcPr>
          <w:p>
            <w:pPr>
              <w:pStyle w:val="TableContents"/>
              <w:spacing w:before="0" w:after="283"/>
              <w:jc w:val="left"/>
              <w:rPr>
                <w:sz w:val="20"/>
              </w:rPr>
            </w:pPr>
            <w:r>
              <w:rPr>
                <w:sz w:val="20"/>
              </w:rPr>
              <w:t>/s/ Raymond Nobu Chang</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left"/>
              <w:rPr>
                <w:sz w:val="20"/>
              </w:rPr>
            </w:pPr>
            <w:r>
              <w:rPr>
                <w:sz w:val="20"/>
              </w:rPr>
              <w:t>Raymond Nobu Chang</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left"/>
              <w:rPr>
                <w:sz w:val="20"/>
              </w:rPr>
            </w:pPr>
            <w:r>
              <w:rPr>
                <w:sz w:val="20"/>
              </w:rPr>
              <w:t>Chief Executive Officer</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sz w:val="20"/>
              </w:rPr>
            </w:pPr>
            <w:r>
              <w:rPr>
                <w:sz w:val="20"/>
              </w:rPr>
              <w:t>Date: April 24,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jc w:val="center"/>
        <w:rPr/>
      </w:pPr>
      <w:r>
        <w:rPr/>
        <w:t>2</w:t>
      </w:r>
    </w:p>
    <w:p>
      <w:pPr>
        <w:pStyle w:val="TextBody"/>
        <w:rPr>
          <w:bdr w:val="single" w:sz="12" w:space="1" w:color="000000"/>
        </w:rPr>
      </w:pPr>
      <w:r>
        <w:rPr>
          <w:bdr w:val="single" w:sz="12" w:space="1" w:color="000000"/>
        </w:rPr>
        <w:t> </w:t>
      </w:r>
    </w:p>
    <w:p>
      <w:pPr>
        <w:pStyle w:val="TextBody"/>
        <w:rPr/>
      </w:pPr>
      <w:r>
        <w:rPr/>
        <w:t> </w:t>
      </w:r>
      <w:r>
        <w:br w:type="page"/>
      </w:r>
    </w:p>
    <w:p>
      <w:pPr>
        <w:pStyle w:val="TextBody"/>
        <w:jc w:val="right"/>
        <w:rPr>
          <w:b/>
        </w:rPr>
      </w:pPr>
      <w:bookmarkStart w:id="24" w:name="ea177338ex99-1_agrify.htm"/>
      <w:bookmarkStart w:id="25" w:name="ksea177338ex991_agrify"/>
      <w:bookmarkEnd w:id="24"/>
      <w:bookmarkEnd w:id="25"/>
      <w:r>
        <w:rPr>
          <w:b/>
        </w:rPr>
        <w:t>Exhibit 99.1</w:t>
      </w:r>
    </w:p>
    <w:p>
      <w:pPr>
        <w:pStyle w:val="TextBody"/>
        <w:rPr/>
      </w:pPr>
      <w:r>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Receives Nasdaq Notification of Non-Compliance with Listing Rule 5250(c)(1)</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Mass., April 24, 2023 (GLOBE NEWSWIRE) -- Agrify Corporation (Nasdaq: AGFY) (“Agrify” or the “Company”), a leading provider of innovative cultivation and extraction solutions for the cannabis industry, today announced that on April 18, 2023, it received a letter from the Listing Qualifications Department of the Nasdaq Stock Market LLC (“Nasdaq”) notifying Agrify that it was not in compliance with requirements of Nasdaq Listing Rule 5250(c)(1) as a result of not having timely filed its Annual Report on Form 10-K for the fiscal year ended December 31, 2022, with the Securities and Exchange Commission (“SEC”).</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notification has no immediate effect on the listing of Agrify’s common stock on the Nasdaq. However, if Agrify fails to timely regain compliance with the Nasdaq Listing Rule, Agrify’s common stock will be subject to delisting from Nasdaq.</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Current Report on Form 8-K filed by the Company on April 17, 2023, Agrify’s audit committee concluded that, as a result of errors in the accounting for warrants previously issued by Agrify, it is appropriate to restate Agrify’s previously issued unaudited condensed consolidated financial statements as of and for the fiscal periods ended March 31, 2022, June 30, 2022 and September 30, 2022 in amended quarterly reports for the affected periods. Given the scope of the process for preparing the amended quarterly reports, Agrify was unable to complete and file the Form 10-K for the fiscal year ended December 31, 2022 by the required due date of March 31, 2023. On March 31, 2023, the Company filed a Form 12b-25 Notification of Late Filing with the SEC related to the Form 10-K.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rules, the Company has 60 calendar days, or until June 20, 2023, to submit to Nasdaq a plan to regain compliance with the Nasdaq Listing Rule. If Nasdaq accepts the Company’s plan, then Nasdaq may grant the Company up to 180 days from the prescribed due date for filing the Form 10-K to regain compliance. If Nasdaq does not accept the Company’s plan, then the Company will have the opportunity to appeal that decision to a Nasdaq Hearings Panel.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working diligently and expects to file its Form 10-K within the 60-day period, which would eliminate the need for the Company to submit a formal plan to regain compliance.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Agrify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(Nasdaq: AGFY)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Statements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the timing and filing of the amended Quarterly Reports on Form 10-Q and the delayed Annual Report on Form 10-K and Agrify’s ability to regain compliance with applicable Nasdaq rules.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Agrify’s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Relations Inquiries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Caitlin Moakley Bricker</w:t>
        <w:br/>
        <w:t>Chief of Staff </w:t>
        <w:br/>
        <w:t>caitlin.moakley@agrify.com</w:t>
        <w:br/>
        <w:t>(617) 733-0584</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Inquiries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Soulsby</w:t>
        <w:br/>
        <w:t>Vice President of Marketing</w:t>
        <w:br/>
        <w:t>rachel.soulsby@agrify.com</w:t>
        <w:br/>
        <w:t>(978) 660-9125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rPr>
          <w:bdr w:val="single" w:sz="12" w:space="1" w:color="000000"/>
        </w:rPr>
      </w:pPr>
      <w:r>
        <w:rPr>
          <w:bdr w:val="single" w:sz="12" w:space="1" w:color="000000"/>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1739</Words>
  <CharactersWithSpaces>11201</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