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31,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333-265093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Frank A. Segall,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Petitt,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Burns &amp; Levinson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345-3000</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6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42" w:gutter="0" w:footer="0" w:header="0"/>
        </w:sectPr>
      </w:pPr>
    </w:p>
    <w:bookmarkStart w:id="1" w:name="page2"/>
    <w:bookmarkEnd w:id="1"/>
    <w:p>
      <w:pPr>
        <w:jc w:val="both"/>
        <w:spacing w:after="0" w:line="314" w:lineRule="auto"/>
        <w:rPr>
          <w:sz w:val="20"/>
          <w:szCs w:val="20"/>
          <w:color w:val="auto"/>
        </w:rPr>
      </w:pPr>
      <w:r>
        <w:rPr>
          <w:rFonts w:ascii="Arial" w:cs="Arial" w:eastAsia="Arial" w:hAnsi="Arial"/>
          <w:sz w:val="16"/>
          <w:szCs w:val="16"/>
          <w:b w:val="1"/>
          <w:bCs w:val="1"/>
          <w:color w:val="FF0000"/>
        </w:rPr>
        <w:t>The information in this prospectus is not complete and may be changed. The selling stockholder may not sell the securities until the Registration Statement filed with the Securities and Exchange Commission, of which this prospectus is a part, is effective. This prospectus is not an offer to sell these securities and is not soliciting an offer to buy these securities in any state where the offer or sale is not permitted.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May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154305</wp:posOffset>
            </wp:positionV>
            <wp:extent cx="105410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6,881,108 Shares of 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prospectus relates to the possible resale, from time to time, by the selling stockholder identified in this prospectus of up to 6,881,108 shares of our common stock, par value $0.001 per share (the “Common Stock”) underlying common stock purchase warrants issued in a private placement on March 23, 2022.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selling stockholder may offer the shares from time to time as such selling stockholder may determine through public or private transactions or through other means described in the section entitled “Plan of Distribution” or a supplement to this prospectus. The selling stockholder may also sell shares under Rule 144 under the Securities Act of 1933, as amended, if available, rather than under this prospectus.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of these shares does not necessarily mean that any holder will sell any of its shares or exercise its warrants. We are not offering for sale any shares of our Common Stock pursuant to this prospectus. We will not receive any proceeds from the sale of these shares. We will, however, receive cash proceeds equal to the total exercise price of warrants that are exercised for cash.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“AGFY.” On May 27, 2022, the closing price for our Common Stock, as reported on The Nasdaq Capital Market, was $2.59 per share.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“Risk Factors” contained in this prospectus beginning on page 8, and under similar headings in the other documents that are incorporated by reference into this prospectus.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960"/>
              <w:spacing w:after="0"/>
              <w:rPr>
                <w:sz w:val="20"/>
                <w:szCs w:val="20"/>
                <w:color w:val="auto"/>
              </w:rPr>
            </w:pPr>
            <w:r>
              <w:rPr>
                <w:rFonts w:ascii="Arial" w:cs="Arial" w:eastAsia="Arial" w:hAnsi="Arial"/>
                <w:sz w:val="18"/>
                <w:szCs w:val="18"/>
                <w:b w:val="1"/>
                <w:bCs w:val="1"/>
                <w:color w:val="auto"/>
                <w:w w:val="98"/>
              </w:rPr>
              <w:t>The date of this Prospectus is</w:t>
            </w:r>
          </w:p>
        </w:tc>
        <w:tc>
          <w:tcPr>
            <w:tcW w:w="4740" w:type="dxa"/>
            <w:vAlign w:val="bottom"/>
          </w:tcPr>
          <w:p>
            <w:pPr>
              <w:jc w:val="right"/>
              <w:ind w:right="3870"/>
              <w:spacing w:after="0"/>
              <w:rPr>
                <w:sz w:val="20"/>
                <w:szCs w:val="20"/>
                <w:color w:val="auto"/>
              </w:rPr>
            </w:pPr>
            <w:r>
              <w:rPr>
                <w:rFonts w:ascii="Arial" w:cs="Arial" w:eastAsia="Arial" w:hAnsi="Arial"/>
                <w:sz w:val="18"/>
                <w:szCs w:val="18"/>
                <w:b w:val="1"/>
                <w:bCs w:val="1"/>
                <w:color w:val="auto"/>
              </w:rPr>
              <w:t>, 2022.</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SELLING STOCKHOLDER</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PLAN OF DISTRIBUTION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DETERMINATION OF OFFERING PRICE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CAPITAL STOCK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INCORPORATION OF CERTAIN DOCUMENTS BY REFERENCE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(the “SEC”) pursuant to which the selling stockholder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“Where You Can Find More Information” and “Incorporation of Information by Reference” in this prospectus.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we nor the selling stockholder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339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6339205"/>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7" w:lineRule="exact"/>
        <w:rPr>
          <w:sz w:val="20"/>
          <w:szCs w:val="20"/>
          <w:color w:val="auto"/>
        </w:rPr>
      </w:pPr>
    </w:p>
    <w:p>
      <w:pPr>
        <w:ind w:left="660" w:hanging="33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Cultivation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Extraction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Facility Design &amp; Building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Cultivation Solutions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Agrify Vertical Farming Unit (“VFU”)</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spacing w:after="0" w:line="176" w:lineRule="exact"/>
        <w:rPr>
          <w:sz w:val="20"/>
          <w:szCs w:val="20"/>
          <w:color w:val="auto"/>
        </w:rPr>
      </w:pPr>
    </w:p>
    <w:p>
      <w:pPr>
        <w:ind w:left="660" w:hanging="320"/>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Superior Floor Space Utilization</w:t>
      </w:r>
      <w:r>
        <w:rPr>
          <w:rFonts w:ascii="Arial" w:cs="Arial" w:eastAsia="Arial" w:hAnsi="Arial"/>
          <w:sz w:val="17"/>
          <w:szCs w:val="17"/>
          <w:color w:val="auto"/>
        </w:rPr>
        <w:t>. Each VFU provides two growing rows. Our design introduces an open-room facility design approach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maximize available cultivation floor print while offering superior risk mitigation via individual compartmentalized cultivation chambers.</w:t>
      </w:r>
    </w:p>
    <w:p>
      <w:pPr>
        <w:spacing w:after="0" w:line="146" w:lineRule="exact"/>
        <w:rPr>
          <w:rFonts w:ascii="Arial" w:cs="Arial" w:eastAsia="Arial" w:hAnsi="Arial"/>
          <w:sz w:val="17"/>
          <w:szCs w:val="17"/>
          <w:color w:val="auto"/>
        </w:rPr>
      </w:pPr>
    </w:p>
    <w:p>
      <w:pPr>
        <w:jc w:val="both"/>
        <w:ind w:left="660" w:hanging="320"/>
        <w:spacing w:after="0" w:line="286" w:lineRule="auto"/>
        <w:tabs>
          <w:tab w:leader="none" w:pos="66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Precise Environmental Controls</w:t>
      </w:r>
      <w:r>
        <w:rPr>
          <w:rFonts w:ascii="Arial" w:cs="Arial" w:eastAsia="Arial" w:hAnsi="Arial"/>
          <w:sz w:val="17"/>
          <w:szCs w:val="17"/>
          <w:color w:val="auto"/>
        </w:rPr>
        <w:t>. Each VFU has an environmental control unit that is integrated with our proprietary cultivation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Agrify Insights software. This integration allows for precise control and automation over light photoperiod and intensity, temperature, humidity, vapor pressure deficit (“VPD”), carbon dioxide, fertigation, and irrigation throughout the life cycle of the plants.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5" w:name="page6"/>
    <w:bookmarkEnd w:id="5"/>
    <w:p>
      <w:pPr>
        <w:ind w:left="660" w:hanging="32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064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064885"/>
                    </a:xfrm>
                    <a:prstGeom prst="rect">
                      <a:avLst/>
                    </a:prstGeom>
                    <a:noFill/>
                  </pic:spPr>
                </pic:pic>
              </a:graphicData>
            </a:graphic>
          </wp:anchor>
        </w:drawing>
        <w:t>Modular Scalability</w:t>
      </w:r>
      <w:r>
        <w:rPr>
          <w:rFonts w:ascii="Arial" w:cs="Arial" w:eastAsia="Arial" w:hAnsi="Arial"/>
          <w:sz w:val="18"/>
          <w:szCs w:val="18"/>
          <w:color w:val="auto"/>
        </w:rPr>
        <w:t>. The VFU is designed with proper loading to stack up to 3 units tall, sextupling production volume over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footprint. Each unit is designed to easily integrate with a mezzanine catwalk system.</w:t>
      </w:r>
    </w:p>
    <w:p>
      <w:pPr>
        <w:spacing w:after="0" w:line="170" w:lineRule="exact"/>
        <w:rPr>
          <w:rFonts w:ascii="Arial" w:cs="Arial" w:eastAsia="Arial" w:hAnsi="Arial"/>
          <w:sz w:val="18"/>
          <w:szCs w:val="18"/>
          <w:color w:val="auto"/>
        </w:rPr>
      </w:pPr>
    </w:p>
    <w:p>
      <w:pPr>
        <w:jc w:val="both"/>
        <w:ind w:left="660" w:hanging="320"/>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VFU has a motorized curtain on both sides of the unit that enclose the grow area to prevent light-leak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p>
      <w:pPr>
        <w:spacing w:after="0" w:line="186"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Worker Safety</w:t>
      </w:r>
      <w:r>
        <w:rPr>
          <w:rFonts w:ascii="Arial" w:cs="Arial" w:eastAsia="Arial" w:hAnsi="Arial"/>
          <w:sz w:val="18"/>
          <w:szCs w:val="18"/>
          <w:color w:val="auto"/>
        </w:rPr>
        <w:t>. The VFU’s working area is 8 feet tall, allowing easy access to both rows of plants within the unit. As the motorized curtains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lifted on either side, this also allows efficient ergonomics at arm’s length. Similarly, our Interlight LED technology is dimmed or turned-off when the curtains are raised for a more ambient working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Examples of VFU infrastructure versus traditional grows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Agrify Insights SaaS Software Solution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5" w:right="439" w:bottom="1440" w:gutter="0" w:footer="0" w:header="0"/>
        </w:sectPr>
      </w:pPr>
    </w:p>
    <w:bookmarkStart w:id="6" w:name="page7"/>
    <w:bookmarkEnd w:id="6"/>
    <w:p>
      <w:pPr>
        <w:jc w:val="both"/>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43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7436485"/>
                    </a:xfrm>
                    <a:prstGeom prst="rect">
                      <a:avLst/>
                    </a:prstGeom>
                    <a:noFill/>
                  </pic:spPr>
                </pic:pic>
              </a:graphicData>
            </a:graphic>
          </wp:anchor>
        </w:drawing>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225" w:lineRule="exact"/>
        <w:rPr>
          <w:sz w:val="20"/>
          <w:szCs w:val="20"/>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VFU unit level;</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225" w:lineRule="exact"/>
        <w:rPr>
          <w:rFonts w:ascii="Arial" w:cs="Arial" w:eastAsia="Arial" w:hAnsi="Arial"/>
          <w:sz w:val="18"/>
          <w:szCs w:val="18"/>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Plant-Level Optimization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spacing w:after="0" w:line="19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VFU Level Optimization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VFU hardware provides cultivation environmental control within the growth chamber. This hardware and its component valves, motors and sensors are directed and controlled by Agrify Insights software.</w:t>
      </w:r>
    </w:p>
    <w:p>
      <w:pPr>
        <w:spacing w:after="0" w:line="170" w:lineRule="exact"/>
        <w:rPr>
          <w:sz w:val="20"/>
          <w:szCs w:val="20"/>
          <w:color w:val="auto"/>
        </w:rPr>
      </w:pPr>
    </w:p>
    <w:p>
      <w:pPr>
        <w:ind w:left="660" w:right="20" w:hanging="320"/>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Monitor and Control Agrify Hardware</w:t>
      </w:r>
      <w:r>
        <w:rPr>
          <w:rFonts w:ascii="Arial" w:cs="Arial" w:eastAsia="Arial" w:hAnsi="Arial"/>
          <w:sz w:val="18"/>
          <w:szCs w:val="18"/>
          <w:color w:val="auto"/>
        </w:rPr>
        <w:t>. Agrify Insights software can either automatically or manually control our hardware. For example,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water-chilled fan coil can keep temperature in a range accurate to 1.5 degrees Fahrenheit.</w:t>
      </w:r>
    </w:p>
    <w:p>
      <w:pPr>
        <w:spacing w:after="0" w:line="170" w:lineRule="exact"/>
        <w:rPr>
          <w:rFonts w:ascii="Arial" w:cs="Arial" w:eastAsia="Arial" w:hAnsi="Arial"/>
          <w:sz w:val="18"/>
          <w:szCs w:val="18"/>
          <w:color w:val="auto"/>
        </w:rPr>
      </w:pPr>
    </w:p>
    <w:p>
      <w:pPr>
        <w:jc w:val="both"/>
        <w:ind w:left="660" w:right="20" w:hanging="320"/>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software, users can view environmental charts that plot temperature, humidity,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5"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025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7025005"/>
                    </a:xfrm>
                    <a:prstGeom prst="rect">
                      <a:avLst/>
                    </a:prstGeom>
                    <a:noFill/>
                  </pic:spPr>
                </pic:pic>
              </a:graphicData>
            </a:graphic>
          </wp:anchor>
        </w:drawing>
        <w:t>Facility Level Optimization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spacing w:after="0" w:line="146" w:lineRule="exact"/>
        <w:rPr>
          <w:sz w:val="20"/>
          <w:szCs w:val="20"/>
          <w:color w:val="auto"/>
        </w:rPr>
      </w:pPr>
    </w:p>
    <w:p>
      <w:pPr>
        <w:jc w:val="both"/>
        <w:ind w:left="660" w:hanging="320"/>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Production Planning</w:t>
      </w:r>
      <w:r>
        <w:rPr>
          <w:rFonts w:ascii="Arial" w:cs="Arial" w:eastAsia="Arial" w:hAnsi="Arial"/>
          <w:sz w:val="17"/>
          <w:szCs w:val="17"/>
          <w:color w:val="auto"/>
        </w:rPr>
        <w:t>. The production planning feature is designed to maximize a facility’s utilization by executing a “best-fit” scheduling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1" w:lineRule="exact"/>
        <w:rPr>
          <w:rFonts w:ascii="Arial" w:cs="Arial" w:eastAsia="Arial" w:hAnsi="Arial"/>
          <w:sz w:val="17"/>
          <w:szCs w:val="17"/>
          <w:color w:val="auto"/>
        </w:rPr>
      </w:pPr>
    </w:p>
    <w:p>
      <w:pPr>
        <w:jc w:val="both"/>
        <w:ind w:left="660" w:hanging="320"/>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Workforce Management</w:t>
      </w:r>
      <w:r>
        <w:rPr>
          <w:rFonts w:ascii="Arial" w:cs="Arial" w:eastAsia="Arial" w:hAnsi="Arial"/>
          <w:sz w:val="18"/>
          <w:szCs w:val="18"/>
          <w:color w:val="auto"/>
        </w:rPr>
        <w:t>. Agrify Insights software includes a workforce planning feature to assign tasks to staff. These tasks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assigned based on user role or their knowledge, skills, and abilities. The calendar displays the estimated amount of time required to complete plant-touching tasks on any given day.</w:t>
      </w:r>
    </w:p>
    <w:p>
      <w:pPr>
        <w:spacing w:after="0" w:line="183"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Notification System</w:t>
      </w:r>
      <w:r>
        <w:rPr>
          <w:rFonts w:ascii="Arial" w:cs="Arial" w:eastAsia="Arial" w:hAnsi="Arial"/>
          <w:sz w:val="18"/>
          <w:szCs w:val="18"/>
          <w:color w:val="auto"/>
        </w:rPr>
        <w:t>. Users can select to subscribe to anomalous events, and users are notified in the order in which they are listed.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user does not acknowledge the notification within the specified time frame, the next user in the list is notified, providing the business with 24/7 monitoring and notifications.</w:t>
      </w:r>
    </w:p>
    <w:p>
      <w:pPr>
        <w:spacing w:after="0" w:line="183" w:lineRule="exact"/>
        <w:rPr>
          <w:rFonts w:ascii="Arial" w:cs="Arial" w:eastAsia="Arial" w:hAnsi="Arial"/>
          <w:sz w:val="18"/>
          <w:szCs w:val="18"/>
          <w:color w:val="auto"/>
        </w:rPr>
      </w:pPr>
    </w:p>
    <w:p>
      <w:pPr>
        <w:ind w:left="660" w:hanging="320"/>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Preventative Maintenance</w:t>
      </w:r>
      <w:r>
        <w:rPr>
          <w:rFonts w:ascii="Arial" w:cs="Arial" w:eastAsia="Arial" w:hAnsi="Arial"/>
          <w:sz w:val="18"/>
          <w:szCs w:val="18"/>
          <w:color w:val="auto"/>
        </w:rPr>
        <w:t>. Our equipment and facility preventative maintenance schedules and related tasks are contained, tracked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monitored within Agrify Insights software.</w:t>
      </w:r>
    </w:p>
    <w:p>
      <w:pPr>
        <w:spacing w:after="0" w:line="170" w:lineRule="exact"/>
        <w:rPr>
          <w:rFonts w:ascii="Arial" w:cs="Arial" w:eastAsia="Arial" w:hAnsi="Arial"/>
          <w:sz w:val="18"/>
          <w:szCs w:val="18"/>
          <w:color w:val="auto"/>
        </w:rPr>
      </w:pPr>
    </w:p>
    <w:p>
      <w:pPr>
        <w:ind w:left="660" w:hanging="320"/>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Facility Infrastructure Controls</w:t>
      </w:r>
      <w:r>
        <w:rPr>
          <w:rFonts w:ascii="Arial" w:cs="Arial" w:eastAsia="Arial" w:hAnsi="Arial"/>
          <w:sz w:val="17"/>
          <w:szCs w:val="17"/>
          <w:color w:val="auto"/>
        </w:rPr>
        <w:t>. Agrify Insights software controls the irrigation on a facility level as well as connects with the water chilled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HVAC system and ambient lighting system, providing our customers a central piece of software for facility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Optimization at the Business Level</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24" w:lineRule="exact"/>
        <w:rPr>
          <w:sz w:val="20"/>
          <w:szCs w:val="20"/>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 whose inventory will be reduced when the task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This feature can help customers manage supply levels and can automatically create purchase orders so that they never run out of required supplies.</w:t>
      </w:r>
    </w:p>
    <w:p>
      <w:pPr>
        <w:spacing w:after="0" w:line="183"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Online Standard Operating Procedures (“SOPs’’) and Safety Datasheets</w:t>
      </w:r>
      <w:r>
        <w:rPr>
          <w:rFonts w:ascii="Arial" w:cs="Arial" w:eastAsia="Arial" w:hAnsi="Arial"/>
          <w:sz w:val="18"/>
          <w:szCs w:val="18"/>
          <w:color w:val="auto"/>
        </w:rPr>
        <w:t>. Agrify Insights software hosts digital copies of our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and datasheets, or users can upload their own via our content management system, ensuring that the most recent version of SOPs and forms are available to users.</w:t>
      </w:r>
    </w:p>
    <w:p>
      <w:pPr>
        <w:spacing w:after="0" w:line="183" w:lineRule="exact"/>
        <w:rPr>
          <w:rFonts w:ascii="Arial" w:cs="Arial" w:eastAsia="Arial" w:hAnsi="Arial"/>
          <w:sz w:val="18"/>
          <w:szCs w:val="18"/>
          <w:color w:val="auto"/>
        </w:rPr>
      </w:pPr>
    </w:p>
    <w:p>
      <w:pPr>
        <w:jc w:val="both"/>
        <w:ind w:left="660" w:hanging="320"/>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Roles-Based Dashboards</w:t>
      </w:r>
      <w:r>
        <w:rPr>
          <w:rFonts w:ascii="Arial" w:cs="Arial" w:eastAsia="Arial" w:hAnsi="Arial"/>
          <w:sz w:val="18"/>
          <w:szCs w:val="18"/>
          <w:color w:val="auto"/>
        </w:rPr>
        <w:t>. Ability to obtain access to information specifically suited to your workforce’s various needs. Facility owners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86"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Data Collection</w:t>
      </w:r>
      <w:r>
        <w:rPr>
          <w:rFonts w:ascii="Arial" w:cs="Arial" w:eastAsia="Arial" w:hAnsi="Arial"/>
          <w:sz w:val="18"/>
          <w:szCs w:val="18"/>
          <w:color w:val="auto"/>
        </w:rPr>
        <w:t>. Agrify Insights software is a centralized repository for all data relating to the cultivation aspects of our clients’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research and development testing data, and the ability to capture and compare test results. By doing so, Agrify Insights software becomes a customers’ cultivation statement of record.</w:t>
      </w:r>
    </w:p>
    <w:p>
      <w:pPr>
        <w:spacing w:after="0" w:line="183" w:lineRule="exact"/>
        <w:rPr>
          <w:rFonts w:ascii="Arial" w:cs="Arial" w:eastAsia="Arial" w:hAnsi="Arial"/>
          <w:sz w:val="18"/>
          <w:szCs w:val="18"/>
          <w:color w:val="auto"/>
        </w:rPr>
      </w:pPr>
    </w:p>
    <w:p>
      <w:pPr>
        <w:jc w:val="both"/>
        <w:ind w:left="660" w:hanging="320"/>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Simulator / What If Scenarios</w:t>
      </w:r>
      <w:r>
        <w:rPr>
          <w:rFonts w:ascii="Arial" w:cs="Arial" w:eastAsia="Arial" w:hAnsi="Arial"/>
          <w:sz w:val="18"/>
          <w:szCs w:val="18"/>
          <w:color w:val="auto"/>
        </w:rPr>
        <w:t>. Our operating expenses (“OpEx”) calculator enables users to evaluate impacts to profitability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changing hundreds of attributes including, but not limited to, changes to costs in labor, electric, water, CO2, and growing media as well as potential volatility in yields and pricing.</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5" w:right="439" w:bottom="1440" w:gutter="0" w:footer="0" w:header="0"/>
        </w:sectPr>
      </w:pPr>
    </w:p>
    <w:bookmarkStart w:id="8" w:name="page9"/>
    <w:bookmarkEnd w:id="8"/>
    <w:p>
      <w:pPr>
        <w:ind w:left="660" w:right="20" w:hanging="320"/>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613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6613525"/>
                    </a:xfrm>
                    <a:prstGeom prst="rect">
                      <a:avLst/>
                    </a:prstGeom>
                    <a:noFill/>
                  </pic:spPr>
                </pic:pic>
              </a:graphicData>
            </a:graphic>
          </wp:anchor>
        </w:drawing>
        <w:t xml:space="preserve">Regulatory Reporting Integration. </w:t>
      </w:r>
      <w:r>
        <w:rPr>
          <w:rFonts w:ascii="Arial" w:cs="Arial" w:eastAsia="Arial" w:hAnsi="Arial"/>
          <w:sz w:val="17"/>
          <w:szCs w:val="17"/>
          <w:color w:val="auto"/>
        </w:rPr>
        <w:t>We have integrated our software with Metrc, a leading seed-to-harvest compliance management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tracking solution, which will enable our customers to handle most regulatory reporting directly through Agrify Insights software.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Extraction Solutions</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84" w:lineRule="exact"/>
        <w:rPr>
          <w:sz w:val="20"/>
          <w:szCs w:val="20"/>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Mass2Media, LLC, d/b/a PX2 Holdings, LLC, d/b/a Precision Extraction Solutions (“Precision”) - </w:t>
      </w:r>
      <w:r>
        <w:rPr>
          <w:rFonts w:ascii="Arial" w:cs="Arial" w:eastAsia="Arial" w:hAnsi="Arial"/>
          <w:sz w:val="18"/>
          <w:szCs w:val="18"/>
          <w:color w:val="auto"/>
        </w:rPr>
        <w:t>Market leader in developing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high-quality hydrocarbon extraction solutions was acquired by Agrify on October 1, 2021.</w:t>
      </w:r>
    </w:p>
    <w:p>
      <w:pPr>
        <w:spacing w:after="0" w:line="170" w:lineRule="exact"/>
        <w:rPr>
          <w:rFonts w:ascii="Arial" w:cs="Arial" w:eastAsia="Arial" w:hAnsi="Arial"/>
          <w:sz w:val="18"/>
          <w:szCs w:val="18"/>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Cascade Sciences, LLC (“Cascade”)- </w:t>
      </w:r>
      <w:r>
        <w:rPr>
          <w:rFonts w:ascii="Arial" w:cs="Arial" w:eastAsia="Arial" w:hAnsi="Arial"/>
          <w:sz w:val="18"/>
          <w:szCs w:val="18"/>
          <w:color w:val="auto"/>
        </w:rPr>
        <w:t>Market leader in developing and producing high-quality vacuum purge ovens and decarboxylation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ovens was acquired by Agrify on October 1, 2021.</w:t>
      </w:r>
    </w:p>
    <w:p>
      <w:pPr>
        <w:spacing w:after="0" w:line="170" w:lineRule="exact"/>
        <w:rPr>
          <w:rFonts w:ascii="Arial" w:cs="Arial" w:eastAsia="Arial" w:hAnsi="Arial"/>
          <w:sz w:val="18"/>
          <w:szCs w:val="18"/>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PurePressure, LLC (“PurePressure”) - </w:t>
      </w:r>
      <w:r>
        <w:rPr>
          <w:rFonts w:ascii="Arial" w:cs="Arial" w:eastAsia="Arial" w:hAnsi="Arial"/>
          <w:sz w:val="18"/>
          <w:szCs w:val="18"/>
          <w:color w:val="auto"/>
        </w:rPr>
        <w:t>Market leader in developing and producing high-quality solventless extraction solutions was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Agrify on December 31, 2021.</w:t>
      </w:r>
    </w:p>
    <w:p>
      <w:pPr>
        <w:spacing w:after="0" w:line="170" w:lineRule="exact"/>
        <w:rPr>
          <w:rFonts w:ascii="Arial" w:cs="Arial" w:eastAsia="Arial" w:hAnsi="Arial"/>
          <w:sz w:val="18"/>
          <w:szCs w:val="18"/>
          <w:color w:val="auto"/>
        </w:rPr>
      </w:pPr>
    </w:p>
    <w:p>
      <w:pPr>
        <w:ind w:left="660" w:right="20" w:hanging="320"/>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LS Holdings Corp. (“Lab Society”) - </w:t>
      </w:r>
      <w:r>
        <w:rPr>
          <w:rFonts w:ascii="Arial" w:cs="Arial" w:eastAsia="Arial" w:hAnsi="Arial"/>
          <w:sz w:val="18"/>
          <w:szCs w:val="18"/>
          <w:color w:val="auto"/>
        </w:rPr>
        <w:t>Market leader in developing and producing high-quality distillation and solvent separation extraction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was acquired by Agrify on February 1, 2022.</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5"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573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7573645"/>
                    </a:xfrm>
                    <a:prstGeom prst="rect">
                      <a:avLst/>
                    </a:prstGeom>
                    <a:noFill/>
                  </pic:spPr>
                </pic:pic>
              </a:graphicData>
            </a:graphic>
          </wp:anchor>
        </w:drawing>
        <w:t>Facility Design &amp; Building Services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Our principal executive offices are located at 76 Treble Cove Road, Building 3, Unit 3, Billerica, MA 01862, and our telephone number is (617) 896-5243. Our website address is </w:t>
      </w:r>
      <w:r>
        <w:rPr>
          <w:rFonts w:ascii="Arial" w:cs="Arial" w:eastAsia="Arial" w:hAnsi="Arial"/>
          <w:sz w:val="18"/>
          <w:szCs w:val="18"/>
          <w:i w:val="1"/>
          <w:iCs w:val="1"/>
          <w:color w:val="auto"/>
        </w:rPr>
        <w:t>www.agrify.com.</w:t>
      </w:r>
      <w:r>
        <w:rPr>
          <w:rFonts w:ascii="Arial" w:cs="Arial" w:eastAsia="Arial" w:hAnsi="Arial"/>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highlight w:val="white"/>
        </w:rPr>
        <w:t>We have nine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Agxiom, LLC, Cascade Sciences, LLC, Precision Extraction NewCo, LLC, PurePressure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March 14, 2022, we entered into a Securities Purchase Agreement (the “Securities Purchase Agreement”) with the selling stockholder, pursuant to which, among other things, we agreed to issue and sell to the selling stockholder, in a private placement transaction (the “Private Placement”), in exchange for the payment by the selling stockholder of $65,000,000, less applicable expenses as set forth in the Securities Purchase Agreement, (i) a senior secured promissory note in an aggregate principal amount of $65,000,000 (the “Note”), and (ii) warrants to purchase up to an aggregate of 6,881,108 shares of Common Stock. The Private Placement closed on March 23, 2022.</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Note is a senior secured obligation and ranks senior to all of our other indebtedness. We will be required to make amortization payments equal to 4.0% of the original principal amount of the Note on the first day of each calendar month starting on February 1, 2023 and extending through the maturity date of March 1, 2026 (the “Maturity Date”), at which time all remaining outstanding principal and accrued but unpaid interest will be due. The Note has a stated interest rate of 6.75% per annum, and we will be required to pay interest on March 1, June 1, September 1 and December 1 of each calendar year through and including the Maturity Date. Following the one-year anniversary of the Note’s issuance, we may, in lieu of paying interest in cash, pay such interest in kind, in which case interest on the Note will be calculated at the rate of 8.75% per annum and will be added to the principal amount of the Note. At any time following the one-year anniversary of the Note’s issuance, we may prepay all (but not less than all) of the Note by redemption at a price equal to 106.75% of the then-outstanding principal amount under the Note plus accrued but unpaid interest. The selling stockholder also has the option of requiring us to redeem the Note if we undergo a fundamental change at a price equal to 107% of the then-outstanding principal amount under the Note plus any accrued interest thereon.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warrant has an exercise price of $6.75 per share, subject to adjustment for stock splits, reverse stock splits, stock dividends and similar transactions, is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warrants will also be exercisable on a cashless exercise basis at the selling stockholder’s election. The warrants provide that in no event will the number of shares of Common Stock issued upon exercise of the warrants result in the selling stockholder’s beneficial ownership exceeding 4.99% of our shares outstanding at the time of exercise (which percentage may be decreased or increased by the selling stockholder, but to no greater than 9.99%, and provided that any increase above 4.99% will not be effective until the sixty-first (61st) day after notice of such request by the Investor to increase its beneficial ownership limit has been delivered to us).</w:t>
      </w:r>
    </w:p>
    <w:p>
      <w:pPr>
        <w:spacing w:after="0" w:line="17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warrants and the shares of Common Stock issuable upon the exercise of the warrants issued in the Private Placement were, in each case,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 This prospectus relates to the resale of 6,881,108 shares of Common Stock underlying the common stock purchase warrants issued in the Private Placement.</w:t>
      </w: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5" w:right="4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3184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3184525"/>
                    </a:xfrm>
                    <a:prstGeom prst="rect">
                      <a:avLst/>
                    </a:prstGeom>
                    <a:noFill/>
                  </pic:spPr>
                </pic:pic>
              </a:graphicData>
            </a:graphic>
          </wp:anchor>
        </w:drawing>
        <w:t>THE OFFERING</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are registering for resale by the selling stockholder named herein an aggregate of 6,881,108 shares of our Common Stock as described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Securities being offered:</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5"/>
              </w:rPr>
              <w:t>6,881,108 shares of Common Stock underlying common stock purchase</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warrants issued to the selling stockholder in the Private Placement.</w:t>
            </w:r>
          </w:p>
        </w:tc>
      </w:tr>
      <w:tr>
        <w:trPr>
          <w:trHeight w:val="418"/>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4"/>
              </w:rPr>
              <w:t>We will not receive any of the proceeds from the sale or other disposition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of shares of our Common Stock by the selling stockholder. We may</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5"/>
              </w:rPr>
              <w:t>receive proceeds upon any exercise for cash of outstanding warrants, in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which case such proceeds will be used for working capital and other</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general corporate purposes. See “Use of Proceeds” on page 10.</w:t>
            </w:r>
          </w:p>
        </w:tc>
      </w:tr>
      <w:tr>
        <w:trPr>
          <w:trHeight w:val="418"/>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Market for Common Stock:</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9"/>
              </w:rPr>
              <w:t>Our Common Stock is listed on The Nasdaq Capital Market under the</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symbol “AGFY.”  On May 27, 2022, the last reported sale price of our</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Common Stock on The Nasdaq Capital Market was $2.59.</w:t>
            </w:r>
          </w:p>
        </w:tc>
      </w:tr>
      <w:tr>
        <w:trPr>
          <w:trHeight w:val="418"/>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This investment involves a high degree of risk. See the information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w w:val="94"/>
              </w:rPr>
              <w:t>contained in or incorporated by reference under “Risk Factors” beginning</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on page 8 of this prospectus and in the documents incorporated by</w:t>
            </w: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Arial" w:cs="Arial" w:eastAsia="Arial" w:hAnsi="Arial"/>
                <w:sz w:val="18"/>
                <w:szCs w:val="18"/>
                <w:color w:val="auto"/>
              </w:rPr>
              <w:t>reference into this prospectus.</w:t>
            </w:r>
          </w:p>
        </w:tc>
      </w:tr>
      <w:tr>
        <w:trPr>
          <w:trHeight w:val="219"/>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931"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most recent annual report on Form 10-K which is on file with the SEC and is incorporated herein by reference and (ii) other documents we file with the SEC that are deemed incorporated by reference into this prospectus.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of complementary businesses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no proceeds from the sale of shares of Common Stock by the selling stockholder.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covered by this prospectus are issuable upon exercise of warrants issued to the selling stockholder. The exercise price of the outstanding warrants is $6.75 per share. The exercise price and number of shares of Common Stock issuable upon exercise of the warrants may be adjusted in certain circumstances, including stock splits or dividends, mergers, or reclassifications or similar events. Upon any exercise of outstanding warrants, the selling stockholder will pay us the exercise price.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extent we receive proceeds from the cash exercise of outstanding warrants, we intend to use the proceeds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Common Stock being offered by the selling stockholder are those issuable to the selling stockholder upon exercise of the warrants issued in the Private Placement. For additional information regarding the issuances of those warrants, see “Prospectus Summary—Private Placement” above. We are registering the shares of Common Stock in order to permit the selling stockholder to offer the shares for resale from time to time. Except for the ownership of the warrants and except as disclosed herein, the selling stockholder has not had any material relationship with us within the past three years.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below lists the selling stockholder and other information regarding the beneficial ownership of the shares of Common Stock by the selling stockholder. The second column lists the number of shares of Common Stock beneficially owned by the selling stockholder, based on its ownership of the warrants, as of May 31, 2022, assuming exercise of the warrants held by the selling stockholder on that date, without regard to any limitations on exercises.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stockholder.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prospectus generally covers the resale of the number of shares of Common Stock issuable upon exercise of the warrants, determined as if the outstanding warrants were exercised in full as of the trading day immediately preceding the date this registration statement was initially filed with the SEC, each as of the trading day immediately preceding the applicable date of determination, without regard to any limitations on the exercise of the warrants. The fourth column assumes the sale of all of the shares offered by the selling stockholder pursuant to this prospectus.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warrants, the selling stockholder may not exercise the warrants to the extent such exercise would cause the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 may sell all, some or none of their shares in this offering. See “Plan of Distribution.”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shares of</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shares of</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shares of</w:t>
            </w:r>
          </w:p>
        </w:tc>
      </w:tr>
      <w:tr>
        <w:trPr>
          <w:trHeight w:val="216"/>
        </w:trPr>
        <w:tc>
          <w:tcPr>
            <w:tcW w:w="7020" w:type="dxa"/>
            <w:vAlign w:val="bottom"/>
          </w:tcPr>
          <w:p>
            <w:pPr>
              <w:spacing w:after="0"/>
              <w:rPr>
                <w:sz w:val="18"/>
                <w:szCs w:val="18"/>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Common Stock</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be Sold</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Owned Prior</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Pursuant to</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 After</w:t>
            </w:r>
          </w:p>
        </w:tc>
      </w:tr>
      <w:tr>
        <w:trPr>
          <w:trHeight w:val="241"/>
        </w:trPr>
        <w:tc>
          <w:tcPr>
            <w:tcW w:w="7020" w:type="dxa"/>
            <w:vAlign w:val="bottom"/>
          </w:tcPr>
          <w:p>
            <w:pPr>
              <w:spacing w:after="0"/>
              <w:rPr>
                <w:sz w:val="20"/>
                <w:szCs w:val="20"/>
                <w:color w:val="auto"/>
              </w:rPr>
            </w:pPr>
            <w:r>
              <w:rPr>
                <w:rFonts w:ascii="Arial" w:cs="Arial" w:eastAsia="Arial" w:hAnsi="Arial"/>
                <w:sz w:val="18"/>
                <w:szCs w:val="18"/>
                <w:b w:val="1"/>
                <w:bCs w:val="1"/>
                <w:color w:val="auto"/>
              </w:rPr>
              <w:t>Name of Selling Stockholder</w:t>
            </w:r>
          </w:p>
        </w:tc>
        <w:tc>
          <w:tcPr>
            <w:tcW w:w="1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 Offering</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High Trail Special Situations LLC (1)</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6,881,108</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6,881,108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both"/>
        <w:ind w:left="340" w:hanging="332"/>
        <w:spacing w:after="0" w:line="279"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Consists of warrants to purchase 6,881,108 shares of Common Stock, with the exercise thereof subject to the ownership limitations described herein. Hudson Bay Capital Management LP, the investment manager of High Trail Special Situations LLC, has voting and investment power over these securities. Sander Gerber is the managing member of Hudson Bay Capital GP LLC, which is the general partner of Hudson Bay Capital Management LP. Each of High Trail Special Situations LLC and Sander Gerber disclaims beneficial ownership over these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 (the “Selling Stockholder”)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 to sell a specified number of such securities at a stipulated price per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 may also sell securities under Rule 144 or any other exemption from registration under the Securities Act of 1933, as amended (the “Securities Act”), if available, rather than under this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agreed to keep this prospectus effective until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it of the need to deliver a copy of this prospectus to each purchaser at or prior to the time of the sale (including by compliance with Rule 172 under the Securities Act).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prices at which the shares of Common Stock covered by this prospectus may actually be sold will be determined by the prevailing public market price for shares of Common Stock, by negotiations between the Selling Stockholder and buyers of our Common Stock in private transactions or as otherwise described in “Plan of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articles of incorporation authorizes the issuance of up to 50,000,000 shares of Common Stock, par value $0.001 per share, and 3,000,000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prospectus, there were 26,591,438 shares of Common Stock outstanding, warrants outstanding to purchase 17,272,481 shares of our Common Stock and 3,350,717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69" w:lineRule="auto"/>
        <w:rPr>
          <w:sz w:val="20"/>
          <w:szCs w:val="20"/>
          <w:color w:val="auto"/>
        </w:rPr>
      </w:pPr>
      <w:r>
        <w:rPr>
          <w:rFonts w:ascii="Arial" w:cs="Arial" w:eastAsia="Arial" w:hAnsi="Arial"/>
          <w:sz w:val="17"/>
          <w:szCs w:val="17"/>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provisions do not apply to a person after the expiration of four years after the person first became an interested stockholder.</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Control Share Acquisitions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in connection with this offering will be passed upon for us by Sherman &amp; Howard L.L.C., Las Vegas, Nevada.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2021 and 2020 as set forth in their report dated March 31, 2022.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our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where applicable, supersede the information already incorporated by reference. We are incorporating by reference the documents listed below:</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with the SEC on March 31,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16, 2022;</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w:t>
      </w:r>
      <w:hyperlink r:id="rId4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from our definitive proxy statement on </w:t>
      </w:r>
      <w:hyperlink r:id="rId44">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29, 2022;</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0000EE"/>
        </w:rPr>
      </w:pPr>
      <w:r>
        <w:rPr>
          <w:rFonts w:ascii="Arial" w:cs="Arial" w:eastAsia="Arial" w:hAnsi="Arial"/>
          <w:sz w:val="18"/>
          <w:szCs w:val="18"/>
          <w:color w:val="auto"/>
        </w:rPr>
        <w:t xml:space="preserve">Our Current Reports on </w:t>
      </w:r>
      <w:hyperlink r:id="rId45">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October 5, 2021 (and the amendment thereto filed with the SEC on </w:t>
      </w:r>
      <w:hyperlink r:id="rId46">
        <w:r>
          <w:rPr>
            <w:rFonts w:ascii="Arial" w:cs="Arial" w:eastAsia="Arial" w:hAnsi="Arial"/>
            <w:sz w:val="18"/>
            <w:szCs w:val="18"/>
            <w:u w:val="single" w:color="auto"/>
            <w:color w:val="0000EE"/>
          </w:rPr>
          <w:t>December 17, 2021</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 xml:space="preserve">January 5, 2022, </w:t>
        </w:r>
      </w:hyperlink>
      <w:hyperlink r:id="rId48">
        <w:r>
          <w:rPr>
            <w:rFonts w:ascii="Arial" w:cs="Arial" w:eastAsia="Arial" w:hAnsi="Arial"/>
            <w:sz w:val="18"/>
            <w:szCs w:val="18"/>
            <w:u w:val="single" w:color="auto"/>
            <w:color w:val="0000EE"/>
          </w:rPr>
          <w:t xml:space="preserve">January 26, 2022, </w:t>
        </w:r>
      </w:hyperlink>
      <w:hyperlink r:id="rId49">
        <w:r>
          <w:rPr>
            <w:rFonts w:ascii="Arial" w:cs="Arial" w:eastAsia="Arial" w:hAnsi="Arial"/>
            <w:sz w:val="18"/>
            <w:szCs w:val="18"/>
            <w:u w:val="single" w:color="auto"/>
            <w:color w:val="0000EE"/>
          </w:rPr>
          <w:t xml:space="preserve">February 2, 2022, </w:t>
        </w:r>
      </w:hyperlink>
      <w:hyperlink r:id="rId50">
        <w:r>
          <w:rPr>
            <w:rFonts w:ascii="Arial" w:cs="Arial" w:eastAsia="Arial" w:hAnsi="Arial"/>
            <w:sz w:val="18"/>
            <w:szCs w:val="18"/>
            <w:u w:val="single" w:color="auto"/>
            <w:color w:val="0000EE"/>
          </w:rPr>
          <w:t xml:space="preserve">March 18,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1">
        <w:r>
          <w:rPr>
            <w:rFonts w:ascii="Arial" w:cs="Arial" w:eastAsia="Arial" w:hAnsi="Arial"/>
            <w:sz w:val="18"/>
            <w:szCs w:val="18"/>
            <w:u w:val="single" w:color="auto"/>
            <w:color w:val="0000EE"/>
          </w:rPr>
          <w:t>April 12, 2022</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Form </w:t>
      </w:r>
      <w:hyperlink r:id="rId52">
        <w:r>
          <w:rPr>
            <w:rFonts w:ascii="Arial" w:cs="Arial" w:eastAsia="Arial" w:hAnsi="Arial"/>
            <w:sz w:val="17"/>
            <w:szCs w:val="17"/>
            <w:u w:val="single" w:color="auto"/>
            <w:color w:val="0000EE"/>
          </w:rPr>
          <w:t>8-A12B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January 26, 2021; and</w:t>
      </w:r>
    </w:p>
    <w:p>
      <w:pPr>
        <w:spacing w:after="0" w:line="23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87" w:lineRule="exact"/>
        <w:rPr>
          <w:rFonts w:ascii="Arial" w:cs="Arial" w:eastAsia="Arial" w:hAnsi="Arial"/>
          <w:sz w:val="18"/>
          <w:szCs w:val="18"/>
          <w:color w:val="0000EE"/>
        </w:rPr>
      </w:pPr>
    </w:p>
    <w:p>
      <w:pPr>
        <w:jc w:val="both"/>
        <w:spacing w:after="0" w:line="263"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84" w:lineRule="exact"/>
        <w:rPr>
          <w:rFonts w:ascii="Arial" w:cs="Arial" w:eastAsia="Arial" w:hAnsi="Arial"/>
          <w:sz w:val="18"/>
          <w:szCs w:val="18"/>
          <w:color w:val="0000EE"/>
        </w:rPr>
      </w:pPr>
    </w:p>
    <w:p>
      <w:pPr>
        <w:jc w:val="both"/>
        <w:spacing w:after="0" w:line="263"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4"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Agrify Corporation</w:t>
      </w:r>
    </w:p>
    <w:p>
      <w:pPr>
        <w:spacing w:after="0" w:line="23"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76 Treble Cove Road, Building 3</w:t>
      </w:r>
    </w:p>
    <w:p>
      <w:pPr>
        <w:spacing w:after="0" w:line="9"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Billerica, MA 01862</w:t>
      </w:r>
    </w:p>
    <w:p>
      <w:pPr>
        <w:spacing w:after="0" w:line="9"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Telephone: (617) 896-5243</w:t>
      </w:r>
    </w:p>
    <w:p>
      <w:pPr>
        <w:spacing w:after="0" w:line="211" w:lineRule="exact"/>
        <w:rPr>
          <w:rFonts w:ascii="Arial" w:cs="Arial" w:eastAsia="Arial" w:hAnsi="Arial"/>
          <w:sz w:val="18"/>
          <w:szCs w:val="18"/>
          <w:color w:val="0000EE"/>
        </w:rPr>
      </w:pPr>
    </w:p>
    <w:p>
      <w:pPr>
        <w:jc w:val="both"/>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8"/>
          <w:szCs w:val="18"/>
          <w:color w:val="0000EE"/>
        </w:rPr>
      </w:pPr>
    </w:p>
    <w:p>
      <w:pPr>
        <w:jc w:val="both"/>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1683385</wp:posOffset>
            </wp:positionV>
            <wp:extent cx="1054100" cy="788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6,881,108 Shares of Common Stock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ind w:left="314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paying all expenses of the offering. No portion of these expenses will be borne by the selling security holder. The selling security holder, however, will pay any other expenses incurred in selling its Common Stock, including any brokerage commissions or costs of sale. Following is an itemized statement of all expenses in connection with the issuance and distribution of the securities to be registered. All of the amounts shown are estimates, except for the SEC Registration Fees.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are a Nevada corporation and generally governed by the Nevada Private Corporations Code, Title 78 of the Nevada Revised Statutes, or NRS.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1"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Town of Billerica, Commonwealth of Massachusetts, on May 31, 2022.</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Raymond Chang</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Oakes</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Timothy R. Oakes</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Guichao Hua</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Timothy Mahoney</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President, COO and 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Thomas Massie</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Leonard J. Sokolow</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Krishnan Varier</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5"/>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Stuart Wilcox</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187" w:lineRule="exact"/>
        <w:rPr>
          <w:sz w:val="20"/>
          <w:szCs w:val="20"/>
          <w:color w:val="auto"/>
        </w:rPr>
      </w:pPr>
    </w:p>
    <w:p>
      <w:pPr>
        <w:ind w:left="460" w:right="9460" w:hanging="452"/>
        <w:spacing w:after="0" w:line="303" w:lineRule="auto"/>
        <w:tabs>
          <w:tab w:leader="none" w:pos="1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By: Raymond Chang Stephen From </w:t>
      </w: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-323215</wp:posOffset>
            </wp:positionV>
            <wp:extent cx="2562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40" w:type="dxa"/>
            <w:vAlign w:val="bottom"/>
            <w:gridSpan w:val="17"/>
          </w:tcPr>
          <w:p>
            <w:pPr>
              <w:ind w:left="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1"/>
            <w:shd w:val="clear" w:color="auto" w:fill="CCEEFF"/>
          </w:tcPr>
          <w:p>
            <w:pPr>
              <w:spacing w:after="0" w:line="17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Agreement and Plan of Merger dated January 22, 2020 between the Company and TriGrow Systems, Inc. (incorporated by reference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Exhibit 2.1 to the Registrant’s Registration Statement on Form S-1 filed with the Securities and Exchange Commission on December 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2020)</w:t>
              </w:r>
              <w:r>
                <w:rPr>
                  <w:rFonts w:ascii="Arial" w:cs="Arial" w:eastAsia="Arial" w:hAnsi="Arial"/>
                  <w:sz w:val="18"/>
                  <w:szCs w:val="18"/>
                  <w:u w:val="single" w:color="auto"/>
                  <w:color w:val="0000EE"/>
                </w:rPr>
                <w:t>**</w:t>
              </w:r>
            </w:hyperlink>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w w:val="98"/>
              </w:rPr>
            </w:pPr>
            <w:hyperlink r:id="rId63">
              <w:r>
                <w:rPr>
                  <w:rFonts w:ascii="Arial" w:cs="Arial" w:eastAsia="Arial" w:hAnsi="Arial"/>
                  <w:sz w:val="18"/>
                  <w:szCs w:val="18"/>
                  <w:color w:val="0000EE"/>
                  <w:w w:val="98"/>
                </w:rPr>
                <w:t>Plan of Merger and Equity Purchase Agreement, dated as of September 29, 2021, among the Company, Sinclair Scientific,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Mass2Media, LLC dba PX2 Holdings, LLC, and each of the equity holders of Sinclair Scientific, LLC named therein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reference to Exhibit 2.1 to the Registrant’s Current Report on Form 8-K filed with the Securities and Exchange Commission on October 5,</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98"/>
              </w:rPr>
            </w:pPr>
            <w:hyperlink r:id="rId63">
              <w:r>
                <w:rPr>
                  <w:rFonts w:ascii="Arial" w:cs="Arial" w:eastAsia="Arial" w:hAnsi="Arial"/>
                  <w:sz w:val="18"/>
                  <w:szCs w:val="18"/>
                  <w:color w:val="0000EE"/>
                  <w:w w:val="98"/>
                </w:rPr>
                <w:t>2021.**</w:t>
              </w:r>
            </w:hyperlink>
          </w:p>
        </w:tc>
        <w:tc>
          <w:tcPr>
            <w:tcW w:w="18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Membership Interest Purchase Agreement, dated as of December 31, 2021, among the Company, PurePressure, LLC, Benjamin Britton 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Member Representative, and each of the equity holders of PurePressure, LLC named therein (incorporated by reference to Exhibit 2.1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Registrant’s Current Report on Form 8-K filed with the Securities and Exchange Commission on January 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Merger Agreement, dated as of February 1, 2022, among the registrant, LS Holdings Corp., Lab Society NewCo, LLC, Michael S. Maibach</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Jr. as Owner Representative, and each of the Owners named therein (incorporated by reference to Exhibit 2.1 to the Registrant’s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Report on Form 8-K filed with the Securities and Exchange Commission on February 2, 2022). **</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Articles of Incorporation of the Registrant, as amended (incorporated by reference to Exhibit 3.1 to the Registrant’s Amendment No. 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Registration Statement on Form S-1 filed with the Securities and Exchange Commission on January 13, 2021)</w:t>
              </w:r>
            </w:hyperlink>
          </w:p>
        </w:tc>
        <w:tc>
          <w:tcPr>
            <w:tcW w:w="216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Third Amended and Restated Certificate of Designations of the Series A Convertible Preferred Stock of the Registrant (incorporated by</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reference to Exhibit 3.2 to the Registrant’s Amendment No. 1 to Registration Statement on Form S-1 filed with the Securities and Exchange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Commission on January 13, 2021)</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7"/>
              </w:rPr>
            </w:pPr>
            <w:hyperlink r:id="rId68">
              <w:r>
                <w:rPr>
                  <w:rFonts w:ascii="Arial" w:cs="Arial" w:eastAsia="Arial" w:hAnsi="Arial"/>
                  <w:sz w:val="18"/>
                  <w:szCs w:val="18"/>
                  <w:color w:val="0000EE"/>
                  <w:w w:val="97"/>
                </w:rPr>
                <w:t>Amended and Restated Bylaws of the Registrant (incorporated by reference to Exhibit 3.3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Registration Statement on Form S-1 filed with the Securities and Exchange Commission on January 26, 2021)</w:t>
              </w:r>
            </w:hyperlink>
          </w:p>
        </w:tc>
        <w:tc>
          <w:tcPr>
            <w:tcW w:w="216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Form of Common Stock Certificate (incorporated by reference to Exhibit 4.1 to the Registrant’s Amendment No. 2 to Registration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Statement on Form S-1 filed with the Securities and Exchange 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6"/>
              </w:rPr>
            </w:pPr>
            <w:hyperlink r:id="rId70">
              <w:r>
                <w:rPr>
                  <w:rFonts w:ascii="Arial" w:cs="Arial" w:eastAsia="Arial" w:hAnsi="Arial"/>
                  <w:sz w:val="18"/>
                  <w:szCs w:val="18"/>
                  <w:color w:val="0000EE"/>
                  <w:w w:val="96"/>
                </w:rPr>
                <w:t>Form of Representative’s Warrant dated February 19, 2021 (incorporated by reference to Exhibit 4.2 to the Registrant’s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10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Statement on Form S-1 filed with the Securities and Exchange Commission on February 11, 2021)</w:t>
              </w:r>
            </w:hyperlink>
          </w:p>
        </w:tc>
        <w:tc>
          <w:tcPr>
            <w:tcW w:w="3000" w:type="dxa"/>
            <w:vAlign w:val="bottom"/>
            <w:tcBorders>
              <w:bottom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Form of Representative’s Warrant dated January 27, 2021 (incorporated by reference to Exhibit 4.2 to the Registrant’s Amendment No. 2 to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Registration Statement on Form S-1 filed with the Securities and Exchange Commission on January 26,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Form of Warrant issued to Noteholders (incorporated by reference to Exhibit 4.3 to the Registrant’s Registration Statement on Form S-1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8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filed with the Securities and Exchange Commission on December 22, 2020)</w:t>
              </w:r>
            </w:hyperlink>
          </w:p>
        </w:tc>
        <w:tc>
          <w:tcPr>
            <w:tcW w:w="460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Description of Registrant’s Securities (incorporated by reference to Exhibit 4.5 to the Registrant’s Annual Report on Form 10-K filed with</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the Securities and Exchange Commission on April 2, 2021).</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Form of Pre-Funded Warrant dated January 28, 2022 (incorporated by reference to Exhibit 4.1 to the Registrant’s Current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8-K filed with the Securities and Exchange Commission on January 26,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1"/>
          </w:tcPr>
          <w:p>
            <w:pPr>
              <w:spacing w:after="0" w:line="17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Form of Common Stock Purchase Warrant dated January 28, 2022 (incorporated by reference to Exhibit 4.1 to the Registrant’s Current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2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Form of Common Stock Purchase Warrant (incorporated by reference to Exhibit 4.1 to the Registrant’s Current Report on Form 8-K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with the Securities and Exchange Commission on March 18, 2022).</w:t>
              </w:r>
            </w:hyperlink>
          </w:p>
        </w:tc>
        <w:tc>
          <w:tcPr>
            <w:tcW w:w="5220" w:type="dxa"/>
            <w:vAlign w:val="bottom"/>
            <w:tcBorders>
              <w:bottom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w w:val="96"/>
              </w:rPr>
            </w:pPr>
            <w:hyperlink r:id="rId77">
              <w:r>
                <w:rPr>
                  <w:rFonts w:ascii="Arial" w:cs="Arial" w:eastAsia="Arial" w:hAnsi="Arial"/>
                  <w:sz w:val="18"/>
                  <w:szCs w:val="18"/>
                  <w:color w:val="0000EE"/>
                  <w:w w:val="96"/>
                </w:rPr>
                <w:t>Form of Senior Secured Note (incorporated by reference to Exhibit 4.2 to the Registrant’s Current Report on Form 8-K filed with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Securities and Exchange Commission on March 18,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Opinion of Sherman &amp; Howard L.L.C.*</w:t>
              </w:r>
            </w:hyperlink>
          </w:p>
        </w:tc>
        <w:tc>
          <w:tcPr>
            <w:tcW w:w="7200" w:type="dxa"/>
            <w:vAlign w:val="bottom"/>
            <w:tcBorders>
              <w:bottom w:val="single" w:sz="8" w:color="CCEEFF"/>
            </w:tcBorders>
            <w:gridSpan w:val="17"/>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5"/>
                <w:szCs w:val="15"/>
                <w:color w:val="auto"/>
              </w:rPr>
            </w:pPr>
          </w:p>
        </w:tc>
        <w:tc>
          <w:tcPr>
            <w:tcW w:w="10100" w:type="dxa"/>
            <w:vAlign w:val="bottom"/>
            <w:gridSpan w:val="21"/>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Consent of Marcum LLP, Independent Registered Public Accounting Firm††</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Consent of Baker Tilly US LLP, Independent Registered Public Accounting Firm††</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23.3</w:t>
            </w:r>
          </w:p>
        </w:tc>
        <w:tc>
          <w:tcPr>
            <w:tcW w:w="120" w:type="dxa"/>
            <w:vAlign w:val="bottom"/>
            <w:tcBorders>
              <w:top w:val="single" w:sz="8" w:color="CCEEFF"/>
            </w:tcBorders>
          </w:tcPr>
          <w:p>
            <w:pPr>
              <w:spacing w:after="0"/>
              <w:rPr>
                <w:sz w:val="15"/>
                <w:szCs w:val="15"/>
                <w:color w:val="auto"/>
              </w:rPr>
            </w:pPr>
          </w:p>
        </w:tc>
        <w:tc>
          <w:tcPr>
            <w:tcW w:w="602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Consent of Sherman &amp; Howard L.L.C. (included in Exhibit 5.1)*</w:t>
              </w:r>
            </w:hyperlink>
          </w:p>
        </w:tc>
        <w:tc>
          <w:tcPr>
            <w:tcW w:w="4080" w:type="dxa"/>
            <w:vAlign w:val="bottom"/>
            <w:tcBorders>
              <w:top w:val="single" w:sz="8" w:color="CCEE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Power of Attorney (included in signature page)*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40" w:hanging="1132"/>
        <w:spacing w:after="0"/>
        <w:tabs>
          <w:tab w:leader="none" w:pos="1140" w:val="left"/>
        </w:tabs>
        <w:numPr>
          <w:ilvl w:val="0"/>
          <w:numId w:val="17"/>
        </w:numPr>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Calculation of Filing Fee Tables.*</w:t>
        </w:r>
      </w:hyperlink>
    </w:p>
    <w:p>
      <w:pPr>
        <w:spacing w:after="0" w:line="211" w:lineRule="exact"/>
        <w:rPr>
          <w:sz w:val="20"/>
          <w:szCs w:val="20"/>
          <w:color w:val="auto"/>
        </w:rPr>
      </w:pPr>
    </w:p>
    <w:p>
      <w:pPr>
        <w:ind w:right="4960" w:firstLine="8"/>
        <w:spacing w:after="0" w:line="258" w:lineRule="auto"/>
        <w:tabs>
          <w:tab w:leader="none" w:pos="4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9" w:lineRule="exact"/>
        <w:rPr>
          <w:rFonts w:ascii="Arial" w:cs="Arial" w:eastAsia="Arial" w:hAnsi="Arial"/>
          <w:sz w:val="18"/>
          <w:szCs w:val="18"/>
          <w:color w:val="auto"/>
        </w:rPr>
      </w:pPr>
    </w:p>
    <w:p>
      <w:pPr>
        <w:ind w:left="460" w:right="60" w:hanging="459"/>
        <w:spacing w:after="0" w:line="260" w:lineRule="auto"/>
        <w:rPr>
          <w:rFonts w:ascii="Arial" w:cs="Arial" w:eastAsia="Arial" w:hAnsi="Arial"/>
          <w:sz w:val="18"/>
          <w:szCs w:val="18"/>
          <w:color w:val="auto"/>
        </w:rPr>
      </w:pPr>
      <w:r>
        <w:rPr>
          <w:rFonts w:ascii="Arial" w:cs="Arial" w:eastAsia="Arial" w:hAnsi="Arial"/>
          <w:sz w:val="18"/>
          <w:szCs w:val="18"/>
          <w:color w:val="auto"/>
        </w:rPr>
        <w:t>** Schedules and exhibits have been omitted pursuant to Item 601(a)(5) of Regulation S-K. The registrant hereby undertakes to furnish copies of any of the omitted schedules and exhibits upon request by the U.S. Securities and Exchange Commission.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0120"/>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incorporation by reference in this Registration Statement of Agrify Corporation on the Amendment No. 1 to Form S-3 of our report dated March 31, 2022 with respect to our audits of the consolidated financial statements of Agrify Corporation as of December 31, 2021 and 2020 and for the two years in the period ended December 31, 2021, which report appears in the Annual Report on Form 10-K of Agrify Corporation for the fiscal year ended December 31, 2021. We also consent to the reference to our Firm under the heading “Experts” in such Prospectus.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2022</w:t>
      </w:r>
    </w:p>
    <w:p>
      <w:pPr>
        <w:sectPr>
          <w:pgSz w:w="11900" w:h="16838" w:orient="portrait"/>
          <w:cols w:equalWidth="0" w:num="1">
            <w:col w:w="11240"/>
          </w:cols>
          <w:pgMar w:left="320" w:top="11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23.2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AUDITOR</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inclusion in this Registration Statement on Form S-3 of our report dated December 8, 2021 relating to the financial statements of Cascade Sciences, LLC as of December 31, 2020. We also consent to the reference to us under the heading "Experts" in such Registration Statement.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CONSENT OF INDEPENDENT AUDITOR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inclusion in this Registration Statement on Form S-3 of our report dated December 8, 2021, relating to the consolidated financial statements of Mass2Media, LLC dba PX2 Holdings, LLC and Affiliate as of December 31, 2020. We also consent to the reference to us under the heading "Experts" in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2"/>
    </w:lvl>
    <w:lvl w:ilvl="1">
      <w:lvlJc w:val="left"/>
      <w:lvlText w:val="(%2)"/>
      <w:numFmt w:val="lowerLetter"/>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07"/>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jpe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81" Type="http://schemas.openxmlformats.org/officeDocument/2006/relationships/image" Target="media/image43.png"/><Relationship Id="rId82" Type="http://schemas.openxmlformats.org/officeDocument/2006/relationships/image" Target="media/image44.png"/><Relationship Id="rId83" Type="http://schemas.openxmlformats.org/officeDocument/2006/relationships/image" Target="media/image45.png"/><Relationship Id="rId41" Type="http://schemas.openxmlformats.org/officeDocument/2006/relationships/hyperlink" Target="http://www.sec.gov/ix?doc=/Archives/edgar/data/1800637/000121390022016936/f10k2021_agrifycorp.htm" TargetMode="External"/><Relationship Id="rId42" Type="http://schemas.openxmlformats.org/officeDocument/2006/relationships/hyperlink" Target="http://www.sec.gov/ix?doc=/Archives/edgar/data/1800637/000121390022027256/f10q0322_agrifycorp.htm" TargetMode="External"/><Relationship Id="rId43" Type="http://schemas.openxmlformats.org/officeDocument/2006/relationships/hyperlink" Target="http://www.sec.gov/Archives/edgar/data/1800637/000121390021019992/f10k2020_agrifycorporation.htm" TargetMode="External"/><Relationship Id="rId44" Type="http://schemas.openxmlformats.org/officeDocument/2006/relationships/hyperlink" Target="http://www.sec.gov/Archives/edgar/data/1800637/000121390022022512/def14a0422_agrify.htm" TargetMode="External"/><Relationship Id="rId45" Type="http://schemas.openxmlformats.org/officeDocument/2006/relationships/hyperlink" Target="https://www.sec.gov/ix?doc=/Archives/edgar/data/1800637/000101376221000191/ea148348-8k_agrifycorp.htm" TargetMode="External"/><Relationship Id="rId46" Type="http://schemas.openxmlformats.org/officeDocument/2006/relationships/hyperlink" Target="http://www.sec.gov/ix?doc=/Archives/edgar/data/1800637/000162828021025312/agfy-20210929.htm" TargetMode="External"/><Relationship Id="rId47" Type="http://schemas.openxmlformats.org/officeDocument/2006/relationships/hyperlink" Target="http://www.sec.gov/ix?doc=/Archives/edgar/data/1800637/000121390022000601/ea153490-8k_agrifycorp.htm" TargetMode="External"/><Relationship Id="rId48" Type="http://schemas.openxmlformats.org/officeDocument/2006/relationships/hyperlink" Target="http://www.sec.gov/ix?doc=/Archives/edgar/data/1800637/000121390022003773/ea154520-8k_agrifycorp.htm" TargetMode="External"/><Relationship Id="rId49" Type="http://schemas.openxmlformats.org/officeDocument/2006/relationships/hyperlink" Target="http://www.sec.gov/ix?doc=/Archives/edgar/data/1800637/000121390022004925/ea154783-8k_agrifycorp.htm" TargetMode="External"/><Relationship Id="rId50" Type="http://schemas.openxmlformats.org/officeDocument/2006/relationships/hyperlink" Target="http://www.sec.gov/ix?doc=/Archives/edgar/data/1800637/000121390022013613/ea157101-8k_agrifycorp.htm" TargetMode="External"/><Relationship Id="rId51" Type="http://schemas.openxmlformats.org/officeDocument/2006/relationships/hyperlink" Target="http://www.sec.gov/ix?doc=/Archives/edgar/data/1800637/000121390022019437/ea158347-8k_agrifycorp.htm" TargetMode="External"/><Relationship Id="rId52" Type="http://schemas.openxmlformats.org/officeDocument/2006/relationships/hyperlink" Target="http://www.sec.gov/Archives/edgar/data/1800637/000121390021004285/ea133941-8a12b_agrifycorp.htm" TargetMode="External"/><Relationship Id="rId62" Type="http://schemas.openxmlformats.org/officeDocument/2006/relationships/hyperlink" Target="http://www.sec.gov/Archives/edgar/data/1800637/000121390020044121/fs12020ex2-1_agrifycorp.htm" TargetMode="External"/><Relationship Id="rId63" Type="http://schemas.openxmlformats.org/officeDocument/2006/relationships/hyperlink" Target="https://www.sec.gov/Archives/edgar/data/0001800637/000101376221000191/ea148348ex2-1_agrifycorp.htm" TargetMode="External"/><Relationship Id="rId64" Type="http://schemas.openxmlformats.org/officeDocument/2006/relationships/hyperlink" Target="https://www.sec.gov/Archives/edgar/data/0001800637/000121390022000601/ea153490ex2-1_agrifycorp.htm" TargetMode="External"/><Relationship Id="rId65" Type="http://schemas.openxmlformats.org/officeDocument/2006/relationships/hyperlink" Target="https://www.sec.gov/Archives/edgar/data/0001800637/000121390022004925/ea154783ex2-1_agrifycorp.htm" TargetMode="External"/><Relationship Id="rId66" Type="http://schemas.openxmlformats.org/officeDocument/2006/relationships/hyperlink" Target="https://www.sec.gov/Archives/edgar/data/1800637/000121390021001799/fs12020a1ex3-1_agrify.htm" TargetMode="External"/><Relationship Id="rId67" Type="http://schemas.openxmlformats.org/officeDocument/2006/relationships/hyperlink" Target="http://www.sec.gov/Archives/edgar/data/1800637/000121390021001799/fs12020a1ex3-2_agrify.htm" TargetMode="External"/><Relationship Id="rId68" Type="http://schemas.openxmlformats.org/officeDocument/2006/relationships/hyperlink" Target="http://www.sec.gov/Archives/edgar/data/1800637/000121390021004220/fs12021a2ex3-3_agrifycorp.htm" TargetMode="External"/><Relationship Id="rId69" Type="http://schemas.openxmlformats.org/officeDocument/2006/relationships/hyperlink" Target="http://www.sec.gov/Archives/edgar/data/1800637/000121390021004220/fs12021a2ex4-1_agrifycorp.htm" TargetMode="External"/><Relationship Id="rId70" Type="http://schemas.openxmlformats.org/officeDocument/2006/relationships/hyperlink" Target="http://www.sec.gov/Archives/edgar/data/1800637/000121390021008530/fs12021ex4-2_agrifycorp.htm" TargetMode="External"/><Relationship Id="rId71" Type="http://schemas.openxmlformats.org/officeDocument/2006/relationships/hyperlink" Target="http://www.sec.gov/Archives/edgar/data/1800637/000121390021004220/fs12021a2ex4-2_agrifycorp.htm" TargetMode="External"/><Relationship Id="rId72" Type="http://schemas.openxmlformats.org/officeDocument/2006/relationships/hyperlink" Target="http://www.sec.gov/Archives/edgar/data/1800637/000121390020044121/fs12020ex4-3_agrifycorp.htm" TargetMode="External"/><Relationship Id="rId73" Type="http://schemas.openxmlformats.org/officeDocument/2006/relationships/hyperlink" Target="https://www.sec.gov/Archives/edgar/data/0001800637/000121390021019992/f10k2020ex4-5_agrifycorp.htm" TargetMode="External"/><Relationship Id="rId74" Type="http://schemas.openxmlformats.org/officeDocument/2006/relationships/hyperlink" Target="https://www.sec.gov/Archives/edgar/data/0001800637/000121390022003773/ea154520ex4-1_agrify.htm" TargetMode="External"/><Relationship Id="rId75" Type="http://schemas.openxmlformats.org/officeDocument/2006/relationships/hyperlink" Target="https://www.sec.gov/Archives/edgar/data/0001800637/000121390022003773/ea154520ex4-2_agrify.htm" TargetMode="External"/><Relationship Id="rId76" Type="http://schemas.openxmlformats.org/officeDocument/2006/relationships/hyperlink" Target="https://www.sec.gov/Archives/edgar/data/0001800637/000121390022013613/ea157101ex4-1_agrifycorp.htm" TargetMode="External"/><Relationship Id="rId77" Type="http://schemas.openxmlformats.org/officeDocument/2006/relationships/hyperlink" Target="https://www.sec.gov/Archives/edgar/data/0001800637/000121390022013613/ea157101ex4-2_agrifycorp.htm" TargetMode="External"/><Relationship Id="rId78" Type="http://schemas.openxmlformats.org/officeDocument/2006/relationships/hyperlink" Target="http://www.sec.gov/Archives/edgar/data/1800637/000121390022028376/ea160257ex5-1_agrifycorp.htm" TargetMode="External"/><Relationship Id="rId79" Type="http://schemas.openxmlformats.org/officeDocument/2006/relationships/hyperlink" Target="http://www.sec.gov/Archives/edgar/data/1800637/000121390022028376/ea160257-s3_agrifycorp.htm#a_015" TargetMode="External"/><Relationship Id="rId80" Type="http://schemas.openxmlformats.org/officeDocument/2006/relationships/hyperlink" Target="http://www.sec.gov/Archives/edgar/data/1800637/000121390022028376/ea160257ex-fee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2022-05-31T15:45:20Z</dcterms:created>
  <dcterms:modified xsi:type="dcterms:W3CDTF">2022-05-31T15:45:20Z</dcterms:modified>
</cp:coreProperties>
</file>