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27,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38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2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101 Middlesex Turnpike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Suite 6, PMB 326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6"/>
              </w:rPr>
              <w:t>Burlington, MA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01803</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Ticker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27, 2021, Agrify Corporation (the “Company”) entered into an Underwriting Agreement dated as of January 27, 2021 (the “Underwriting Agreement”) with Maxim Group LLC, as representative of the underwriters named therein (collectively, the “Underwriters”), in connection with its initial public offering. The Company previously filed the form of underwriting agreement as an exhibit to its Registration Statement on Form S-1 (File No. 333-251616). On January 27, 2021, the Company announced the pricing of its initial public offering of 5,400,000 shares of common stock for a price of $10.00 per share, less certain underwriting discounts and commissions. The Company also granted the Underwriters a 45-day option to purchase up to 810,000 additional shares of the Company’s common stock on the same terms and conditions for the purpose of covering any over-allotments in connection with the initial public offering.</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initial public offering closed on February 1, 2021 and was made pursuant to the Company’s registration statement on Form S-1 (File No. 333- 251616), which was declared effective by the Securities and Exchange Commission (the “SEC”) on January 27, 2021 under the Securities Act of 1933, as amended (the “Securities Act”), and the Company’s Registration Statement on Form S-1MEF (File No. 333-252490). A final prospectus describing the terms of the Offering was filed with the SEC on January 29, 2021 and is available on the SEC’s website located at http://www.sec.gov.</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proceeds to the Company from its initial public offering are approximately $49.4 million, after deducting underwriting commissions and offering expenses, and assuming no exercise of the over-allotment option. The Company intends to use the net proceeds from its initial public offering for research and development for future generations of its products and software, sales and marketing activities, hiring of additional personnel, its equipment financing plan to provide limited credit to our customers and working capital and other general corporate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Current Report on Form 8-K contains forward-looking statements that involve risks and uncertainties, such as statements related to the use of proceeds from the initial public offering, as well as other risks detailed from time to time in the Company’s filings with the SEC.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copy of the Underwriting Agreement is filed as Exhibit 1.1 to this Current Report on Form 8-K and is incorporated herein by reference. The foregoing description of the Underwriting Agreement does not purport to be complete and is qualified in its entirety by reference to the complete text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27, 2021, the Company issued a press release announcing the pricing of the initial public offering. A copy of this press release is attached as Exhibit 99.1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Underwriting Agreement dated January 27, 2021 by and between the Registrant and Maxim Group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3">
        <w:r>
          <w:rPr>
            <w:rFonts w:ascii="Arial" w:cs="Arial" w:eastAsia="Arial" w:hAnsi="Arial"/>
            <w:sz w:val="15"/>
            <w:szCs w:val="15"/>
            <w:u w:val="single" w:color="auto"/>
            <w:color w:val="0000EE"/>
          </w:rPr>
          <w:t>Press Release dated January 27, 2021</w:t>
        </w:r>
      </w:hyperlink>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310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February 2, 2021</w:t>
            </w:r>
          </w:p>
        </w:tc>
        <w:tc>
          <w:tcPr>
            <w:tcW w:w="3780" w:type="dxa"/>
            <w:vAlign w:val="bottom"/>
          </w:tcPr>
          <w:p>
            <w:pPr>
              <w:ind w:left="310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3660" w:type="dxa"/>
            <w:vAlign w:val="bottom"/>
          </w:tcPr>
          <w:p>
            <w:pPr>
              <w:spacing w:after="0"/>
              <w:rPr>
                <w:sz w:val="17"/>
                <w:szCs w:val="17"/>
                <w:color w:val="auto"/>
              </w:rPr>
            </w:pPr>
          </w:p>
        </w:tc>
        <w:tc>
          <w:tcPr>
            <w:tcW w:w="3780" w:type="dxa"/>
            <w:vAlign w:val="bottom"/>
          </w:tcPr>
          <w:p>
            <w:pPr>
              <w:ind w:left="310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30"/>
        </w:trPr>
        <w:tc>
          <w:tcPr>
            <w:tcW w:w="3660" w:type="dxa"/>
            <w:vAlign w:val="bottom"/>
          </w:tcPr>
          <w:p>
            <w:pPr>
              <w:spacing w:after="0"/>
              <w:rPr>
                <w:sz w:val="20"/>
                <w:szCs w:val="20"/>
                <w:color w:val="auto"/>
              </w:rPr>
            </w:pPr>
          </w:p>
        </w:tc>
        <w:tc>
          <w:tcPr>
            <w:tcW w:w="3780" w:type="dxa"/>
            <w:vAlign w:val="bottom"/>
          </w:tcPr>
          <w:p>
            <w:pPr>
              <w:ind w:left="310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2</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1.1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5,400,000 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405 Lexington Avenue,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Representative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Several underwriters, if any,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Agrify Corporation, a company incorporated under the laws of Nevada (collectively with its subsidiaries and affiliates, including, without limitation, all entities disclosed or described in the Registration Statement as being subsidiaries or affiliates of Agrify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underwriters (such underwriters, including the Representative (as defined below),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which Maxim Group LLC is acting as representative to the several Underwriters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It is understood that the several Underwriters are to make a public offering of the Public Shares as soon as the Representative deems it advisable to do so. The Public Shares are to be initially offered to the public at the initial public offering price set forth in the Prospectus.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further understood that you will act as the Representative for the Underwriters in the offering and sale of the Firm Shares and, if any, the Option Shares in accordance with this Agreement.</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commercial banking institutions in the State of New York are authorized or required by law or other governmental action to close, it being agreed that any day which would otherwise be a Business Day shall continue to be a Business Day notwithstanding the occurrence or continuation of any “stay at home”, “shelter-in-place”, “non-essential employee” or any other similar orders or restrictions at the direction of any governmental authority so long as the electronic funds transfer systems (including for wire transfers) of commercial banks in New York,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Firm Shares pursuant to Section 2.1.</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hour and the date on the Trading Day on which all conditions precedent to (i) the Underwriters’ obligations to pay for the Firm Shares and (ii) the Company’s obligations to deliver the Firm Shares, in each case, have been satisfied or waived, but in no event</w:t>
      </w:r>
    </w:p>
    <w:p>
      <w:pPr>
        <w:jc w:val="both"/>
        <w:spacing w:after="0" w:line="221" w:lineRule="auto"/>
        <w:rPr>
          <w:sz w:val="20"/>
          <w:szCs w:val="20"/>
          <w:color w:val="auto"/>
        </w:rPr>
      </w:pPr>
      <w:r>
        <w:rPr>
          <w:rFonts w:ascii="Arial" w:cs="Arial" w:eastAsia="Arial" w:hAnsi="Arial"/>
          <w:sz w:val="18"/>
          <w:szCs w:val="18"/>
          <w:color w:val="auto"/>
        </w:rPr>
        <w:t>later than 10:00 a.m. (New York City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(or if the Firm Shares are priced, as contemplated by Rule 15c6-1(c) under the Exchange Act, after 4:30 p.m., Eastern time, the third (3rd)) Trading Day following the Execution Date or at such earlier time as shall be agreed upon by the Representative and the Company.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Auditor</w:t>
      </w:r>
      <w:r>
        <w:rPr>
          <w:rFonts w:ascii="Arial" w:cs="Arial" w:eastAsia="Arial" w:hAnsi="Arial"/>
          <w:sz w:val="18"/>
          <w:szCs w:val="18"/>
          <w:color w:val="auto"/>
        </w:rPr>
        <w:t>” means Marcum LLP, with offices located at 7 Penn Plaza, Suite 830, New York, New York 10001.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Loeb &amp; Loeb LLP, with offices located at 345 Park Avenue, New York, NY 10154.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shall mean the date on which the parties execute and enter into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restricted stock, restricted stock units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or in connection with the appointment of investor relation firms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prohibitive period set forth in Section 4.20 hereof,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37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Free Writing Prospectus</w:t>
      </w:r>
      <w:r>
        <w:rPr>
          <w:rFonts w:ascii="Arial" w:cs="Arial" w:eastAsia="Arial" w:hAnsi="Arial"/>
          <w:sz w:val="18"/>
          <w:szCs w:val="18"/>
          <w:color w:val="auto"/>
        </w:rPr>
        <w:t xml:space="preserve">”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Securities or of the Offering that does not reflect the final terms or pursuant to Rule 433(d)(8)(ii) because it is a “bona fide electronic road show,” as defined in Rule 433 under the Securities Act, in each case in the form filed or required to be filed with the Commission or, if not required to be filed, in the form retained in the Company’s records pursuant to Rule 433(g) under the Securities Act;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Written Testing-the-Waters Communication shall be deemed not to be an Issuer Free Writing Prospectus.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General Free Writing Prospectus</w:t>
      </w:r>
      <w:r>
        <w:rPr>
          <w:rFonts w:ascii="Arial" w:cs="Arial" w:eastAsia="Arial" w:hAnsi="Arial"/>
          <w:sz w:val="18"/>
          <w:szCs w:val="18"/>
          <w:color w:val="auto"/>
        </w:rPr>
        <w:t xml:space="preserve">” means any Issuer-Represented Free Writing Prospectus that is intended for general distribution to prospective investors, as evidenced by its being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Limited-Use Free Writing Prospectus</w:t>
      </w:r>
      <w:r>
        <w:rPr>
          <w:rFonts w:ascii="Arial" w:cs="Arial" w:eastAsia="Arial" w:hAnsi="Arial"/>
          <w:sz w:val="18"/>
          <w:szCs w:val="18"/>
          <w:color w:val="auto"/>
        </w:rPr>
        <w:t>” means any Issuer-Represented Free Writing Prospectus that is not an Issuer-Represented General Free Writing Prospectus. The term Issuer-Represented Limited-Use Free Writing Prospectus also includes any “bona fide electronic road show,” as defined in Rule 433 under the Securities Act, that is made available without restriction pursuant to Rule 433(d)(8)(ii), even though not required to be filed with the Commission.</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means the lock-up agreements that are delivered on the Execution Date by each of the Company’s officers and directors and each holder of Common Stock and Common Stock Equivalents holding, on a fully diluted basis, more than 1% of the Company’s issued and outstanding Common Stock,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means, if any, any preliminary prospectus relating to the Securities included in the Registration Statement or any amendment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Shares</w:t>
      </w:r>
      <w:r>
        <w:rPr>
          <w:rFonts w:ascii="Arial" w:cs="Arial" w:eastAsia="Arial" w:hAnsi="Arial"/>
          <w:sz w:val="18"/>
          <w:szCs w:val="18"/>
          <w:color w:val="auto"/>
        </w:rPr>
        <w:t>” means, collectively, the Firm Shares and, if any, the Option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collectively, the various parts of the registration statement prepared by the Company on Form S-1 (File No. 333-251616) with respect to the Securities, each as amended through the Execution Date, including the Prospectus, any Preliminary Prospectus and all exhibits filed with or incorporated by reference into such registration statement. If the Company has filed or is required pursuant to the terms hereof to file a registration statement pursuant to Rule 462(b) under the Securities Act registering additional Public Shares (a “</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then, unless otherwise specified, any reference herein to the term “Registration Statement” shall be deemed to include such Rule 462(b) Registration Statement.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Public Shares, the Representative’s Warrant and the Representative’s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collectively, the shares of Common Stock delivered to the Underwriters in accordance with Section 2.1(a)(i) and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2.2(a).</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Execution Date.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Prospectus</w:t>
      </w:r>
      <w:r>
        <w:rPr>
          <w:rFonts w:ascii="Arial" w:cs="Arial" w:eastAsia="Arial" w:hAnsi="Arial"/>
          <w:sz w:val="17"/>
          <w:szCs w:val="17"/>
          <w:color w:val="auto"/>
        </w:rPr>
        <w:t>” as of any time means the prospectus that is included in the Registration Statement immediately prior to that time. For purposes of this definition, information contained in a form of prospectus that is deemed retroactively to be a part of the Registration Statement pursuant to Rule 430A or 430B under the Securities Act shall be considered to be included in the Statutory Prospectus as of the actual time that form of prospectus is filed with the Commission pursuant to Rule 424(b) under the Securities Act.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in reliance on Section 5(d) of the Securities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6:00 p.m. (Eastern time) on the Execution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OTCQX or OTCQB (or any successors to any of the foregoing).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and all exhibits and schedules hereto, the Representative’s Warrant, the Lock-Up Agreements, and any other documents or agreements executed in connection with the transactions contemplated hereunder.</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Financial Solutions, Inc., 51 Mercedes Way, Edgewood, New York 11717, and any successor transfer agent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6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5" w:lineRule="auto"/>
        <w:tabs>
          <w:tab w:leader="none" w:pos="91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the basis of the representations and warranties herein contained, but subject to the terms and conditions herein set forth, the Company agrees to issue and sell, severally and not jointly, to the several Underwriters, an aggregate of 5,400,000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at a purchase price (including discounts and commissions) of $9.30 for each Closing Share, which represents the public offering price of Firm Shares set forth on the cover page of the Prospectus less a 7.0% underwriting discount (the “</w:t>
      </w:r>
      <w:r>
        <w:rPr>
          <w:rFonts w:ascii="Arial" w:cs="Arial" w:eastAsia="Arial" w:hAnsi="Arial"/>
          <w:sz w:val="18"/>
          <w:szCs w:val="18"/>
          <w:u w:val="single" w:color="auto"/>
          <w:color w:val="auto"/>
        </w:rPr>
        <w:t>Price per Share</w:t>
      </w:r>
      <w:r>
        <w:rPr>
          <w:rFonts w:ascii="Arial" w:cs="Arial" w:eastAsia="Arial" w:hAnsi="Arial"/>
          <w:sz w:val="18"/>
          <w:szCs w:val="18"/>
          <w:color w:val="auto"/>
        </w:rPr>
        <w:t xml:space="preserve">”). The Underwriters, severally and not jointly, agree to purchase from the Company the number of Firm Shares set forth opposite their respective names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and made a part hereof.</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jc w:val="both"/>
        <w:ind w:firstLine="644"/>
        <w:spacing w:after="0" w:line="279" w:lineRule="auto"/>
        <w:tabs>
          <w:tab w:leader="none" w:pos="903"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the Closing Date, the Company shall deliver items required pursuant to Section 2.3 deliverable at the Closing. Upon satisfaction of the covenants and conditions set forth in Sections 2.3 and 2.4, the Closing shall occur at the offices of EGS or such other location (including remotely by facsimile or other electronic transmission) as the Company and Representative shall mutually agree. The Public Shares are to be offered initially to the public at the offering price set forth on the cover page of the Prospectus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3" w:lineRule="auto"/>
        <w:tabs>
          <w:tab w:leader="none" w:pos="893"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purposes of covering any over-allotments in connection with the distribution and sale of the Firm Shares, the Representative is hereby granted an option (the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 to purchase, in the aggregate, up to 810,000 shares of Common Stock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44"/>
        <w:spacing w:after="0" w:line="277"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an exercise of the Over-Allotment Option, the aggregate purchase price to be paid for the Option Shares is equal to the product of the Price per Share multiplied by the number of Option Shares to be purchased.</w:t>
      </w:r>
    </w:p>
    <w:p>
      <w:pPr>
        <w:spacing w:after="0" w:line="170" w:lineRule="exact"/>
        <w:rPr>
          <w:rFonts w:ascii="Arial" w:cs="Arial" w:eastAsia="Arial" w:hAnsi="Arial"/>
          <w:sz w:val="18"/>
          <w:szCs w:val="18"/>
          <w:color w:val="auto"/>
        </w:rPr>
      </w:pPr>
    </w:p>
    <w:p>
      <w:pPr>
        <w:jc w:val="both"/>
        <w:ind w:firstLine="644"/>
        <w:spacing w:after="0" w:line="287" w:lineRule="auto"/>
        <w:tabs>
          <w:tab w:leader="none" w:pos="89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Over-Allotment Option granted pursuant to this Section 2.2 may be exercised by the Representative as to all (at any time) or any part (from time to time) of the Option Shares within 45 days after the Execution Date. An Underwriter will not be under any obligation to purchase any Option Shares prior to the exercise of the Over-Allotment Option by the Representative.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(each, an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will not be later than two (2) full Business Days after the date of the notice or such other time as shall be agreed upon by the Company and the Representative, at the offices of EGS or at such other place (including remotely by facsimile or other electronic transmission) as shall be agreed upon by the Company and the Representative. If such delivery and payment for the Option Shares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Shares specified in such notice. The Representative may cancel the Over-Allotment Option at any time prior to the expiration of the Over-Allotment Option by written notice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Deliveries</w:t>
      </w:r>
      <w:r>
        <w:rPr>
          <w:rFonts w:ascii="Arial" w:cs="Arial" w:eastAsia="Arial" w:hAnsi="Arial"/>
          <w:sz w:val="16"/>
          <w:szCs w:val="16"/>
          <w:color w:val="auto"/>
        </w:rPr>
        <w:t>. The Company shall deliver or cause to be delivered to the Representative or each Underwriter (as the case may be) the following:</w:t>
      </w:r>
    </w:p>
    <w:p>
      <w:pPr>
        <w:spacing w:after="0" w:line="248" w:lineRule="exact"/>
        <w:rPr>
          <w:sz w:val="20"/>
          <w:szCs w:val="20"/>
          <w:color w:val="auto"/>
        </w:rPr>
      </w:pPr>
    </w:p>
    <w:p>
      <w:pPr>
        <w:jc w:val="both"/>
        <w:ind w:firstLine="644"/>
        <w:spacing w:after="0" w:line="263" w:lineRule="auto"/>
        <w:tabs>
          <w:tab w:leader="none" w:pos="8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Closing Date, the Firm Shares and, as to each Option Closing Date, if any, the applicable Option Shares, which shares shall be delivered via The Depository Trust Company Deposit or Withdrawal at Custodian system for the accounts of the several Underwriters as directed by the Representative;</w:t>
      </w:r>
    </w:p>
    <w:p>
      <w:pPr>
        <w:spacing w:after="0" w:line="183" w:lineRule="exact"/>
        <w:rPr>
          <w:rFonts w:ascii="Arial" w:cs="Arial" w:eastAsia="Arial" w:hAnsi="Arial"/>
          <w:sz w:val="18"/>
          <w:szCs w:val="18"/>
          <w:color w:val="auto"/>
        </w:rPr>
      </w:pPr>
    </w:p>
    <w:p>
      <w:pPr>
        <w:jc w:val="both"/>
        <w:ind w:firstLine="644"/>
        <w:spacing w:after="0" w:line="279" w:lineRule="auto"/>
        <w:tabs>
          <w:tab w:leader="none" w:pos="926"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the Closing Date and on each Option Closing Date, to the Representative or its permitted designees, a Common Stock purchase warrant (the “</w:t>
      </w:r>
      <w:r>
        <w:rPr>
          <w:rFonts w:ascii="Arial" w:cs="Arial" w:eastAsia="Arial" w:hAnsi="Arial"/>
          <w:sz w:val="17"/>
          <w:szCs w:val="17"/>
          <w:u w:val="single" w:color="auto"/>
          <w:color w:val="auto"/>
        </w:rPr>
        <w:t>Representative’s Warrant</w:t>
      </w:r>
      <w:r>
        <w:rPr>
          <w:rFonts w:ascii="Arial" w:cs="Arial" w:eastAsia="Arial" w:hAnsi="Arial"/>
          <w:sz w:val="17"/>
          <w:szCs w:val="17"/>
          <w:color w:val="auto"/>
        </w:rPr>
        <w:t>”) to purchase up to a number of shares of Common Stock (the “</w:t>
      </w:r>
      <w:r>
        <w:rPr>
          <w:rFonts w:ascii="Arial" w:cs="Arial" w:eastAsia="Arial" w:hAnsi="Arial"/>
          <w:sz w:val="17"/>
          <w:szCs w:val="17"/>
          <w:u w:val="single" w:color="auto"/>
          <w:color w:val="auto"/>
        </w:rPr>
        <w:t>Representative’s Warrant Shares</w:t>
      </w:r>
      <w:r>
        <w:rPr>
          <w:rFonts w:ascii="Arial" w:cs="Arial" w:eastAsia="Arial" w:hAnsi="Arial"/>
          <w:sz w:val="17"/>
          <w:szCs w:val="17"/>
          <w:color w:val="auto"/>
        </w:rPr>
        <w:t>”) equal to three percent (3%) of the Firm Shares or Option Shares (as the case may be) issued on the Closing Date or an Option Closing Date, which Representative’s Warrant shall have an exercise price of $12.50, subject to adjustment therein.</w:t>
      </w:r>
    </w:p>
    <w:p>
      <w:pPr>
        <w:spacing w:after="0" w:line="38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 w:name="page10"/>
    <w:bookmarkEnd w:id="9"/>
    <w:p>
      <w:pPr>
        <w:ind w:left="660" w:right="20" w:firstLine="644"/>
        <w:spacing w:after="0" w:line="277" w:lineRule="auto"/>
        <w:tabs>
          <w:tab w:leader="none" w:pos="1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Date and each Option Closing Date, a legal opinion of Company Counsel addressed to the Underwriters, including, without limitation, a negative assurance letter, in form and substance reasonably acceptable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642"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Date and each Option Closing Date, a legal opinion of Company Counsel, regulatory counsel to the Company, addressed to the Underwriters, in form and substance reasonably acceptable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598"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Date and each Option Closing Date, a legal opinion of Company Counsel, intellectual property counsel to the Company, addressed to the Underwriters, in form and substance reasonably acceptable to the Representative;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Execution Date, a “cold comfort” letter, addressed to the Underwriters and in form and substance satisfactory in all respects to the Representative from the Company Auditor dated, respectively, as of the date of this Agreement and a bring-down letter dated as of the Closing Date and each Option Closing Date, if any;</w:t>
      </w:r>
    </w:p>
    <w:p>
      <w:pPr>
        <w:spacing w:after="0" w:line="183" w:lineRule="exact"/>
        <w:rPr>
          <w:rFonts w:ascii="Arial" w:cs="Arial" w:eastAsia="Arial" w:hAnsi="Arial"/>
          <w:sz w:val="18"/>
          <w:szCs w:val="18"/>
          <w:color w:val="auto"/>
        </w:rPr>
      </w:pPr>
    </w:p>
    <w:p>
      <w:pPr>
        <w:ind w:left="660" w:firstLine="644"/>
        <w:spacing w:after="0" w:line="277"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a duly executed and delivered Officer’s Certificate, in a form reasonably acceptable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a duly executed and delivered Secretary’s Certificate, in a form reasonably acceptable to the Representative; and</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prior to the Execution Date, the duly executed and delivered Lock-Up Agreements.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 Conditions</w:t>
      </w:r>
      <w:r>
        <w:rPr>
          <w:rFonts w:ascii="Arial" w:cs="Arial" w:eastAsia="Arial" w:hAnsi="Arial"/>
          <w:sz w:val="18"/>
          <w:szCs w:val="18"/>
          <w:color w:val="auto"/>
        </w:rPr>
        <w:t>. The respective obligations of each Underwriter hereunder in connection with the Closing and each Option Closing Date are subject to the following conditions being met:</w:t>
      </w:r>
    </w:p>
    <w:p>
      <w:pPr>
        <w:spacing w:after="0" w:line="170" w:lineRule="exact"/>
        <w:rPr>
          <w:sz w:val="20"/>
          <w:szCs w:val="20"/>
          <w:color w:val="auto"/>
        </w:rPr>
      </w:pPr>
    </w:p>
    <w:p>
      <w:pPr>
        <w:jc w:val="both"/>
        <w:ind w:left="660" w:firstLine="644"/>
        <w:spacing w:after="0" w:line="263" w:lineRule="auto"/>
        <w:tabs>
          <w:tab w:leader="none" w:pos="15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183" w:lineRule="exact"/>
        <w:rPr>
          <w:rFonts w:ascii="Arial" w:cs="Arial" w:eastAsia="Arial" w:hAnsi="Arial"/>
          <w:sz w:val="18"/>
          <w:szCs w:val="18"/>
          <w:color w:val="auto"/>
        </w:rPr>
      </w:pPr>
    </w:p>
    <w:p>
      <w:pPr>
        <w:ind w:left="1580" w:hanging="276"/>
        <w:spacing w:after="0"/>
        <w:tabs>
          <w:tab w:leader="none" w:pos="1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date in question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w:t>
      </w:r>
    </w:p>
    <w:p>
      <w:pPr>
        <w:spacing w:after="0" w:line="210" w:lineRule="exact"/>
        <w:rPr>
          <w:rFonts w:ascii="Arial" w:cs="Arial" w:eastAsia="Arial" w:hAnsi="Arial"/>
          <w:sz w:val="16"/>
          <w:szCs w:val="16"/>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2.3 of this Agreement;</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61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Registration Statement shall be effective on the date of this Agreement and at each of the Closing Date and each Option Closing Date, if any, no stop order suspending the effectiveness of the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the Representative;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60" w:firstLine="644"/>
        <w:spacing w:after="0" w:line="277" w:lineRule="auto"/>
        <w:tabs>
          <w:tab w:leader="none" w:pos="156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Execution Date, the Underwriters shall have received a letter of no objections from FINRA as to the terms of the arrangements with and amount of compensation allowable or payable to the Underwriters in connection with the Offering;</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Firm Shares, the Option Shares and the Representative’s Warrant Shares have been approved for listing on Nasdaq; and</w:t>
      </w:r>
    </w:p>
    <w:p>
      <w:pPr>
        <w:spacing w:after="0" w:line="236" w:lineRule="exact"/>
        <w:rPr>
          <w:rFonts w:ascii="Arial" w:cs="Arial" w:eastAsia="Arial" w:hAnsi="Arial"/>
          <w:sz w:val="17"/>
          <w:szCs w:val="17"/>
          <w:color w:val="auto"/>
        </w:rPr>
      </w:pPr>
    </w:p>
    <w:p>
      <w:pPr>
        <w:jc w:val="both"/>
        <w:ind w:left="660" w:firstLine="644"/>
        <w:spacing w:after="0" w:line="286" w:lineRule="auto"/>
        <w:tabs>
          <w:tab w:leader="none" w:pos="1668"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General Disclosure Package and the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General Disclosure Package and the Prospectus; (iii) no stop order shall have been issued under the Securities Act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Securities Act and shall conform in all material respects to the requirements of the Securities Act, and neither the Registration Statement, the General Disclosure Package and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Underwriters as of the Execution Date,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and as of each Option Closing Date, if any, as follows:</w:t>
      </w:r>
    </w:p>
    <w:p>
      <w:pPr>
        <w:spacing w:after="0" w:line="211" w:lineRule="exact"/>
        <w:rPr>
          <w:sz w:val="20"/>
          <w:szCs w:val="20"/>
          <w:color w:val="auto"/>
        </w:rPr>
      </w:pPr>
    </w:p>
    <w:p>
      <w:pPr>
        <w:jc w:val="both"/>
        <w:ind w:left="660" w:firstLine="644"/>
        <w:spacing w:after="0" w:line="257"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on Exhibit 21.1 to the Registration Statement.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7" w:lineRule="exact"/>
        <w:rPr>
          <w:rFonts w:ascii="Arial" w:cs="Arial" w:eastAsia="Arial" w:hAnsi="Arial"/>
          <w:sz w:val="18"/>
          <w:szCs w:val="18"/>
          <w:color w:val="auto"/>
        </w:rPr>
      </w:pPr>
    </w:p>
    <w:p>
      <w:pPr>
        <w:jc w:val="both"/>
        <w:ind w:left="660" w:firstLine="644"/>
        <w:spacing w:after="0" w:line="270" w:lineRule="auto"/>
        <w:tabs>
          <w:tab w:leader="none" w:pos="157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left="-460" w:firstLine="644"/>
        <w:spacing w:after="0" w:line="287" w:lineRule="auto"/>
        <w:tabs>
          <w:tab w:leader="none" w:pos="459"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87" w:lineRule="auto"/>
        <w:tabs>
          <w:tab w:leader="none" w:pos="44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67" w:lineRule="exact"/>
        <w:rPr>
          <w:rFonts w:ascii="Arial" w:cs="Arial" w:eastAsia="Arial" w:hAnsi="Arial"/>
          <w:sz w:val="16"/>
          <w:szCs w:val="16"/>
          <w:color w:val="auto"/>
        </w:rPr>
      </w:pPr>
    </w:p>
    <w:p>
      <w:pPr>
        <w:jc w:val="both"/>
        <w:ind w:left="-460" w:firstLine="644"/>
        <w:spacing w:after="0" w:line="25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 with the Commission of the Prospectus and (ii) such filings as are required to be made under applicable state securities laws (collectively,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jc w:val="both"/>
        <w:ind w:left="-460" w:firstLine="644"/>
        <w:spacing w:after="0" w:line="254" w:lineRule="auto"/>
        <w:tabs>
          <w:tab w:leader="none" w:pos="4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filed or will file with the Commission the Registration Statement, including any related Preliminary Prospectuses or the Prospectus, for the registration of the Securities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January 27,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at the Time of Sale. The Company has filed with the Commission a Form 8-A (File Number 001-39946) providing for the registration of the Common Stock under the Exchange Act, and such registration of the Common Stock under the Exchange Act is effective as of the Execution Date.</w:t>
      </w:r>
    </w:p>
    <w:p>
      <w:pPr>
        <w:spacing w:after="0" w:line="194" w:lineRule="exact"/>
        <w:rPr>
          <w:rFonts w:ascii="Arial" w:cs="Arial" w:eastAsia="Arial" w:hAnsi="Arial"/>
          <w:sz w:val="18"/>
          <w:szCs w:val="18"/>
          <w:color w:val="auto"/>
        </w:rPr>
      </w:pPr>
    </w:p>
    <w:p>
      <w:pPr>
        <w:jc w:val="both"/>
        <w:ind w:left="-460" w:firstLine="644"/>
        <w:spacing w:after="0" w:line="269" w:lineRule="auto"/>
        <w:tabs>
          <w:tab w:leader="none" w:pos="44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The Securities are duly authorized and, when issued and paid for in accordance with the applicable Transaction Documents, will be duly and validly issued, fully paid and nonassessable, free and clear of all Liens. The Representative’s Warrant Shares, when issued in accordance with the terms of the Representative’s Warrant, will be validly issued, fully paid and nonassessable, free and clear of all Liens. The Company has reserved from its duly authorized capital stock the maximum number of shares of Common Stock issuable pursuant to this Agreement and the Representative’s Warrant. The holder of the Securities will not be subject to personal liability by reason of being such holders. The Securities are not and will not be subject to the preemptive rights of any holders of any security of the Company or similar contractual rights granted by the Company. All corporate action required to be taken for the authorization, issuance and sale of the Securities has been duly and validly taken, and no further approval or authorization of any stockholder, the Board of Directors or others is required for the issuance and sale of the Securities. The Securities conform in all material respects to all statements with respect thereto contained in the Registration Statement.</w:t>
      </w:r>
    </w:p>
    <w:p>
      <w:pPr>
        <w:spacing w:after="0" w:line="185" w:lineRule="exact"/>
        <w:rPr>
          <w:rFonts w:ascii="Arial" w:cs="Arial" w:eastAsia="Arial" w:hAnsi="Arial"/>
          <w:sz w:val="17"/>
          <w:szCs w:val="17"/>
          <w:color w:val="auto"/>
        </w:rPr>
      </w:pPr>
    </w:p>
    <w:p>
      <w:pPr>
        <w:jc w:val="both"/>
        <w:ind w:left="-460" w:firstLine="644"/>
        <w:spacing w:after="0" w:line="284" w:lineRule="auto"/>
        <w:tabs>
          <w:tab w:leader="none" w:pos="45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dates indicated in the Registration Statement and the Prospectus, the authorized, issued and outstanding shares of capital stock of the Company were as set forth in the Registration Statement, the General Disclosure Package and the Prospectus in the column headed “Actual” under the section thereof captioned “Capitalization” and, after giving effect to the Offering and the other transactions contemplated by this Agreement, the Registration Statement, the General Disclosure Package and the Prospectus (excluding the sale of the Option Shares, if any), will be as set forth in the column headed “Pro Forma As Adjusted” in such section.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Underwriters).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the General Disclosure Package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8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60" w:firstLine="644"/>
        <w:spacing w:after="0" w:line="257" w:lineRule="auto"/>
        <w:tabs>
          <w:tab w:leader="none" w:pos="43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Company Auditor</w:t>
      </w:r>
      <w:r>
        <w:rPr>
          <w:rFonts w:ascii="Arial" w:cs="Arial" w:eastAsia="Arial" w:hAnsi="Arial"/>
          <w:sz w:val="18"/>
          <w:szCs w:val="18"/>
          <w:color w:val="auto"/>
        </w:rPr>
        <w:t>. To the knowledge and belief of the Company, the Company Auditor (i) is an independent registered public accounting firm as required by the Exchange Act and (ii) shall express its opinion with respect to the financial statements to be included in the Company’s Annual Report for the fiscal year ended December 31, 2020. The Company Auditor has not, during the periods covered by the financial statements included in the Prospectus, provided to the Company any non-audit services, as such term is used in Section 10A(g) of the Exchange Act.</w:t>
      </w:r>
    </w:p>
    <w:p>
      <w:pPr>
        <w:spacing w:after="0" w:line="187" w:lineRule="exact"/>
        <w:rPr>
          <w:rFonts w:ascii="Arial" w:cs="Arial" w:eastAsia="Arial" w:hAnsi="Arial"/>
          <w:sz w:val="18"/>
          <w:szCs w:val="18"/>
          <w:color w:val="auto"/>
        </w:rPr>
      </w:pPr>
    </w:p>
    <w:p>
      <w:pPr>
        <w:jc w:val="both"/>
        <w:ind w:left="-460" w:firstLine="644"/>
        <w:spacing w:after="0" w:line="284" w:lineRule="auto"/>
        <w:tabs>
          <w:tab w:leader="none" w:pos="40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including the notes thereto, and the supporting schedules included in the Registration Statement, the General Disclosure Package and the Prospectus comply in all material respects with the requirements of the Securities Act and the Exchange Act, and present fairly the financial position as of the dates indicated and the cash flows and results of operations for the periods specified of the Company and its consolidated Subsidiaries. Except as otherwise stated in the Registration Statement, the General Disclosure Package and the Prospectus, said financial statements have been prepared in conformity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in the case of unaudited financials, which remain subject to certain year-end adjustments and do not contain certain footnotes. The supporting schedules included in the Registration Statement, the General Disclosure Package and the Prospectus present fairly the information required to be stated therein. No other financial statements, notes thereto or supporting schedules are required to be included or incorporated by reference in the Registration Statement, the General Disclosure Package and the Prospectus. The other financial and data included in the Registration Statement, the General Disclosure Package and the Prospectus present fairly the information included therein and have been prepared on a basis consistent with that of the financial statements that are included in the Registration Statement, the General Disclosure Package and the Prospectus and the books and records of the respective entities presented therein. There are no pro forma or as adjusted financial statements which are required to be included in the Registration Statement, the General Disclosure Package and the Prospectus in accordance with Regulation S-X which have not been included as so required. The pro forma and pro forma as adjusted financial information included in the Registration Statement, the General Disclosure Package and the Prospectus has been properly compiled and prepared in accordance with the applicable requirements of the Securities Act and the rules and regulations thereunder and include all adjustments necessary to present fairly in accordance with GAAP the pro forma and as adjusted financial position of the respective entity or entities presented therein at the respective dates indicated and their cash flows and the results of operations for the respective periods specified. The assumptions used in preparing the pro forma and pro forma as adjusted financial information included in the Registration Statement, the General Disclosure Package and the Prospectus provide a reasonable basis for presenting the significant effects directly attributable to the transactions or events described therein. The related pro forma and pro forma as adjusted adjustments give appropriate effect to those assumptions; and the pro forma and pro forma as adjusted financial information reflect the proper application of those adjustments to the corresponding historical financial statement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jc w:val="both"/>
        <w:ind w:left="4" w:firstLine="644"/>
        <w:spacing w:after="0" w:line="287" w:lineRule="auto"/>
        <w:tabs>
          <w:tab w:leader="none" w:pos="907"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and Disclosure Controls</w:t>
      </w:r>
      <w:r>
        <w:rPr>
          <w:rFonts w:ascii="Arial" w:cs="Arial" w:eastAsia="Arial" w:hAnsi="Arial"/>
          <w:sz w:val="16"/>
          <w:szCs w:val="16"/>
          <w:color w:val="auto"/>
        </w:rPr>
        <w:t>. The Company and the Subsidiaries are in compliance with any and all applicable requirements of the Sarbanes-Oxley Act of 2002 that are effective as of the Execution Date, and any and all applicable rules and regulations promulgated by the Commission thereunder that are effective as of the Execution Date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to be filed or submitted under the Exchange Act is recorded, processed, summarized and reported, within the time periods specified in the Commission’s rules and forms.</w:t>
      </w:r>
    </w:p>
    <w:p>
      <w:pPr>
        <w:spacing w:after="0" w:line="171" w:lineRule="exact"/>
        <w:rPr>
          <w:rFonts w:ascii="Arial" w:cs="Arial" w:eastAsia="Arial" w:hAnsi="Arial"/>
          <w:sz w:val="16"/>
          <w:szCs w:val="16"/>
          <w:color w:val="auto"/>
        </w:rPr>
      </w:pPr>
    </w:p>
    <w:p>
      <w:pPr>
        <w:jc w:val="both"/>
        <w:ind w:left="4" w:firstLine="644"/>
        <w:spacing w:after="0" w:line="285" w:lineRule="auto"/>
        <w:tabs>
          <w:tab w:leader="none" w:pos="907"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Agreements, etc</w:t>
      </w:r>
      <w:r>
        <w:rPr>
          <w:rFonts w:ascii="Arial" w:cs="Arial" w:eastAsia="Arial" w:hAnsi="Arial"/>
          <w:sz w:val="16"/>
          <w:szCs w:val="16"/>
          <w:color w:val="auto"/>
        </w:rPr>
        <w:t>. The agreements, contracts and documents of the Company and its Subsidiaries described in the Registration Statement, the General Disclosure Package and the Prospectus conform to the descriptions thereof contained therein. There are no agreements, contracts or other documents required by the Securities Act and the rules and regulations thereunder to be described in the Registration Statement, the General Disclosure Package and the Prospectus or to be filed with the Commission as exhibits to the Registration Statement that have not been so described or filed. Each agreement, contract or other document (however characterized or described) to which the Company or any Subsidiary is a party or by which it is or may be bound or affected and (i) that is referred to in the Registration Statement, any Preliminary Prospectus, the General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contracts or documents has been assigned by the Company, and neither the Company or its Subsidiaries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contracts or documents will not result in a violation of any existing applicable law, rule, regulation, judgment, order or decree of any governmental agency or court, domestic or foreign, having jurisdiction over the Company or any of its Subsidiaries, assets or businesses.</w:t>
      </w:r>
    </w:p>
    <w:p>
      <w:pPr>
        <w:spacing w:after="0" w:line="389" w:lineRule="exact"/>
        <w:rPr>
          <w:rFonts w:ascii="Arial" w:cs="Arial" w:eastAsia="Arial" w:hAnsi="Arial"/>
          <w:sz w:val="16"/>
          <w:szCs w:val="16"/>
          <w:color w:val="auto"/>
        </w:rPr>
      </w:pPr>
    </w:p>
    <w:p>
      <w:pPr>
        <w:jc w:val="both"/>
        <w:ind w:left="4" w:firstLine="644"/>
        <w:spacing w:after="0" w:line="285" w:lineRule="auto"/>
        <w:tabs>
          <w:tab w:leader="none" w:pos="957"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Registration Statement, the General Disclosure Package and the Prospectus: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86"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Except as disclosed in the Registration Statement, the General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37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left="-460" w:firstLine="644"/>
        <w:spacing w:after="0" w:line="253" w:lineRule="auto"/>
        <w:tabs>
          <w:tab w:leader="none" w:pos="47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Arial" w:cs="Arial" w:eastAsia="Arial" w:hAnsi="Arial"/>
          <w:sz w:val="18"/>
          <w:szCs w:val="18"/>
          <w:color w:val="auto"/>
        </w:rPr>
      </w:pPr>
    </w:p>
    <w:p>
      <w:pPr>
        <w:jc w:val="both"/>
        <w:ind w:left="-460" w:firstLine="644"/>
        <w:spacing w:after="0" w:line="269" w:lineRule="auto"/>
        <w:tabs>
          <w:tab w:leader="none" w:pos="44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460" w:firstLine="644"/>
        <w:spacing w:after="0" w:line="268" w:lineRule="auto"/>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the business of the Company or such Subsidiary, except in each case as could not have or reasonably be expected to result in a Material Adverse Effect. Without limiting the generality of the foregoing, the Company and its Subsidiaries are in compliance, an expect to continue to be in compliance, with all federal, state, municipal, local or foreign laws, rules and regulations relating to cannabis, controlled drugs and substances or pharmaceuticals. The Company and its Subsidiaries have instituted and maintained and will continue to maintain policies and procedures reasonably designed to ensure that the Company and its Subsidiaries do not carry on any activities or distribute any products in a manner that violates applicable federal, state, municipal, local or foreign laws, rules and regulations relating to cannabis, controlled drugs and substances or pharmaceuticals.</w:t>
      </w:r>
    </w:p>
    <w:p>
      <w:pPr>
        <w:spacing w:after="0" w:line="186" w:lineRule="exact"/>
        <w:rPr>
          <w:rFonts w:ascii="Arial" w:cs="Arial" w:eastAsia="Arial" w:hAnsi="Arial"/>
          <w:sz w:val="17"/>
          <w:szCs w:val="17"/>
          <w:color w:val="auto"/>
        </w:rPr>
      </w:pPr>
    </w:p>
    <w:p>
      <w:pPr>
        <w:jc w:val="both"/>
        <w:ind w:left="-460" w:firstLine="644"/>
        <w:spacing w:after="0" w:line="254" w:lineRule="auto"/>
        <w:tabs>
          <w:tab w:leader="none" w:pos="44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Registration Statement, the General Disclosure Package and the Prospectus, except where the failure to possess such permits could not reasonably be expected to result in a Material Adverse Effect (each, a “</w:t>
      </w:r>
      <w:r>
        <w:rPr>
          <w:rFonts w:ascii="Arial" w:cs="Arial" w:eastAsia="Arial" w:hAnsi="Arial"/>
          <w:sz w:val="18"/>
          <w:szCs w:val="18"/>
          <w:u w:val="single" w:color="auto"/>
          <w:color w:val="auto"/>
        </w:rPr>
        <w:t>Material Permit</w:t>
      </w:r>
      <w:r>
        <w:rPr>
          <w:rFonts w:ascii="Arial" w:cs="Arial" w:eastAsia="Arial" w:hAnsi="Arial"/>
          <w:sz w:val="18"/>
          <w:szCs w:val="18"/>
          <w:color w:val="auto"/>
        </w:rPr>
        <w:t>”). Neither the Company nor any Subsidiary has received any notice of proceedings relating to the termination, revocation or modification of any Material Permit. The disclosures in the Registration Statement, the General Disclosure Package and the Prospectus concerning the effects of federal, state, local and all foreign regulation on the Company’s business as currently contemplated are correct in all material respects.</w:t>
      </w:r>
    </w:p>
    <w:p>
      <w:pPr>
        <w:spacing w:after="0" w:line="194" w:lineRule="exact"/>
        <w:rPr>
          <w:rFonts w:ascii="Arial" w:cs="Arial" w:eastAsia="Arial" w:hAnsi="Arial"/>
          <w:sz w:val="18"/>
          <w:szCs w:val="18"/>
          <w:color w:val="auto"/>
        </w:rPr>
      </w:pPr>
    </w:p>
    <w:p>
      <w:pPr>
        <w:jc w:val="both"/>
        <w:ind w:left="-460" w:firstLine="644"/>
        <w:spacing w:after="0" w:line="253" w:lineRule="auto"/>
        <w:tabs>
          <w:tab w:leader="none" w:pos="41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Arial" w:cs="Arial" w:eastAsia="Arial" w:hAnsi="Arial"/>
          <w:sz w:val="18"/>
          <w:szCs w:val="18"/>
          <w:color w:val="auto"/>
        </w:rPr>
      </w:pPr>
    </w:p>
    <w:p>
      <w:pPr>
        <w:jc w:val="both"/>
        <w:ind w:left="-460" w:firstLine="644"/>
        <w:spacing w:after="0" w:line="272" w:lineRule="auto"/>
        <w:tabs>
          <w:tab w:leader="none" w:pos="42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3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87" w:lineRule="auto"/>
        <w:tabs>
          <w:tab w:leader="none" w:pos="43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the General Disclosure Package and the Prospectus and which the failure to do so could have a Material Adverse Effect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Registration Statement, the General Disclosure Package and the Prospectus, a written notice of a claim or otherwise has any knowledge that the Intellectual Property Rights violate or infringe upon the rights of any Person.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67" w:lineRule="exact"/>
        <w:rPr>
          <w:rFonts w:ascii="Arial" w:cs="Arial" w:eastAsia="Arial" w:hAnsi="Arial"/>
          <w:sz w:val="16"/>
          <w:szCs w:val="16"/>
          <w:color w:val="auto"/>
        </w:rPr>
      </w:pPr>
    </w:p>
    <w:p>
      <w:pPr>
        <w:jc w:val="both"/>
        <w:ind w:left="-460" w:firstLine="644"/>
        <w:spacing w:after="0" w:line="257" w:lineRule="auto"/>
        <w:tabs>
          <w:tab w:leader="none" w:pos="45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Arial" w:cs="Arial" w:eastAsia="Arial" w:hAnsi="Arial"/>
          <w:sz w:val="18"/>
          <w:szCs w:val="18"/>
          <w:color w:val="auto"/>
        </w:rPr>
      </w:pPr>
    </w:p>
    <w:p>
      <w:pPr>
        <w:jc w:val="both"/>
        <w:ind w:left="-460" w:firstLine="644"/>
        <w:spacing w:after="0" w:line="289" w:lineRule="auto"/>
        <w:tabs>
          <w:tab w:leader="none" w:pos="45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Registration Statement, the General Disclosure Package and the Prospectus,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460" w:firstLine="644"/>
        <w:spacing w:after="0" w:line="288" w:lineRule="auto"/>
        <w:tabs>
          <w:tab w:leader="none" w:pos="48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Except as set forth in the Registration Statement, the General Disclosure Package and the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other than the prior payments to the Representative in connection with the Offering. None of the net proceeds of the Offering will be paid by the Company to any participating FINRA member or its affiliates, except as specifically authorized herein.</w:t>
      </w:r>
    </w:p>
    <w:p>
      <w:pPr>
        <w:spacing w:after="0" w:line="168" w:lineRule="exact"/>
        <w:rPr>
          <w:rFonts w:ascii="Arial" w:cs="Arial" w:eastAsia="Arial" w:hAnsi="Arial"/>
          <w:sz w:val="16"/>
          <w:szCs w:val="16"/>
          <w:color w:val="auto"/>
        </w:rPr>
      </w:pPr>
    </w:p>
    <w:p>
      <w:pPr>
        <w:jc w:val="both"/>
        <w:ind w:left="-460" w:firstLine="644"/>
        <w:spacing w:after="0" w:line="259"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91" w:lineRule="auto"/>
        <w:tabs>
          <w:tab w:leader="none" w:pos="43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 DTC Eligibility</w:t>
      </w:r>
      <w:r>
        <w:rPr>
          <w:rFonts w:ascii="Arial" w:cs="Arial" w:eastAsia="Arial" w:hAnsi="Arial"/>
          <w:sz w:val="16"/>
          <w:szCs w:val="16"/>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been approved for listing on Nasdaq. The Company is, and has no reason to believe that it will not in the foreseeable future continue to be, in compliance with all the listing and maintenance requirements of Nasdaq.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166" w:lineRule="exact"/>
        <w:rPr>
          <w:sz w:val="20"/>
          <w:szCs w:val="20"/>
          <w:color w:val="auto"/>
        </w:rPr>
      </w:pPr>
    </w:p>
    <w:p>
      <w:pPr>
        <w:jc w:val="both"/>
        <w:ind w:left="-460" w:firstLine="644"/>
        <w:spacing w:after="0" w:line="273" w:lineRule="auto"/>
        <w:tabs>
          <w:tab w:leader="none" w:pos="49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Nasdaq. At least one member of the Board of Directors qualifies as a “financial expert” as such term is defined under the Sarbanes-Oxley Act of 2002 and the rules promulgated thereunder and the rules of Nasdaq. In addition, at least a majority of the persons serving on the Board of Directors qualify as “independent” as defined under the rules of Nasdaq.</w:t>
      </w:r>
    </w:p>
    <w:p>
      <w:pPr>
        <w:spacing w:after="0" w:line="177" w:lineRule="exact"/>
        <w:rPr>
          <w:rFonts w:ascii="Arial" w:cs="Arial" w:eastAsia="Arial" w:hAnsi="Arial"/>
          <w:sz w:val="17"/>
          <w:szCs w:val="17"/>
          <w:color w:val="auto"/>
        </w:rPr>
      </w:pPr>
    </w:p>
    <w:p>
      <w:pPr>
        <w:jc w:val="both"/>
        <w:ind w:left="-460" w:firstLine="644"/>
        <w:spacing w:after="0" w:line="257" w:lineRule="auto"/>
        <w:tabs>
          <w:tab w:leader="none" w:pos="51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jc w:val="both"/>
        <w:ind w:left="4" w:firstLine="644"/>
        <w:spacing w:after="0" w:line="283" w:lineRule="auto"/>
        <w:tabs>
          <w:tab w:leader="none" w:pos="95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Disclosure; 10b-5</w:t>
      </w:r>
      <w:r>
        <w:rPr>
          <w:rFonts w:ascii="Arial" w:cs="Arial" w:eastAsia="Arial" w:hAnsi="Arial"/>
          <w:sz w:val="16"/>
          <w:szCs w:val="16"/>
          <w:color w:val="auto"/>
        </w:rPr>
        <w:t>.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Prospectus and each Preliminary Prospectus, each as of its respective date, comply in all material respects with the Securities Act and the applicable rules and regulations. Each of the Prospectus and each Preliminary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w:t>
      </w:r>
    </w:p>
    <w:p>
      <w:pPr>
        <w:spacing w:after="0" w:line="3" w:lineRule="exact"/>
        <w:rPr>
          <w:rFonts w:ascii="Arial" w:cs="Arial" w:eastAsia="Arial" w:hAnsi="Arial"/>
          <w:sz w:val="16"/>
          <w:szCs w:val="16"/>
          <w:color w:val="auto"/>
        </w:rPr>
      </w:pPr>
    </w:p>
    <w:p>
      <w:pPr>
        <w:jc w:val="both"/>
        <w:ind w:left="4" w:hanging="4"/>
        <w:spacing w:after="0" w:line="292" w:lineRule="auto"/>
        <w:tabs>
          <w:tab w:leader="none" w:pos="263" w:val="left"/>
        </w:tabs>
        <w:numPr>
          <w:ilvl w:val="0"/>
          <w:numId w:val="21"/>
        </w:numPr>
        <w:rPr>
          <w:rFonts w:ascii="Arial" w:cs="Arial" w:eastAsia="Arial" w:hAnsi="Arial"/>
          <w:sz w:val="16"/>
          <w:szCs w:val="16"/>
          <w:color w:val="auto"/>
        </w:rPr>
      </w:pPr>
      <w:r>
        <w:rPr>
          <w:rFonts w:ascii="Arial" w:cs="Arial" w:eastAsia="Arial" w:hAnsi="Arial"/>
          <w:sz w:val="16"/>
          <w:szCs w:val="16"/>
          <w:color w:val="auto"/>
        </w:rPr>
        <w:t>have not been filed as required pursuant to the Securities Act or (y) will not be filed within the requisite time period. There are no contracts or other documents required to be described in the Registration Statement,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62" w:lineRule="exact"/>
        <w:rPr>
          <w:rFonts w:ascii="Arial" w:cs="Arial" w:eastAsia="Arial" w:hAnsi="Arial"/>
          <w:sz w:val="16"/>
          <w:szCs w:val="16"/>
          <w:color w:val="auto"/>
        </w:rPr>
      </w:pPr>
    </w:p>
    <w:p>
      <w:pPr>
        <w:jc w:val="both"/>
        <w:ind w:left="4" w:firstLine="644"/>
        <w:spacing w:after="0" w:line="270" w:lineRule="auto"/>
        <w:tabs>
          <w:tab w:leader="none" w:pos="974"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Free-Writing Prospectuses, etc</w:t>
      </w:r>
      <w:r>
        <w:rPr>
          <w:rFonts w:ascii="Arial" w:cs="Arial" w:eastAsia="Arial" w:hAnsi="Arial"/>
          <w:sz w:val="17"/>
          <w:szCs w:val="17"/>
          <w:color w:val="auto"/>
        </w:rPr>
        <w:t>. Neither: (i) any Issuer-Represented General Free Writing Prospectus(es) issued at or prior to the Time of Sale and the Statutory Prospectus (as defined below), all considered together (collectively,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nor (ii) any Issuer-Represented Free Writing Prospectus(es), when considered together with the General Disclosure Package, nor (iii) any Written Testing-the-Waters Communication, when considered together with the General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Each Issuer-Represented Free Writing Prospectus, as of its issue date and at all subsequent times until the Closing Date or until any earlier date that the Company notified or notifies the Representative as described in Section 4.2(a), did not, does not and will not include any information that conflicted, conflicts or will conflict with the information contained in the then-current Registration Statement, Statutory Prospectus or Prospectus.</w:t>
      </w:r>
    </w:p>
    <w:p>
      <w:pPr>
        <w:spacing w:after="0" w:line="180" w:lineRule="exact"/>
        <w:rPr>
          <w:rFonts w:ascii="Arial" w:cs="Arial" w:eastAsia="Arial" w:hAnsi="Arial"/>
          <w:sz w:val="17"/>
          <w:szCs w:val="17"/>
          <w:color w:val="auto"/>
        </w:rPr>
      </w:pPr>
    </w:p>
    <w:p>
      <w:pPr>
        <w:jc w:val="both"/>
        <w:ind w:left="4" w:firstLine="644"/>
        <w:spacing w:after="0" w:line="269" w:lineRule="auto"/>
        <w:tabs>
          <w:tab w:leader="none" w:pos="954"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Offering Materials</w:t>
      </w:r>
      <w:r>
        <w:rPr>
          <w:rFonts w:ascii="Arial" w:cs="Arial" w:eastAsia="Arial" w:hAnsi="Arial"/>
          <w:sz w:val="17"/>
          <w:szCs w:val="17"/>
          <w:color w:val="auto"/>
        </w:rPr>
        <w:t xml:space="preserve">. The Company has not distributed and will not distribute any prospectus or other offering material in connection with the Offering other than the General Disclosure Package, any Issuer-Represented Free Writing Prospectus, the Prospectus, any Testing-the-Waters Communication made in compliance with the terms hereof or other materials permitted by the Securities Act to be distributed by the Company. Unless the Company obtains the prior consent of the Representative, the Company has not made and will not make any offer relating to the Public Shares that would constitute an “issuer free writing prospectus,” as defined in Rule 433 under the Securities Act, or that would otherwise constitute a “free writing prospectus,” as defined in Rule 405 under the Securities Act, required to be filed with the Commission; provided that the prior written consent of the Representative shall be deemed to have been given in respect of any free writing prospectus referenced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Company has complied and will comply with the requirements of Rules 164 and 433 under the Securities Act applicable to any Issuer-Represented Free Writing Prospectus as of its issue date and at all subsequent times through the Closing Date, including timely filing with the Commission where required, legending and record keeping. To the extent an electronic road show is used, the Company has satisfied and will satisfy the conditions in Rule 433 under the Securities Act to avoid a requirement to file with the Commission any electronic road show.</w:t>
      </w:r>
    </w:p>
    <w:p>
      <w:pPr>
        <w:spacing w:after="0" w:line="38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 w:name="page21"/>
    <w:bookmarkEnd w:id="20"/>
    <w:p>
      <w:pPr>
        <w:jc w:val="both"/>
        <w:ind w:left="-460" w:firstLine="644"/>
        <w:spacing w:after="0" w:line="259" w:lineRule="auto"/>
        <w:tabs>
          <w:tab w:leader="none" w:pos="4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Statistical Information</w:t>
      </w:r>
      <w:r>
        <w:rPr>
          <w:rFonts w:ascii="Arial" w:cs="Arial" w:eastAsia="Arial" w:hAnsi="Arial"/>
          <w:sz w:val="18"/>
          <w:szCs w:val="18"/>
          <w:color w:val="auto"/>
        </w:rPr>
        <w:t>. 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 and the Company has obtained the written consent to the use of such data from such sources, to the extent required.</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51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The Company had a reasonable basis for, and made in good faith, each “forward-looking statement” (within the meaning of Section 27A of the Securities Act or Section 21E of the Exchange Act) contained or incorporated by reference in the Registration Statement, the General Disclosure Package and the Prospectus.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51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w:t>
      </w:r>
    </w:p>
    <w:p>
      <w:pPr>
        <w:spacing w:after="0" w:line="183" w:lineRule="exact"/>
        <w:rPr>
          <w:rFonts w:ascii="Arial" w:cs="Arial" w:eastAsia="Arial" w:hAnsi="Arial"/>
          <w:sz w:val="18"/>
          <w:szCs w:val="18"/>
          <w:color w:val="auto"/>
        </w:rPr>
      </w:pPr>
    </w:p>
    <w:p>
      <w:pPr>
        <w:jc w:val="both"/>
        <w:ind w:left="-460" w:firstLine="644"/>
        <w:spacing w:after="0" w:line="286" w:lineRule="auto"/>
        <w:tabs>
          <w:tab w:leader="none" w:pos="45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Firm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Registration Statement, the General Disclosure Package and the Prospectus sets forth as of the Execution Date all outstanding secured and unsecured Indebtedness of the Company or any Subsidiary, or for which the Company or any Subsidiary has commitments.</w:t>
      </w: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jc w:val="both"/>
        <w:ind w:left="4" w:firstLine="644"/>
        <w:spacing w:after="0" w:line="286" w:lineRule="auto"/>
        <w:tabs>
          <w:tab w:leader="none" w:pos="894"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jc w:val="both"/>
        <w:ind w:left="4" w:hanging="4"/>
        <w:spacing w:after="0" w:line="286" w:lineRule="auto"/>
        <w:tabs>
          <w:tab w:leader="none" w:pos="327"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72" w:lineRule="exact"/>
        <w:rPr>
          <w:rFonts w:ascii="Arial" w:cs="Arial" w:eastAsia="Arial" w:hAnsi="Arial"/>
          <w:sz w:val="16"/>
          <w:szCs w:val="16"/>
          <w:color w:val="auto"/>
        </w:rPr>
      </w:pPr>
    </w:p>
    <w:p>
      <w:pPr>
        <w:jc w:val="both"/>
        <w:ind w:left="4" w:firstLine="644"/>
        <w:spacing w:after="0" w:line="291" w:lineRule="auto"/>
        <w:tabs>
          <w:tab w:leader="none" w:pos="97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166" w:lineRule="exact"/>
        <w:rPr>
          <w:rFonts w:ascii="Arial" w:cs="Arial" w:eastAsia="Arial" w:hAnsi="Arial"/>
          <w:sz w:val="16"/>
          <w:szCs w:val="16"/>
          <w:color w:val="auto"/>
        </w:rPr>
      </w:pPr>
    </w:p>
    <w:p>
      <w:pPr>
        <w:jc w:val="both"/>
        <w:ind w:left="4" w:firstLine="644"/>
        <w:spacing w:after="0" w:line="263" w:lineRule="auto"/>
        <w:tabs>
          <w:tab w:leader="none" w:pos="89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83" w:lineRule="exact"/>
        <w:rPr>
          <w:rFonts w:ascii="Arial" w:cs="Arial" w:eastAsia="Arial" w:hAnsi="Arial"/>
          <w:sz w:val="18"/>
          <w:szCs w:val="18"/>
          <w:color w:val="auto"/>
        </w:rPr>
      </w:pPr>
    </w:p>
    <w:p>
      <w:pPr>
        <w:jc w:val="both"/>
        <w:ind w:left="4" w:firstLine="644"/>
        <w:spacing w:after="0" w:line="263" w:lineRule="auto"/>
        <w:tabs>
          <w:tab w:leader="none" w:pos="107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183" w:lineRule="exact"/>
        <w:rPr>
          <w:rFonts w:ascii="Arial" w:cs="Arial" w:eastAsia="Arial" w:hAnsi="Arial"/>
          <w:sz w:val="18"/>
          <w:szCs w:val="18"/>
          <w:color w:val="auto"/>
        </w:rPr>
      </w:pPr>
    </w:p>
    <w:p>
      <w:pPr>
        <w:jc w:val="both"/>
        <w:ind w:left="4" w:firstLine="644"/>
        <w:spacing w:after="0" w:line="293" w:lineRule="auto"/>
        <w:tabs>
          <w:tab w:leader="none" w:pos="974"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37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2" w:name="page23"/>
    <w:bookmarkEnd w:id="22"/>
    <w:p>
      <w:pPr>
        <w:jc w:val="both"/>
        <w:ind w:left="660" w:firstLine="644"/>
        <w:spacing w:after="0" w:line="296" w:lineRule="auto"/>
        <w:tabs>
          <w:tab w:leader="none" w:pos="165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jc w:val="both"/>
        <w:ind w:left="660" w:firstLine="644"/>
        <w:spacing w:after="0" w:line="259"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completed by each of the Company’s directors and officers immediately prior to the Offering as well as in the Lock-Up Agreement provided to the Underwriters is true and correct in all respects and the Company has not become aware of any information which would cause the information disclosed in such questionnaires become inaccurate and incorrect.</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and EGS if it learns that any officer, director or owner of 5% or more of the Company’s outstanding shares of Common Stock or Common Stock Equivalents is or becomes an affiliate or associated person of a FINRA member firm.</w:t>
      </w:r>
    </w:p>
    <w:p>
      <w:pPr>
        <w:spacing w:after="0" w:line="187" w:lineRule="exact"/>
        <w:rPr>
          <w:rFonts w:ascii="Arial" w:cs="Arial" w:eastAsia="Arial" w:hAnsi="Arial"/>
          <w:sz w:val="18"/>
          <w:szCs w:val="18"/>
          <w:color w:val="auto"/>
        </w:rPr>
      </w:pPr>
    </w:p>
    <w:p>
      <w:pPr>
        <w:ind w:left="660" w:firstLine="644"/>
        <w:spacing w:after="0" w:line="308" w:lineRule="auto"/>
        <w:tabs>
          <w:tab w:leader="none" w:pos="157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signed by any duly authorized officer of the Company and delivered to the Representative or EGS shall be deemed a representation and warranty by the Company to the Underwriters as to the matters covered thereby.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any Preliminary Prospectus,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any Preliminary Prospectus, the Registration Statement, the General Disclosure Package and copies of the documents incorporated by reference therein. The Company shall not file any such amendment or supplement to the Registration Statement or the Prospectus to which the Representative shall reasonably object in writing.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9" w:lineRule="auto"/>
        <w:tabs>
          <w:tab w:leader="none" w:pos="155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Representative promptly and prepare and file with the Commission, subject to Section 4.1 hereof, an appropriate amendment or supplement in accordance with Section 10 of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right="20" w:firstLine="644"/>
        <w:spacing w:after="0" w:line="277" w:lineRule="auto"/>
        <w:tabs>
          <w:tab w:leader="none" w:pos="156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three (3) years from the Effective Date, the Company will use its best efforts to maintain the registration of the Common Stock under the Exchange Act. The Company will not deregister the Common Stock under the Exchange Act without the prior written consent of the Representative.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Delivery to the Underwriters of Prospectuses</w:t>
      </w:r>
      <w:r>
        <w:rPr>
          <w:rFonts w:ascii="Arial" w:cs="Arial" w:eastAsia="Arial" w:hAnsi="Arial"/>
          <w:sz w:val="18"/>
          <w:szCs w:val="18"/>
          <w:color w:val="auto"/>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Effectiveness and Events Requiring Notice to the Underwriters</w:t>
      </w:r>
      <w:r>
        <w:rPr>
          <w:rFonts w:ascii="Arial" w:cs="Arial" w:eastAsia="Arial" w:hAnsi="Arial"/>
          <w:sz w:val="16"/>
          <w:szCs w:val="16"/>
          <w:color w:val="auto"/>
        </w:rPr>
        <w:t>. The Company will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the General Disclosure Package and the Prospectus; (v) of the receipt of any comments or request for any additional information from the Commission; and (vi) of the happening of any event during the time when a Prospectus is required to be delivered under the Securities Act that, in the judgment of the Company, makes any statement of a material fact made in the Registration Statement, the General Disclosure Package or the Prospectus untrue or that requires the making of any changes in the Registration Statement, the General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For a period of three (3) years from the Execution Date, the Company, at its expense, shall cause its regularly engaged independent registered public accountants to review (but not audit) the Company’s financial statements for each of the first three fiscal quarters prior to the announcement of quarterly financial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Reports to the Underwriters; Expenses of the Offering</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9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Periodic Reports, etc</w:t>
      </w:r>
      <w:r>
        <w:rPr>
          <w:rFonts w:ascii="Arial" w:cs="Arial" w:eastAsia="Arial" w:hAnsi="Arial"/>
          <w:sz w:val="17"/>
          <w:szCs w:val="17"/>
          <w:color w:val="auto"/>
        </w:rPr>
        <w:t>. For a period of three (3) years from the Execution Date, the Company will furnish to the Underwriters copies of such financial statements and other periodic and special reports as the Company from time to time furnishes generally to holders of any class of its securities and also promptly furnish to the Underwriters: (i) a copy of each periodic report the Company shall be required to file with the Commission; (ii) a copy of every press release and every news item and article with respect to the Company or its affairs which was released by the Company; (iii) a copy of each Form 8-K prepared and filed by the Company; (iv) a copy of each registration statement filed by the Company under the Securities Act; (v) such additional documents and information with respect to the Company and the affairs of any future Subsidiaries of the Company as the Representative may from time to time reasonably request; provided that the Underwriters shall each sign, if requested by the Company, a Regulation FD compliant confidentiality agreement which is reasonably acceptable to the Representative in connection with such Underwriter’s receipt of such information. Documents filed with the Commission pursuant to its EDGAR system shall be deemed to have been delivered to the Underwriters pursuant to this Section.</w:t>
      </w:r>
    </w:p>
    <w:p>
      <w:pPr>
        <w:spacing w:after="0" w:line="185" w:lineRule="exact"/>
        <w:rPr>
          <w:rFonts w:ascii="Arial" w:cs="Arial" w:eastAsia="Arial" w:hAnsi="Arial"/>
          <w:sz w:val="17"/>
          <w:szCs w:val="17"/>
          <w:color w:val="auto"/>
        </w:rPr>
      </w:pPr>
    </w:p>
    <w:p>
      <w:pPr>
        <w:jc w:val="both"/>
        <w:ind w:firstLine="644"/>
        <w:spacing w:after="0" w:line="259" w:lineRule="auto"/>
        <w:tabs>
          <w:tab w:leader="none" w:pos="90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Transfer Sheets</w:t>
      </w:r>
      <w:r>
        <w:rPr>
          <w:rFonts w:ascii="Arial" w:cs="Arial" w:eastAsia="Arial" w:hAnsi="Arial"/>
          <w:sz w:val="18"/>
          <w:szCs w:val="18"/>
          <w:color w:val="auto"/>
        </w:rPr>
        <w:t>. For a period of three (3) years from the Execution Date, the Company shall retain the Transfer Agent or a transfer and registrar agent acceptable to the Representative and will furnish to the Underwriters at the Company’s sole cost and expense such transfer sheets of the Company’s securities as an Underwriter may reasonably request, including the daily and monthly consolidated transfer sheets of the Transfer Agent and the DTC.</w:t>
      </w:r>
    </w:p>
    <w:p>
      <w:pPr>
        <w:spacing w:after="0" w:line="186" w:lineRule="exact"/>
        <w:rPr>
          <w:rFonts w:ascii="Arial" w:cs="Arial" w:eastAsia="Arial" w:hAnsi="Arial"/>
          <w:sz w:val="18"/>
          <w:szCs w:val="18"/>
          <w:color w:val="auto"/>
        </w:rPr>
      </w:pPr>
    </w:p>
    <w:p>
      <w:pPr>
        <w:jc w:val="both"/>
        <w:ind w:firstLine="644"/>
        <w:spacing w:after="0" w:line="263" w:lineRule="auto"/>
        <w:tabs>
          <w:tab w:leader="none" w:pos="93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Trading Reports</w:t>
      </w:r>
      <w:r>
        <w:rPr>
          <w:rFonts w:ascii="Arial" w:cs="Arial" w:eastAsia="Arial" w:hAnsi="Arial"/>
          <w:sz w:val="18"/>
          <w:szCs w:val="18"/>
          <w:color w:val="auto"/>
        </w:rPr>
        <w:t>. During such time as the Public Shares are listed on a Trading Market, the Company shall provide to the Underwriters, at the Company’s expense, such reports published by such Trading Market relating to price and trading of such shares, as the Underwriters shall reasonably request.</w:t>
      </w:r>
    </w:p>
    <w:p>
      <w:pPr>
        <w:spacing w:after="0" w:line="183" w:lineRule="exact"/>
        <w:rPr>
          <w:rFonts w:ascii="Arial" w:cs="Arial" w:eastAsia="Arial" w:hAnsi="Arial"/>
          <w:sz w:val="18"/>
          <w:szCs w:val="18"/>
          <w:color w:val="auto"/>
        </w:rPr>
      </w:pPr>
    </w:p>
    <w:p>
      <w:pPr>
        <w:jc w:val="both"/>
        <w:ind w:firstLine="644"/>
        <w:spacing w:after="0" w:line="267" w:lineRule="auto"/>
        <w:tabs>
          <w:tab w:leader="none" w:pos="9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General Expenses Related to the Offering</w:t>
      </w:r>
      <w:r>
        <w:rPr>
          <w:rFonts w:ascii="Arial" w:cs="Arial" w:eastAsia="Arial" w:hAnsi="Arial"/>
          <w:sz w:val="17"/>
          <w:szCs w:val="17"/>
          <w:color w:val="auto"/>
        </w:rPr>
        <w:t>.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Shares) with the Commission; (b) all FINRA Public Offering Filing System fees associated with the review of the Offering by FINRA; (c) all fees and expenses relating to the listing of the Public Shares on Nasdaq; (d) all reasonable fees, expenses and disbursements relating to background checks of the Company’s officers and directors; (e) all fees, expenses and disbursements relating to the registration or qualification of such Securities under the “blue sky” securities laws of such states and other foreign jurisdictions as the Representative may reasonably designate (including, without limitation, all filing and registration fees, and the fees and expenses of Blue Sky counsel); (f)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Prospectuses and Prospectuses as the Representative may reasonably deem necessary; (g) the costs and expenses of the Company’s public relations firm; (h) the costs of preparing, printing and delivering the Shares; (i) fees and expenses of the Transfer Agent for the Securities (including, without limitation, any fees required for same-day processing of any instruction letter delivered by the Company); (j) stock transfer and/or stamp taxes, if any, payable upon the transfer of securities from the Company to the Underwriters; (k) the fees and expenses of the Company’s accountants; (l) the fees and expenses of the Company’s legal counsel and other agents and representatives; (m) the Underwriters’ costs of mailing prospectuses to prospective investors; (n) up to $150,000 for the fees and expenses of EGS (provided that if this Agreement is terminated in accordance with the terms hereof and the Offering is not consummated, the Company shall only be responsible for payment of $50,000 of the fees and expenses of EGS); and (o) up to $50,000 for the Underwriters’ accountable expenses, including its use of i-Deal’s book-building, prospectus tracking and compliance software (or other similar software) for the Offering. The Representative may also deduct from the net proceeds of the Offering payable to the Company on the Closing Date, or each Option Closing Date, if any, the expenses set forth herein to be paid by the Company to the Underwriters.</w:t>
      </w:r>
    </w:p>
    <w:p>
      <w:pPr>
        <w:spacing w:after="0" w:line="39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jc w:val="both"/>
        <w:ind w:right="2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Delivery of Earnings Statements to Security Holders</w:t>
      </w:r>
      <w:r>
        <w:rPr>
          <w:rFonts w:ascii="Arial" w:cs="Arial" w:eastAsia="Arial" w:hAnsi="Arial"/>
          <w:sz w:val="18"/>
          <w:szCs w:val="18"/>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will maintain a system of internal accounting controls sufficient to provide reasonable assurances that:</w:t>
      </w:r>
    </w:p>
    <w:p>
      <w:pPr>
        <w:spacing w:after="0" w:line="35" w:lineRule="exact"/>
        <w:rPr>
          <w:sz w:val="20"/>
          <w:szCs w:val="20"/>
          <w:color w:val="auto"/>
        </w:rPr>
      </w:pPr>
    </w:p>
    <w:p>
      <w:pPr>
        <w:jc w:val="both"/>
        <w:ind w:firstLine="8"/>
        <w:spacing w:after="0" w:line="253" w:lineRule="auto"/>
        <w:tabs>
          <w:tab w:leader="none" w:pos="2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Accountants</w:t>
      </w:r>
      <w:r>
        <w:rPr>
          <w:rFonts w:ascii="Arial" w:cs="Arial" w:eastAsia="Arial" w:hAnsi="Arial"/>
          <w:sz w:val="17"/>
          <w:szCs w:val="17"/>
          <w:color w:val="auto"/>
        </w:rPr>
        <w:t>. The Company shall continue to retain a nationally recognized independent certified public accounting firm for a period of at least three (3) years after the Execution Date. The Underwriters acknowledge that the Company Auditor is acceptable to the Underwriters.</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the Underwriters (who shall make an appropriate filing with FINRA) if it is aware that any 10% or greater shareholder of the Company becomes an affiliate or associated person of an Underwriter.</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No Fiduciary Duties</w:t>
      </w:r>
      <w:r>
        <w:rPr>
          <w:rFonts w:ascii="Arial" w:cs="Arial" w:eastAsia="Arial" w:hAnsi="Arial"/>
          <w:sz w:val="17"/>
          <w:szCs w:val="17"/>
          <w:color w:val="auto"/>
        </w:rPr>
        <w:t>. The Company hereby acknowledges that the Representative and the other Underwriters are acting solely as underwriters in connection with the offering of the Securities. The Company further acknowledge that the Representative and the other Underwriters are acting pursuant to a contractual relationship created solely by this Agreement entered into on an arm’s length basis and in no event do the parties intend that the Representative and the other Underwriters act or be responsible as a fiduciary to the Company, its management, shareholders, creditors or any other person in connection with any activity that the Representative and the other Underwriters may undertake or have undertaken in furtherance of the Offering, either before or after the Execution Date. The Representative and the other Underwriters hereby expressly disclaim any fiduciary or similar obligations to the Company, either in connection with the transactions contemplated by this Agreement or any matters leading up to such transactions, and the Company hereby confirms their understanding and agreement to that effect. The Company hereby further confirms its understanding that neither the Representative nor any other Underwriter has assumed an advisory or fiduciary responsibility in favor of the Company with respect to the Offering or the process leading thereto, including any negotiation related to the pricing of the Securities. The Company acknowledges that it has consulted its own legal and financial advisors to the extent it has deemed appropriate in connection with this Agreement and the Offering. The Company and the Underwriters agree that they are each responsible for making their own independent judgments with respect to any such transactions, and that any opinions or views expressed by the Representative and the other Underwriters to the Company regarding such transactions, including but not limited to any opinions or views with respect to the price or market for the Securities, do not constitute advice or recommendations to the Company. The Company hereby waives and releases, to the fullest extent permitted by law, any claims that the Company may have against the Representative and the other Underwriters with respect to any breach or alleged breach of any fiduciary or similar duty to the Company in connection with the transactions contemplated by the Transaction Documents or any matters leading up to such transactions.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Board Composition and Board Designations</w:t>
      </w:r>
      <w:r>
        <w:rPr>
          <w:rFonts w:ascii="Arial" w:cs="Arial" w:eastAsia="Arial" w:hAnsi="Arial"/>
          <w:sz w:val="18"/>
          <w:szCs w:val="18"/>
          <w:color w:val="auto"/>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By 9:00 a.m. (New York City time) on the date immediately following the Execution Date,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Representative’s prior review and consent of the Representative and EGS (which consent may not be unreasonably withheld), for a period ending at 5:00 p.m. (New York City time) on the first business day following the 45th day following the Closing Date.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Shareholder Rights Plan</w:t>
      </w:r>
      <w:r>
        <w:rPr>
          <w:rFonts w:ascii="Arial" w:cs="Arial" w:eastAsia="Arial" w:hAnsi="Arial"/>
          <w:sz w:val="17"/>
          <w:szCs w:val="17"/>
          <w:color w:val="auto"/>
        </w:rPr>
        <w:t>. No claim will be made or enforced by the Company or, with the consent of the Company, any other Person, that any Underwriter of the Securities is an “Acquiring Person” under any control share acquisition, business combination, poison pill (including any distribution under a rights agreement) or similar anti-takeover plan or arrangement in effect or hereafter adopted by the Company, or that any Underwriter of Securities could be deemed to trigger the provisions of any such plan or arrangement, by virtue of receiving Securities.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As of the Execution Date, the Company has reserved and the Company shall continue to reserve and keep available at all times, free of preemptive rights, a sufficient number of shares of Common Stock for the purpose of enabling the Company to issue Option Shares pursuant to the Over-Allotment Option and Representative’s Warrant Shares pursuant to any exercise of the Representative’s Warrant.</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Listing and Electronic of Common Stock</w:t>
      </w:r>
      <w:r>
        <w:rPr>
          <w:rFonts w:ascii="Arial" w:cs="Arial" w:eastAsia="Arial" w:hAnsi="Arial"/>
          <w:sz w:val="17"/>
          <w:szCs w:val="17"/>
          <w:color w:val="auto"/>
        </w:rPr>
        <w:t>. The Company hereby agrees to use best efforts to maintain the listing or quotation of the Common Stock on Nasdaq for a period of three (3) years from the Effective Date. The Company further agrees, if the Company applies to have the Common Stock traded on any other Trading Market, it will then include in such application all of the Firm Shares, Option Shares and Representative’s Warrant Shares, and will take such other action as is necessary to cause all of the Firm Shares, Option Shares and Representative’s Warrant Shares to be listed or quoted on such other Trading Market as promptly as possible.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88"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The Company agrees that if the Securities are sold in accordance with the terms of this Agreement, the Representative shall have an irrevocable right of first refusal for a period of twelve (12) months from the commencement of sales of the Offering to act as sole managing underwriter, sole bookrunner, or sole placement agent, for any and all future public and private equity, equity-linked, convertible and debt offerings of the Company, or any Subsidiary of or successor to the Company, whether with or without or through an underwriter, placement agent or broker-dealer and whether pursuant to registration under the Securities Act or otherwise. The Company and any such Subsidiary or successor will consult the Representative with regard to any such proposed financing. If the Representative fails to accept such offer within ten (10) Business Days after the provision of a notice containing the material terms of the proposed financing proposal, then the Representative shall have no further claim or right with respect to the financing proposal contained in such notice. If, however, the terms of such financing proposal are subsequently modified in any material respect, the irrevocable right referred to herein shall apply to such modified proposal as if the original proposal had not been made. The Representative’s failure to exercise its irrevocable right with respect to any particular proposal shall not affect its preferential rights relative to future proposals.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Company Lock-Up</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72" w:lineRule="auto"/>
        <w:tabs>
          <w:tab w:leader="none" w:pos="155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hereby agrees that, without the prior written consent of the Representative, it will not, during the period ending six (6) months after the Execution Date (“</w:t>
      </w:r>
      <w:r>
        <w:rPr>
          <w:rFonts w:ascii="Arial" w:cs="Arial" w:eastAsia="Arial" w:hAnsi="Arial"/>
          <w:sz w:val="17"/>
          <w:szCs w:val="17"/>
          <w:u w:val="single" w:color="auto"/>
          <w:color w:val="auto"/>
        </w:rPr>
        <w:t>Lock-Up Period</w:t>
      </w:r>
      <w:r>
        <w:rPr>
          <w:rFonts w:ascii="Arial" w:cs="Arial" w:eastAsia="Arial" w:hAnsi="Arial"/>
          <w:sz w:val="17"/>
          <w:szCs w:val="17"/>
          <w:color w:val="auto"/>
        </w:rPr>
        <w:t>”), (i) offer, pledge, issue, sell, contract to sell, purchase, contract to purchase, lend, or otherwise transfer or dispose of, directly or indirectly, any shares of Common Stock or Common Stock Equivalents;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or (iii) file any registration statement with the Commission relating to the offering of any shares of Common Stock or any securities convertible into or exercisable or exchangeable for Common Stock.</w:t>
      </w:r>
    </w:p>
    <w:p>
      <w:pPr>
        <w:spacing w:after="0" w:line="177" w:lineRule="exact"/>
        <w:rPr>
          <w:rFonts w:ascii="Arial" w:cs="Arial" w:eastAsia="Arial" w:hAnsi="Arial"/>
          <w:sz w:val="17"/>
          <w:szCs w:val="17"/>
          <w:color w:val="auto"/>
        </w:rPr>
      </w:pPr>
    </w:p>
    <w:p>
      <w:pPr>
        <w:ind w:left="660" w:firstLine="644"/>
        <w:spacing w:after="0" w:line="277" w:lineRule="auto"/>
        <w:tabs>
          <w:tab w:leader="none" w:pos="15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foregoing, this Section 4.21 shall not apply in respect of an Exempt Issuance or the filing of a Registration Statement on Form S-8 or any successor form thereto.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As of the Execution Date, the Company shall have retained a financial public relations firm reasonably acceptable to the Representative and the Company, which firm will be experienced in assisting issuers in public offerings of securities and in their relations with their security holders, and shall retain such firm or another firm reasonably acceptable to the Representative for a period of not less than two (2) years after the Execution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Research Independence</w:t>
      </w:r>
      <w:r>
        <w:rPr>
          <w:rFonts w:ascii="Arial" w:cs="Arial" w:eastAsia="Arial" w:hAnsi="Arial"/>
          <w:sz w:val="17"/>
          <w:szCs w:val="17"/>
          <w:color w:val="auto"/>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 BY UNDERWRITERS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on the Closing Date or any Option Closing Date, if any, any Underwriter shall fail to purchase and pay for the portion of the Firm Shares or Option Shares,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Firm Shares or Option Shares , as the case may be, which the defaulting Underwriter or Underwriters failed to purchase. If during such 36 hours the Representative shall not have procured such other Underwriters, or any others, to purchase the Firm Shares or Option Shares, as the case may be, agreed to be purchased by the defaulting Underwriter or Underwriters, then (a) if the aggregate number of Firm Shares or Option Shares, as the case may be, with respect to which such default shall occur does not exceed 10% of the Firm Shares or Option Shares, as the case may be, covered hereby, the other Underwriters shall be obligated, severally, in proportion to the respective numbers of Firm Shares or Option Shares, as the case may be, which they are obligated to purchase hereunder, to purchase the Firm Shares or Option Shares, as the case may be, which such defaulting Underwriter or Underwriters failed to purchase, or (b) if the aggregate number of Firm Shares or Option Shares, as the case may be, with respect to which such default shall occur exceeds 10% of the Firm Shares or Option Shares,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of the Underwriters</w:t>
      </w:r>
      <w:r>
        <w:rPr>
          <w:rFonts w:ascii="Arial" w:cs="Arial" w:eastAsia="Arial" w:hAnsi="Arial"/>
          <w:sz w:val="16"/>
          <w:szCs w:val="16"/>
          <w:color w:val="auto"/>
        </w:rPr>
        <w:t>. Subject to the conditions set forth below, the Company agrees to indemnify and hold harmless the Underwriters, and each dealer selected by each Underwriter that participates in the offer and sale of the Securities (each a “</w:t>
      </w:r>
      <w:r>
        <w:rPr>
          <w:rFonts w:ascii="Arial" w:cs="Arial" w:eastAsia="Arial" w:hAnsi="Arial"/>
          <w:sz w:val="16"/>
          <w:szCs w:val="16"/>
          <w:u w:val="single" w:color="auto"/>
          <w:color w:val="auto"/>
        </w:rPr>
        <w:t>Selected Dealer</w:t>
      </w:r>
      <w:r>
        <w:rPr>
          <w:rFonts w:ascii="Arial" w:cs="Arial" w:eastAsia="Arial" w:hAnsi="Arial"/>
          <w:sz w:val="16"/>
          <w:szCs w:val="16"/>
          <w:color w:val="auto"/>
        </w:rPr>
        <w:t>”) and each of their respective directors, officers and employees and each Person, if any, who controls such Underwriter or any Selected Dealer (“</w:t>
      </w:r>
      <w:r>
        <w:rPr>
          <w:rFonts w:ascii="Arial" w:cs="Arial" w:eastAsia="Arial" w:hAnsi="Arial"/>
          <w:sz w:val="16"/>
          <w:szCs w:val="16"/>
          <w:u w:val="single" w:color="auto"/>
          <w:color w:val="auto"/>
        </w:rPr>
        <w:t>Controlling Person</w:t>
      </w:r>
      <w:r>
        <w:rPr>
          <w:rFonts w:ascii="Arial" w:cs="Arial" w:eastAsia="Arial" w:hAnsi="Arial"/>
          <w:sz w:val="16"/>
          <w:szCs w:val="16"/>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any Preliminary Prospectus, the Registration Statement, the General Disclosure Package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Shares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the Registration Statement, the General Disclosure Package or the Prospectus, or any amendment or supplement thereto, or in any application, as the case may be, it being agreed that such information so furnished shall consist solely of: (i) the names of the Underwriters appearing in the Prospectus and (ii) the “Price Stabilization, Short Positions” and “Electronic Distribution” sections of the “Underwriting” section of the Prospectus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b w:val="1"/>
          <w:bCs w:val="1"/>
          <w:color w:val="auto"/>
        </w:rPr>
        <w:t>”</w:t>
      </w:r>
      <w:r>
        <w:rPr>
          <w:rFonts w:ascii="Arial" w:cs="Arial" w:eastAsia="Arial" w:hAnsi="Arial"/>
          <w:sz w:val="16"/>
          <w:szCs w:val="16"/>
          <w:color w:val="auto"/>
        </w:rPr>
        <w:t>) ..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Public Shares or in connection with the Registration Statement, the General Disclosure Package and the Prospectus.</w:t>
      </w:r>
    </w:p>
    <w:p>
      <w:pPr>
        <w:spacing w:after="0" w:line="3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Procedure</w:t>
      </w:r>
      <w:r>
        <w:rPr>
          <w:rFonts w:ascii="Arial" w:cs="Arial" w:eastAsia="Arial" w:hAnsi="Arial"/>
          <w:sz w:val="17"/>
          <w:szCs w:val="17"/>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Indemnification of the Company</w:t>
      </w:r>
      <w:r>
        <w:rPr>
          <w:rFonts w:ascii="Arial" w:cs="Arial" w:eastAsia="Arial" w:hAnsi="Arial"/>
          <w:sz w:val="16"/>
          <w:szCs w:val="16"/>
          <w:color w:val="auto"/>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the Registration Statement or Prospectus or any amendment or supplement thereto or in any such application, it being agreed that such information provided by or on behalf of any Underwriter consists solely of the Underwriter Information. In case any action shall be brought against the Company or any other Person so indemnified based on any Preliminary Prospectus,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5" w:lineRule="auto"/>
        <w:tabs>
          <w:tab w:leader="none" w:pos="156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Contribution Rights</w:t>
      </w:r>
      <w:r>
        <w:rPr>
          <w:rFonts w:ascii="Arial" w:cs="Arial" w:eastAsia="Arial" w:hAnsi="Arial"/>
          <w:sz w:val="16"/>
          <w:szCs w:val="16"/>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4"/>
        <w:spacing w:after="0" w:line="269" w:lineRule="auto"/>
        <w:tabs>
          <w:tab w:leader="none" w:pos="93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Contribution Procedure</w:t>
      </w:r>
      <w:r>
        <w:rPr>
          <w:rFonts w:ascii="Arial" w:cs="Arial" w:eastAsia="Arial" w:hAnsi="Arial"/>
          <w:sz w:val="17"/>
          <w:szCs w:val="17"/>
          <w:color w:val="auto"/>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u w:val="single" w:color="auto"/>
          <w:color w:val="auto"/>
        </w:rPr>
        <w:t>contributing party</w:t>
      </w:r>
      <w:r>
        <w:rPr>
          <w:rFonts w:ascii="Arial" w:cs="Arial" w:eastAsia="Arial" w:hAnsi="Arial"/>
          <w:sz w:val="17"/>
          <w:szCs w:val="17"/>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18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6" w:lineRule="auto"/>
        <w:tabs>
          <w:tab w:leader="none" w:pos="89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Termination Right</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its opinion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Securities, or (vii) if the Company is in material breach of any of its representations, warranties or covenants hereunder, or (viii) if the Representative shall have become aware after the Execution Date of such a material adverse change in the conditions or prospects of the Company, or such adverse material change in general market conditions as in the Representative’s judgment would make it impracticable to proceed with the offering, sale and/or delivery of the Securities or to enforce contracts made by the Underwriters for the sale of the Securities.</w:t>
      </w:r>
    </w:p>
    <w:p>
      <w:pPr>
        <w:spacing w:after="0" w:line="173" w:lineRule="exact"/>
        <w:rPr>
          <w:rFonts w:ascii="Arial" w:cs="Arial" w:eastAsia="Arial" w:hAnsi="Arial"/>
          <w:sz w:val="16"/>
          <w:szCs w:val="16"/>
          <w:color w:val="auto"/>
        </w:rPr>
      </w:pPr>
    </w:p>
    <w:p>
      <w:pPr>
        <w:jc w:val="both"/>
        <w:ind w:firstLine="644"/>
        <w:spacing w:after="0" w:line="301" w:lineRule="auto"/>
        <w:tabs>
          <w:tab w:leader="none" w:pos="93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EGS up to $50,000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expense cap in no way limits or impairs the indemnification and contribution provisions of this Agreement).</w:t>
      </w:r>
    </w:p>
    <w:p>
      <w:pPr>
        <w:spacing w:after="0" w:line="36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2" w:name="page33"/>
    <w:bookmarkEnd w:id="32"/>
    <w:p>
      <w:pPr>
        <w:jc w:val="both"/>
        <w:ind w:left="660" w:firstLine="644"/>
        <w:spacing w:after="0" w:line="263" w:lineRule="auto"/>
        <w:tabs>
          <w:tab w:leader="none" w:pos="15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June 8, 2020 (“</w:t>
      </w:r>
      <w:r>
        <w:rPr>
          <w:rFonts w:ascii="Arial" w:cs="Arial" w:eastAsia="Arial" w:hAnsi="Arial"/>
          <w:sz w:val="17"/>
          <w:szCs w:val="17"/>
          <w:u w:val="single" w:color="auto"/>
          <w:color w:val="auto"/>
        </w:rPr>
        <w:t>Engagement Agreement</w:t>
      </w:r>
      <w:r>
        <w:rPr>
          <w:rFonts w:ascii="Arial" w:cs="Arial" w:eastAsia="Arial" w:hAnsi="Arial"/>
          <w:sz w:val="17"/>
          <w:szCs w:val="17"/>
          <w:color w:val="auto"/>
        </w:rPr>
        <w:t>”), by and between the Company and Maxim Group LLC, shall be replaced by this Agreement, except for those provisions of the Engagement Agreement that expressly survive termination; provided that, in the event of a conflict between the terms of the Engagement Agreement and this Agreement, the terms of this Agreement shall prevail.</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set forth below at or prior to 5:30 p.m. (New York City time) on a Trading Day, (b) the next Business Day after the date of transmission, if such notice or communication is delivered via facsimile at the facsimile number or e-mail attachment at the e-mail address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as set forth below that is not a Business Day or later than 5:30 p.m. (New York City time) on any Business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Business Day following the date of mailing, if sent by U.S. nationally recognized overnight courier service or (d) upon actual receipt by the party to whom such notice is required to be given. The address for such notices and communications shall be as set forth below:</w:t>
      </w:r>
    </w:p>
    <w:p>
      <w:pPr>
        <w:spacing w:after="0" w:line="202" w:lineRule="exact"/>
        <w:rPr>
          <w:sz w:val="20"/>
          <w:szCs w:val="20"/>
          <w:color w:val="auto"/>
        </w:rPr>
      </w:pPr>
    </w:p>
    <w:p>
      <w:pPr>
        <w:ind w:firstLine="656"/>
        <w:spacing w:after="0" w:line="277" w:lineRule="auto"/>
        <w:tabs>
          <w:tab w:leader="none" w:pos="9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sent to the Representative or any Underwriter, shall be delivered personally, by facsimile or e-mail, or sent by a nationally recognized overnight courier service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Clifford A. Teller, Executive Managing Director of Investment Banking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212-895-3555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cteller@maximgrp.com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Underwriters’ Counsel (which shall not constitute notice) 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Ellenoff Grossman &amp; Schole LLP</w:t>
      </w:r>
    </w:p>
    <w:p>
      <w:pPr>
        <w:ind w:left="660"/>
        <w:spacing w:after="0" w:line="202" w:lineRule="auto"/>
        <w:rPr>
          <w:sz w:val="20"/>
          <w:szCs w:val="20"/>
          <w:color w:val="auto"/>
        </w:rPr>
      </w:pPr>
      <w:r>
        <w:rPr>
          <w:rFonts w:ascii="Arial" w:cs="Arial" w:eastAsia="Arial" w:hAnsi="Arial"/>
          <w:sz w:val="18"/>
          <w:szCs w:val="18"/>
          <w:color w:val="auto"/>
        </w:rPr>
        <w:t>1345 Avenue of the Americas,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10105</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Barry I. Grossman,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212-370-7889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bigrossman@egsllp.com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firstLine="656"/>
        <w:spacing w:after="0" w:line="277" w:lineRule="auto"/>
        <w:tabs>
          <w:tab w:leader="none" w:pos="9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sent to the Company, shall be mailed, delivered, emailed or faxed to the Company and its counsel (with notice to such counsel notice shall be courtesy notice only) at the addresses set forth in the Registration Statement or otherwise known to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Governing Law; Venue; Waiver of Jury Trial</w:t>
      </w:r>
      <w:r>
        <w:rPr>
          <w:rFonts w:ascii="Arial" w:cs="Arial" w:eastAsia="Arial" w:hAnsi="Arial"/>
          <w:sz w:val="16"/>
          <w:szCs w:val="16"/>
          <w:color w:val="auto"/>
        </w:rPr>
        <w:t>. Each Transaction Document shall be deemed to have been executed and delivered in New York and each of the Transaction Documents and the transactions contemplated hereby and thereby shall be governed as to validity, interpretation, construction, effect, and in all other respects by the laws of the State of New York applicable to agreements wholly performed within the borders of such state and without regard to the conflicts of laws principals thereof (other than Section 5-1401 of The New York General Obligations Law). Each of Representative and the Company: (a) agrees that any legal suit, action or proceeding arising out of or relating to the Transaction Documents and/or the transactions contemplated hereby or thereby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 (c) irrevocably consents to the jurisdiction of Supreme Court of the State of New York, New York County, or in the United States District Court for the Southern District of New York in any such suit, action or proceeding. Each of the Representative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Representative mailed by certified mail to the Holder’s address or delivered by Federal Express via overnight delivery shall be deemed in every respect effective service process upon the Holder, in any such suit, action or proceeding. THE PARTIES HERETO (ON BEHALF OF THEMSELVES, THEIR SUBSIDIARIES AND, TO THE FULLEST EXTENT PERMITTED BY LAW, ON BEHALF OF THEIR RESPECTIVE EQUITY HOLDERS AND CREDITORS) HEREBY WAIVES ANY RIGHT THEY MAY HAVE TO A TRIAL BY JURY IN RESPECT OF ANY CLAIM BASED UPON, ARISING OUT OF OR IN CONNECTION WITH THE TRANSACTION DOCUMENTS AND THE TRANSACTIONS CONTEMPLATED HEREBY AND THEREBY.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any Option Closing, if any, and the delivery of the Securities.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73"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342" w:lineRule="auto"/>
        <w:rPr>
          <w:sz w:val="20"/>
          <w:szCs w:val="20"/>
          <w:color w:val="auto"/>
        </w:rPr>
      </w:pPr>
      <w:r>
        <w:rPr>
          <w:rFonts w:ascii="Arial" w:cs="Arial" w:eastAsia="Arial" w:hAnsi="Arial"/>
          <w:sz w:val="16"/>
          <w:szCs w:val="16"/>
          <w:color w:val="auto"/>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Raymond Chang</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u w:val="single" w:color="auto"/>
          <w:color w:val="auto"/>
        </w:rPr>
        <w:t>Schedule I</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Cliff 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Name:</w:t>
        <w:tab/>
        <w:t>Cliff Teller</w:t>
      </w:r>
    </w:p>
    <w:p>
      <w:pPr>
        <w:spacing w:after="0" w:line="2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Title:</w:t>
        <w:tab/>
        <w:t>Head of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tcPr>
          <w:p>
            <w:pPr>
              <w:jc w:val="center"/>
              <w:ind w:right="4630"/>
              <w:spacing w:after="0"/>
              <w:rPr>
                <w:sz w:val="20"/>
                <w:szCs w:val="20"/>
                <w:color w:val="auto"/>
              </w:rPr>
            </w:pPr>
            <w:r>
              <w:rPr>
                <w:rFonts w:ascii="Arial" w:cs="Arial" w:eastAsia="Arial" w:hAnsi="Arial"/>
                <w:sz w:val="18"/>
                <w:szCs w:val="18"/>
                <w:b w:val="1"/>
                <w:bCs w:val="1"/>
                <w:color w:val="auto"/>
              </w:rPr>
              <w:t>SCHEDULE I</w:t>
            </w:r>
          </w:p>
        </w:tc>
      </w:tr>
      <w:tr>
        <w:trPr>
          <w:trHeight w:val="432"/>
        </w:trPr>
        <w:tc>
          <w:tcPr>
            <w:tcW w:w="4500" w:type="dxa"/>
            <w:vAlign w:val="bottom"/>
          </w:tcPr>
          <w:p>
            <w:pPr>
              <w:spacing w:after="0"/>
              <w:rPr>
                <w:sz w:val="24"/>
                <w:szCs w:val="24"/>
                <w:color w:val="auto"/>
              </w:rPr>
            </w:pPr>
          </w:p>
        </w:tc>
        <w:tc>
          <w:tcPr>
            <w:tcW w:w="6740" w:type="dxa"/>
            <w:vAlign w:val="bottom"/>
            <w:gridSpan w:val="2"/>
          </w:tcPr>
          <w:p>
            <w:pPr>
              <w:jc w:val="center"/>
              <w:ind w:right="441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 OF</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NDERWRITERS</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240" w:type="dxa"/>
            <w:vAlign w:val="bottom"/>
            <w:tcBorders>
              <w:bottom w:val="single" w:sz="8" w:color="CCEEFF"/>
            </w:tcBorders>
          </w:tcPr>
          <w:p>
            <w:pPr>
              <w:spacing w:after="0"/>
              <w:rPr>
                <w:sz w:val="24"/>
                <w:szCs w:val="24"/>
                <w:color w:val="auto"/>
              </w:rPr>
            </w:pPr>
          </w:p>
        </w:tc>
        <w:tc>
          <w:tcPr>
            <w:tcW w:w="6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Firm Shares to be Purchased</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3,375,000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Roth Capital Partners, LLC</w:t>
            </w:r>
          </w:p>
        </w:tc>
        <w:tc>
          <w:tcPr>
            <w:tcW w:w="67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2,025,000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5,400,000</w:t>
            </w:r>
          </w:p>
        </w:tc>
      </w:tr>
      <w:tr>
        <w:trPr>
          <w:trHeight w:val="68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Issuer-Represented General Free Writing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405 Lexington Avenue,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as representative to the several underwriters: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10120" w:type="dxa"/>
            <w:vAlign w:val="bottom"/>
            <w:gridSpan w:val="5"/>
          </w:tcPr>
          <w:p>
            <w:pPr>
              <w:ind w:left="200"/>
              <w:spacing w:after="0"/>
              <w:rPr>
                <w:sz w:val="20"/>
                <w:szCs w:val="20"/>
                <w:color w:val="auto"/>
              </w:rPr>
            </w:pPr>
            <w:r>
              <w:rPr>
                <w:rFonts w:ascii="Arial" w:cs="Arial" w:eastAsia="Arial" w:hAnsi="Arial"/>
                <w:sz w:val="18"/>
                <w:szCs w:val="18"/>
                <w:color w:val="auto"/>
                <w:w w:val="92"/>
              </w:rPr>
              <w:t>Underwriting Agreement, dated January ___, 2021, by and between Agrify Corporation (the “Company”) and Maxim Group LLC, acting</w:t>
            </w:r>
          </w:p>
        </w:tc>
      </w:tr>
      <w:tr>
        <w:trPr>
          <w:trHeight w:val="196"/>
        </w:trPr>
        <w:tc>
          <w:tcPr>
            <w:tcW w:w="440" w:type="dxa"/>
            <w:vAlign w:val="bottom"/>
          </w:tcPr>
          <w:p>
            <w:pPr>
              <w:spacing w:after="0"/>
              <w:rPr>
                <w:sz w:val="17"/>
                <w:szCs w:val="17"/>
                <w:color w:val="auto"/>
              </w:rPr>
            </w:pPr>
          </w:p>
        </w:tc>
        <w:tc>
          <w:tcPr>
            <w:tcW w:w="698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as representative to the several underwriters (the “Representative”)</w:t>
            </w:r>
          </w:p>
        </w:tc>
        <w:tc>
          <w:tcPr>
            <w:tcW w:w="700" w:type="dxa"/>
            <w:vAlign w:val="bottom"/>
            <w:tcBorders>
              <w:top w:val="single" w:sz="8" w:color="auto"/>
            </w:tcBorders>
          </w:tcPr>
          <w:p>
            <w:pPr>
              <w:spacing w:after="0"/>
              <w:rPr>
                <w:sz w:val="17"/>
                <w:szCs w:val="17"/>
                <w:color w:val="auto"/>
              </w:rPr>
            </w:pPr>
          </w:p>
        </w:tc>
        <w:tc>
          <w:tcPr>
            <w:tcW w:w="24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80"/>
        <w:spacing w:after="0" w:line="282" w:lineRule="auto"/>
        <w:rPr>
          <w:sz w:val="20"/>
          <w:szCs w:val="20"/>
          <w:color w:val="auto"/>
        </w:rPr>
      </w:pPr>
      <w:r>
        <w:rPr>
          <w:rFonts w:ascii="Arial" w:cs="Arial" w:eastAsia="Arial" w:hAnsi="Arial"/>
          <w:sz w:val="16"/>
          <w:szCs w:val="16"/>
          <w:color w:val="auto"/>
        </w:rPr>
        <w:t>The undersigned irrevocably agrees with the Company that, from the date hereof until 180 days following the date of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entered into by and between the Company and the Representative, acting as representative to the several underwriters (such period, as may be reduced as hereinafter described, the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and the underwriters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(as defined in the Underwriting Agreement)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with respect to, any shares of common stock of the Company or securities convertible, exchangeable or exercisable into, shares of common stock of the Company beneficially owned, held or hereafter acquired by the undersigned (the “</w:t>
      </w:r>
      <w:r>
        <w:rPr>
          <w:rFonts w:ascii="Arial" w:cs="Arial" w:eastAsia="Arial" w:hAnsi="Arial"/>
          <w:sz w:val="16"/>
          <w:szCs w:val="16"/>
          <w:u w:val="single" w:color="auto"/>
          <w:color w:val="auto"/>
        </w:rPr>
        <w:t>Securities</w:t>
      </w:r>
      <w:r>
        <w:rPr>
          <w:rFonts w:ascii="Arial" w:cs="Arial" w:eastAsia="Arial" w:hAnsi="Arial"/>
          <w:sz w:val="16"/>
          <w:szCs w:val="16"/>
          <w:color w:val="auto"/>
        </w:rPr>
        <w:t>”). Beneficial ownership shall be calculated in accordance with Section 13(d) of the Exchange Act. In order to enforce this covenant, the Company shall impose irrevocable stop-transfer instructions preventing the transfer agent of the Company from effecting any actions in violation of this letter agreement. The Representative may consent to an early release from the Restriction Period if, in its sole and absolute discretion, the market for the Securities would not be adversely impacted by sales and in cases of financial emergency. In the event that for 20 consecutive trading days the closing price of the Company’s common stock (as determined based on the Nasdaq Official Closing Price) is in excess of 100% of the price per share at which the shares of common stock were sold to the public in the Company’s initial public offering (the “</w:t>
      </w:r>
      <w:r>
        <w:rPr>
          <w:rFonts w:ascii="Arial" w:cs="Arial" w:eastAsia="Arial" w:hAnsi="Arial"/>
          <w:sz w:val="16"/>
          <w:szCs w:val="16"/>
          <w:u w:val="single" w:color="auto"/>
          <w:color w:val="auto"/>
        </w:rPr>
        <w:t>Stock Price Milestone Date</w:t>
      </w:r>
      <w:r>
        <w:rPr>
          <w:rFonts w:ascii="Arial" w:cs="Arial" w:eastAsia="Arial" w:hAnsi="Arial"/>
          <w:sz w:val="16"/>
          <w:szCs w:val="16"/>
          <w:color w:val="auto"/>
        </w:rPr>
        <w:t>”), then the Restriction Period shall be reduced to the later of (i) 90 days following the date of the Underwriting Agreement and (ii) five (5) trading days after the Stock Price Milestone Date. The restrictions contained in this letter agreement shall not apply to the Securities to be sold pursuant to the Underwriting Agreement on behalf of the undersigned, if any.</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undersigned may transfer the undersigned’s Securities:</w:t>
      </w:r>
    </w:p>
    <w:p>
      <w:pPr>
        <w:spacing w:after="0" w:line="21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to a charity or educational institution,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a member of members of the immediate family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1300" w:hanging="644"/>
        <w:spacing w:after="0" w:line="25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(1) to another corporation, partnership, limited liability company, trust or other business entity that is a direct or indirect affiliate (as defined in Rule 405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undersigned, (2) to limited partners, limited liability company members or stockholders of the undersigned, or (3) in connection with a sale, merger or transfer of all or substantially all of the assets of the undersigned or any other change of control of the undersigned, not undertaken for the purpose of avoiding the restrictions imposed by this letter agreement,</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undersigned is a trust, to the beneficiary of such trust,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undersigned’s affiliates (within the meaning set forth in Rule 405 under the Securities Act) or to any investment fund or other entity controlled by or under common control or management with the undersigned or its affiliates;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undersigned, directly or indirectly, controls a corporation, partnership, limited liability company or other business entity, any transfers of Securities to any shareholder, partner or member of, or owner of similar equity interests in, the undersigned, as the case may be;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testate or intestate succession,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or in connection with a divorce settlement.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such transfer shall not involve a disposition for value, and (B) the transferee agrees in writing with the Representative and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to be bound by the terms of this letter agreement. For purposes of this letter agreement, “immediate family” shall mean any relationship by blood, marriage or adoption, not more remote than first cousin.</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lock-up restrictions provided in the first paragraph of this letter agreement shall not apply to the transfer of any or all of the Securities owned by the undersigned as follows: (a) pursuant to a tender offer, merger, stock sale, recapitalization, consolidation or similar transaction involving the Company or (b) the establishment of a trading plan pursuant to Rule 10b5-1 under the Exchange Act so long as such plan does not permit the transfer of the Securities during the Restriction Period other than as otherwise allowed pursuant to this letter agreement. In addition, notwithstanding the foregoing, this letter agreement shall not restrict the delivery of shares of common stock to the undersigned upon the exercise or vesting of a stock option or other award under the Company’s equity-based incentive plan.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if (i) the Company issues an earnings release or material news, or a material event relating to the Company occurs, during the last 17 days of the Restriction Period, or (ii) prior to the expiration of the Restriction Period, the Company announces that it will release earnings results during the 16-day period beginning on the last day of the Restriction Period, the restrictions imposed by this letter agreement shall continue to apply until the expiration of the 18-day period beginning on the issuance of the earnings release or the occurrence of the material news or material event, unless the Representative waives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96" w:lineRule="auto"/>
        <w:rPr>
          <w:sz w:val="20"/>
          <w:szCs w:val="20"/>
          <w:color w:val="auto"/>
        </w:rPr>
      </w:pPr>
      <w:r>
        <w:rPr>
          <w:rFonts w:ascii="Arial" w:cs="Arial" w:eastAsia="Arial" w:hAnsi="Arial"/>
          <w:sz w:val="16"/>
          <w:szCs w:val="16"/>
          <w:color w:val="auto"/>
        </w:rPr>
        <w:t>The undersigned acknowledges that the execution, delivery and performance of this letter agreement is a material inducement to each Underwriter to perform under the Underwriting Agreement and that each Underwriter (which shall be a third 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Underwriting Agreement.</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letter agreement may not be amended or otherwise modified in any respect without the written consent of each of the Company, the Representative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Underwriting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each Underwriter and that each Underwriter is not entitled to cast any votes on the matters herein contemplated and that no issuance or sale of the Securities is created or intended by virtue of this letter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its signature below, the transfer agent of the Company hereby acknowledges and agrees that, reflecting this letter agreement, it has placed an irrevocable stop transfer instruction on all Securities beneficially owned by the undersigned until the end of the Restriction Period. This letter agreement shall be binding on successors and assigns of the undersigned with respect to the Securities and any such successor or assign shall enter into a similar agreement for the benefit of the Underwriters.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This letter agreement may be executed in two or more counterparts, all of which when taken together may be considered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Position in Company,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2854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6497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240"/>
        <w:spacing w:after="0" w:line="623" w:lineRule="auto"/>
        <w:rPr>
          <w:sz w:val="20"/>
          <w:szCs w:val="20"/>
          <w:color w:val="auto"/>
        </w:rPr>
      </w:pPr>
      <w:r>
        <w:rPr>
          <w:rFonts w:ascii="Arial" w:cs="Arial" w:eastAsia="Arial" w:hAnsi="Arial"/>
          <w:sz w:val="16"/>
          <w:szCs w:val="16"/>
          <w:color w:val="auto"/>
        </w:rPr>
        <w:t>Number of shares of Common Stock underlying subject to warrants, options, debentures or other convertible securities By signing below, the Company agrees to enforce the restrictions on transfer set forth in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2854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257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Broadridge Corporate Issuer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257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908" w:right="77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168910</wp:posOffset>
            </wp:positionV>
            <wp:extent cx="1611630" cy="548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116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Announces Pricing of Upsized $54 Million Initial Public Offering</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BURLINGTON</w:t>
      </w:r>
      <w:r>
        <w:rPr>
          <w:rFonts w:ascii="Arial" w:cs="Arial" w:eastAsia="Arial" w:hAnsi="Arial"/>
          <w:sz w:val="18"/>
          <w:szCs w:val="18"/>
          <w:b w:val="1"/>
          <w:bCs w:val="1"/>
          <w:color w:val="auto"/>
        </w:rPr>
        <w:t>,</w:t>
      </w:r>
      <w:r>
        <w:rPr>
          <w:rFonts w:ascii="Arial" w:cs="Arial" w:eastAsia="Arial" w:hAnsi="Arial"/>
          <w:sz w:val="18"/>
          <w:szCs w:val="18"/>
          <w:color w:val="auto"/>
        </w:rPr>
        <w:t xml:space="preserve"> MA, January 27, 2021 // - Agrify Corporation (NasdaqCM:AGFY) (“Agrify” or the “Company”), a developer of highly advanced and proprietary precision hardware and software grow solutions for the indoor agriculture marketplace, today announced the pricing of its upsized initial public offering of 5,400,000 shares of common stock at a price of $10.00 per share for total gross proceeds of $54 million, before deducting underwriting discounts and commissions and offering expenses payable by Agrify. The shares of common stock are expected to begin trading on the Nasdaq Capital Market under the symbol “AGFY” on January 28,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 and Roth Capital Partners are acting as joint book-running managers for the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Agrify has granted the underwriters a 45-day option to purchase up to an additional 810,000 shares of common stock to cover over-allotments, if any. The offering is expected to close on February 1, 2021, subject to customary closing conditions.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offering is being conducted pursuant to the Company's registration statements previously filed with and subsequently declared effective by the Securities and Exchange Commission ("SEC"). A prospectus relating to the offering will be filed with the SEC and will be available on the SEC's website at www.sec.gov. Electronic copies of the prospectus relating to this offering, when available, may be obtained from Maxim Group LLC, 405 Lexington Avenue, 2nd Floor, New York, NY 10174, (212) 895-3745 or Roth Capital Partners, LLC, 888 San Clemente Drive, Suite 400, Newport Beach, CA 92660, (800) 678-9147.</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any security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developer of premium grow solutions for the indoor agriculture marketplace. We use data, science, and technology to empower our customers to be more efficient, more productive, and more intelligent about how they run their businesses. Our highly advanced and proprietary hardware and software solutions have been designed to help our customers achieve the highest quality, consistency, and yield, all at the lowest possible cost. For more information, please visit our website at www.agrify.com</w:t>
      </w:r>
      <w:r>
        <w:rPr>
          <w:rFonts w:ascii="Arial" w:cs="Arial" w:eastAsia="Arial" w:hAnsi="Arial"/>
          <w:sz w:val="18"/>
          <w:szCs w:val="18"/>
          <w:u w:val="single" w:color="auto"/>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that are made pursuant to the safe harbor provisions within the meaning of Section 27A of the Securities Act of 1933, as amended, and Section 21E of the Securities Exchange Act of 1934, as amended. Forward-looking statements are based on management’s current expectations and are subject to risks and uncertainties that may cause actual results or events to differ materially from those projected. These risks and uncertainties, many of which are beyond our control, include: the risk that the initial public offering of common stock may not close; risks relating to our growth strategy; our ability to obtain, perform under and maintain financing and strategic agreements and relationships; risks relating to the results of development activities; our ability to attract, integrate and retain key personnel; our need for additional funds; intellectual property matters; competition; as well as other risks described in the section entitled “Risk Factors” in the prospectus, which can be obtained on the SEC website at www.sec.gov. Readers are cautioned not to place undue reliance on the forward-looking statements, which speak only as of the date on which they are made and reflect management’s current estimates, projections, expectations and beliefs.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niv.krikov@agrify.com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(617) 896-5240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Rob Kelly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rob@mattio.com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(416) 992-4539</w:t>
      </w:r>
    </w:p>
    <w:sectPr>
      <w:pgSz w:w="11900" w:h="16838" w:orient="portrait"/>
      <w:cols w:equalWidth="0" w:num="2">
        <w:col w:w="2660" w:space="720"/>
        <w:col w:w="786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Roman"/>
      <w:start w:val="1"/>
    </w:lvl>
  </w:abstractNum>
  <w:abstractNum w:abstractNumId="5">
    <w:nsid w:val="721DA317"/>
    <w:multiLevelType w:val="hybridMultilevel"/>
    <w:lvl w:ilvl="0">
      <w:lvlJc w:val="left"/>
      <w:lvlText w:val="(%1)"/>
      <w:numFmt w:val="lowerRoman"/>
      <w:start w:val="3"/>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lowerRoman"/>
      <w:start w:val="5"/>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1)"/>
      <w:numFmt w:val="lowerLetter"/>
      <w:start w:val="6"/>
    </w:lvl>
  </w:abstractNum>
  <w:abstractNum w:abstractNumId="11">
    <w:nsid w:val="79838CB2"/>
    <w:multiLevelType w:val="hybridMultilevel"/>
    <w:lvl w:ilvl="0">
      <w:lvlJc w:val="left"/>
      <w:lvlText w:val="(%1)"/>
      <w:numFmt w:val="lowerLetter"/>
      <w:start w:val="9"/>
    </w:lvl>
  </w:abstractNum>
  <w:abstractNum w:abstractNumId="12">
    <w:nsid w:val="4353D0CD"/>
    <w:multiLevelType w:val="hybridMultilevel"/>
    <w:lvl w:ilvl="0">
      <w:lvlJc w:val="left"/>
      <w:lvlText w:val="%1"/>
      <w:numFmt w:val="lowerLetter"/>
      <w:start w:val="1"/>
    </w:lvl>
    <w:lvl w:ilvl="1">
      <w:lvlJc w:val="left"/>
      <w:lvlText w:val="(%2)"/>
      <w:numFmt w:val="lowerLetter"/>
      <w:start w:val="11"/>
    </w:lvl>
  </w:abstractNum>
  <w:abstractNum w:abstractNumId="13">
    <w:nsid w:val="B03E0C6"/>
    <w:multiLevelType w:val="hybridMultilevel"/>
    <w:lvl w:ilvl="0">
      <w:lvlJc w:val="left"/>
      <w:lvlText w:val="(%1)"/>
      <w:numFmt w:val="lowerLetter"/>
      <w:start w:val="61"/>
    </w:lvl>
    <w:lvl w:ilvl="1">
      <w:lvlJc w:val="left"/>
      <w:lvlText w:val="%2"/>
      <w:numFmt w:val="lowerLetter"/>
      <w:start w:val="1"/>
    </w:lvl>
  </w:abstractNum>
  <w:abstractNum w:abstractNumId="14">
    <w:nsid w:val="189A769B"/>
    <w:multiLevelType w:val="hybridMultilevel"/>
    <w:lvl w:ilvl="0">
      <w:lvlJc w:val="left"/>
      <w:lvlText w:val="(%1)"/>
      <w:numFmt w:val="lowerLetter"/>
      <w:start w:val="14"/>
    </w:lvl>
  </w:abstractNum>
  <w:abstractNum w:abstractNumId="15">
    <w:nsid w:val="54E49EB4"/>
    <w:multiLevelType w:val="hybridMultilevel"/>
    <w:lvl w:ilvl="0">
      <w:lvlJc w:val="left"/>
      <w:lvlText w:val="(%1)"/>
      <w:numFmt w:val="lowerLetter"/>
      <w:start w:val="16"/>
    </w:lvl>
  </w:abstractNum>
  <w:abstractNum w:abstractNumId="16">
    <w:nsid w:val="71F32454"/>
    <w:multiLevelType w:val="hybridMultilevel"/>
    <w:lvl w:ilvl="0">
      <w:lvlJc w:val="left"/>
      <w:lvlText w:val="(%1)"/>
      <w:numFmt w:val="lowerLetter"/>
      <w:start w:val="20"/>
    </w:lvl>
  </w:abstractNum>
  <w:abstractNum w:abstractNumId="17">
    <w:nsid w:val="2CA88611"/>
    <w:multiLevelType w:val="hybridMultilevel"/>
    <w:lvl w:ilvl="0">
      <w:lvlJc w:val="left"/>
      <w:lvlText w:val="(%1)"/>
      <w:numFmt w:val="lowerLetter"/>
      <w:start w:val="23"/>
    </w:lvl>
  </w:abstractNum>
  <w:abstractNum w:abstractNumId="18">
    <w:nsid w:val="836C40E"/>
    <w:multiLevelType w:val="hybridMultilevel"/>
    <w:lvl w:ilvl="0">
      <w:lvlJc w:val="left"/>
      <w:lvlText w:val="(%1)"/>
      <w:numFmt w:val="lowerLetter"/>
      <w:start w:val="27"/>
    </w:lvl>
  </w:abstractNum>
  <w:abstractNum w:abstractNumId="19">
    <w:nsid w:val="2901D82"/>
    <w:multiLevelType w:val="hybridMultilevel"/>
    <w:lvl w:ilvl="0">
      <w:lvlJc w:val="left"/>
      <w:lvlText w:val="%1"/>
      <w:numFmt w:val="lowerLetter"/>
      <w:start w:val="1"/>
    </w:lvl>
    <w:lvl w:ilvl="1">
      <w:lvlJc w:val="left"/>
      <w:lvlText w:val="(%2)"/>
      <w:numFmt w:val="lowerLetter"/>
      <w:start w:val="29"/>
    </w:lvl>
  </w:abstractNum>
  <w:abstractNum w:abstractNumId="20">
    <w:nsid w:val="3A95F874"/>
    <w:multiLevelType w:val="hybridMultilevel"/>
    <w:lvl w:ilvl="0">
      <w:lvlJc w:val="left"/>
      <w:lvlText w:val="(%1)"/>
      <w:numFmt w:val="lowerLetter"/>
      <w:start w:val="24"/>
    </w:lvl>
    <w:lvl w:ilvl="1">
      <w:lvlJc w:val="left"/>
      <w:lvlText w:val="(%2)"/>
      <w:numFmt w:val="lowerLetter"/>
      <w:start w:val="30"/>
    </w:lvl>
  </w:abstractNum>
  <w:abstractNum w:abstractNumId="21">
    <w:nsid w:val="8138641"/>
    <w:multiLevelType w:val="hybridMultilevel"/>
    <w:lvl w:ilvl="0">
      <w:lvlJc w:val="left"/>
      <w:lvlText w:val="(%1)"/>
      <w:numFmt w:val="lowerLetter"/>
      <w:start w:val="32"/>
    </w:lvl>
  </w:abstractNum>
  <w:abstractNum w:abstractNumId="22">
    <w:nsid w:val="1E7FF521"/>
    <w:multiLevelType w:val="hybridMultilevel"/>
    <w:lvl w:ilvl="0">
      <w:lvlJc w:val="left"/>
      <w:lvlText w:val="%1"/>
      <w:numFmt w:val="lowerLetter"/>
      <w:start w:val="1"/>
    </w:lvl>
    <w:lvl w:ilvl="1">
      <w:lvlJc w:val="left"/>
      <w:lvlText w:val="(%2)"/>
      <w:numFmt w:val="lowerLetter"/>
      <w:start w:val="36"/>
    </w:lvl>
  </w:abstractNum>
  <w:abstractNum w:abstractNumId="23">
    <w:nsid w:val="7C3DBD3D"/>
    <w:multiLevelType w:val="hybridMultilevel"/>
    <w:lvl w:ilvl="0">
      <w:lvlJc w:val="left"/>
      <w:lvlText w:val="(%1)"/>
      <w:numFmt w:val="lowerLetter"/>
      <w:start w:val="61"/>
    </w:lvl>
    <w:lvl w:ilvl="1">
      <w:lvlJc w:val="left"/>
      <w:lvlText w:val="(%2)"/>
      <w:numFmt w:val="lowerLetter"/>
      <w:start w:val="37"/>
    </w:lvl>
  </w:abstractNum>
  <w:abstractNum w:abstractNumId="24">
    <w:nsid w:val="737B8DDC"/>
    <w:multiLevelType w:val="hybridMultilevel"/>
    <w:lvl w:ilvl="0">
      <w:lvlJc w:val="left"/>
      <w:lvlText w:val="(%1)"/>
      <w:numFmt w:val="lowerLetter"/>
      <w:start w:val="4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2"/>
    </w:lvl>
  </w:abstractNum>
  <w:abstractNum w:abstractNumId="36">
    <w:nsid w:val="7724C67E"/>
    <w:multiLevelType w:val="hybridMultilevel"/>
    <w:lvl w:ilvl="0">
      <w:lvlJc w:val="left"/>
      <w:lvlText w:val="(%1)"/>
      <w:numFmt w:val="lowerRoman"/>
      <w:start w:val="1"/>
    </w:lvl>
  </w:abstractNum>
  <w:abstractNum w:abstractNumId="37">
    <w:nsid w:val="5C482A9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2021-02-02T08:18:56Z</dcterms:created>
  <dcterms:modified xsi:type="dcterms:W3CDTF">2021-02-02T08:18:56Z</dcterms:modified>
</cp:coreProperties>
</file>