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Agrify Corporation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76 Treble Cove Road, Building 3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Billerica, Massachusetts 01862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February 11, 2022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 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F.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ectPr>
          <w:pgSz w:w="11900" w:h="16838" w:orient="portrait"/>
          <w:cols w:equalWidth="0" w:num="1">
            <w:col w:w="11240"/>
          </w:cols>
          <w:pgMar w:left="320" w:top="229" w:right="339" w:bottom="1440" w:gutter="0" w:footer="0" w:header="0"/>
        </w:sect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Agrify Corporation (the “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Company</w:t>
      </w:r>
      <w:r>
        <w:rPr>
          <w:rFonts w:ascii="Arial" w:cs="Arial" w:eastAsia="Arial" w:hAnsi="Arial"/>
          <w:sz w:val="17"/>
          <w:szCs w:val="17"/>
          <w:color w:val="auto"/>
        </w:rPr>
        <w:t>”)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Registration Statement on Form S-3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 No. 333-262603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Request for Acceleration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60" w:space="320"/>
            <w:col w:w="10660"/>
          </w:cols>
          <w:pgMar w:left="320" w:top="229" w:right="339" w:bottom="1440" w:gutter="0" w:footer="0" w:header="0"/>
          <w:type w:val="continuous"/>
        </w:sectPr>
      </w:pP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right="20" w:firstLine="648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 accordance with Rule 461 under the Securities Act of 1933, as amended, the Company respectfully requests acceleration by the Securities and Exchange Commission (the “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</w:t>
      </w:r>
      <w:r>
        <w:rPr>
          <w:rFonts w:ascii="Arial" w:cs="Arial" w:eastAsia="Arial" w:hAnsi="Arial"/>
          <w:sz w:val="18"/>
          <w:szCs w:val="18"/>
          <w:color w:val="auto"/>
        </w:rPr>
        <w:t>”) of the effective date of the Registration Statement on Form S-3 (File No. 333-262603) (the “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Registration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Statement</w:t>
      </w:r>
      <w:r>
        <w:rPr>
          <w:rFonts w:ascii="Arial" w:cs="Arial" w:eastAsia="Arial" w:hAnsi="Arial"/>
          <w:sz w:val="18"/>
          <w:szCs w:val="18"/>
          <w:color w:val="auto"/>
        </w:rPr>
        <w:t>”) of the Company. The Company respectfully requests that the Registration Statement become effective as of 4:30 p.m., Washington, D.C. time,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>on February 11, 2022, or as soon as practicable thereafter.</w:t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ind w:right="320"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Company respectfully requests that it be notified of such effectiveness by a telephone call to Robert A. Petitt of Burns &amp; Levinson LLP at (617) 345-3361 and that such effectiveness also be confirmed in writing.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right="120"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If you have any further questions or comments, or if you require any additional information, please contact the undersigned by telephone at (351) 777-6585 or our attorney, Robert A. Petitt at the number above. Thank you for your assistance.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6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AGRIFY CORPORATION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tbl>
      <w:tblPr>
        <w:tblLayout w:type="fixed"/>
        <w:tblInd w:w="61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4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Timothy R. Oakes</w:t>
            </w:r>
          </w:p>
        </w:tc>
      </w:tr>
      <w:tr>
        <w:trPr>
          <w:trHeight w:val="202"/>
        </w:trPr>
        <w:tc>
          <w:tcPr>
            <w:tcW w:w="580" w:type="dxa"/>
            <w:vAlign w:val="bottom"/>
          </w:tcPr>
          <w:p>
            <w:pPr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480" w:type="dxa"/>
            <w:vAlign w:val="bottom"/>
          </w:tcPr>
          <w:p>
            <w:pPr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Timothy R. Oakes</w:t>
            </w:r>
          </w:p>
        </w:tc>
      </w:tr>
      <w:tr>
        <w:trPr>
          <w:trHeight w:val="230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Chief Financial Officer</w:t>
            </w:r>
          </w:p>
        </w:tc>
      </w:tr>
    </w:tbl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both"/>
        <w:ind w:left="660" w:right="7260" w:hanging="652"/>
        <w:spacing w:after="0" w:line="342" w:lineRule="auto"/>
        <w:tabs>
          <w:tab w:leader="none" w:pos="660" w:val="left"/>
        </w:tabs>
        <w:numPr>
          <w:ilvl w:val="0"/>
          <w:numId w:val="1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Frank A. Segall, Esq., Burns &amp; Levinson LLP Robert A. Petitt, Esq., Burns &amp; Levinson LLP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567690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229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2022-03-14T23:09:21Z</dcterms:created>
  <dcterms:modified xsi:type="dcterms:W3CDTF">2022-03-14T23:09:21Z</dcterms:modified>
</cp:coreProperties>
</file>