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Chang Raymond Nobu</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01/27/2021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617"/>
        <w:spacing w:after="0" w:line="332" w:lineRule="auto"/>
        <w:rPr>
          <w:sz w:val="20"/>
          <w:szCs w:val="20"/>
          <w:color w:val="auto"/>
        </w:rPr>
      </w:pPr>
      <w:r>
        <w:rPr>
          <w:rFonts w:ascii="Times New Roman" w:cs="Times New Roman" w:eastAsia="Times New Roman" w:hAnsi="Times New Roman"/>
          <w:sz w:val="18"/>
          <w:szCs w:val="18"/>
          <w:color w:val="0000FF"/>
        </w:rPr>
        <w:t>101 MIDDLESEX TURNPIKE, SUITE 6, PMB 326</w:t>
      </w:r>
    </w:p>
    <w:p>
      <w:pPr>
        <w:spacing w:after="0" w:line="28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BURLINGTON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01803</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8"/>
          <w:szCs w:val="28"/>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83"/>
        <w:spacing w:after="0"/>
        <w:rPr>
          <w:sz w:val="20"/>
          <w:szCs w:val="20"/>
          <w:color w:val="auto"/>
        </w:rPr>
      </w:pPr>
      <w:r>
        <w:rPr>
          <w:rFonts w:ascii="Times New Roman" w:cs="Times New Roman" w:eastAsia="Times New Roman" w:hAnsi="Times New Roman"/>
          <w:sz w:val="20"/>
          <w:szCs w:val="20"/>
          <w:color w:val="0000FF"/>
        </w:rPr>
        <w:t>CEO &amp; Chairman of the BOD</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419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4198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400" w:type="dxa"/>
            <w:vAlign w:val="bottom"/>
            <w:gridSpan w:val="3"/>
          </w:tcPr>
          <w:p>
            <w:pPr>
              <w:ind w:left="22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9"/>
              </w:rPr>
              <w:t>Beneficially Owned (Instr.</w:t>
            </w:r>
          </w:p>
        </w:tc>
        <w:tc>
          <w:tcPr>
            <w:tcW w:w="1400" w:type="dxa"/>
            <w:vAlign w:val="bottom"/>
            <w:gridSpan w:val="3"/>
          </w:tcPr>
          <w:p>
            <w:pPr>
              <w:ind w:left="22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400" w:type="dxa"/>
            <w:vAlign w:val="bottom"/>
            <w:gridSpan w:val="3"/>
          </w:tcPr>
          <w:p>
            <w:pPr>
              <w:ind w:left="22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gridSpan w:val="3"/>
          </w:tcPr>
          <w:p>
            <w:pPr>
              <w:ind w:left="22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rPr>
              <w:t>471,727</w:t>
            </w:r>
          </w:p>
        </w:tc>
        <w:tc>
          <w:tcPr>
            <w:tcW w:w="800" w:type="dxa"/>
            <w:vAlign w:val="bottom"/>
            <w:gridSpan w:val="2"/>
            <w:vMerge w:val="restart"/>
          </w:tcPr>
          <w:p>
            <w:pPr>
              <w:ind w:left="70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RTC3 2020 Irrevocable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Family Trust</w:t>
            </w:r>
            <w:r>
              <w:rPr>
                <w:rFonts w:ascii="Times New Roman" w:cs="Times New Roman" w:eastAsia="Times New Roman" w:hAnsi="Times New Roman"/>
                <w:sz w:val="25"/>
                <w:szCs w:val="25"/>
                <w:color w:val="008000"/>
                <w:vertAlign w:val="superscript"/>
              </w:rPr>
              <w:t>(1)</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gridSpan w:val="2"/>
            <w:vMerge w:val="continue"/>
          </w:tcPr>
          <w:p>
            <w:pPr>
              <w:spacing w:after="0"/>
              <w:rPr>
                <w:sz w:val="16"/>
                <w:szCs w:val="16"/>
                <w:color w:val="auto"/>
              </w:rPr>
            </w:pPr>
          </w:p>
        </w:tc>
        <w:tc>
          <w:tcPr>
            <w:tcW w:w="148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129,548</w:t>
            </w:r>
          </w:p>
        </w:tc>
        <w:tc>
          <w:tcPr>
            <w:tcW w:w="80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NXT3J Capital, LLC</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140" w:type="dxa"/>
            <w:vAlign w:val="bottom"/>
            <w:tcBorders>
              <w:top w:val="single" w:sz="8" w:color="2C2C2C"/>
            </w:tcBorders>
            <w:gridSpan w:val="6"/>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6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gridSpan w:val="2"/>
          </w:tcPr>
          <w:p>
            <w:pPr>
              <w:ind w:left="4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900" w:type="dxa"/>
            <w:vAlign w:val="bottom"/>
          </w:tcPr>
          <w:p>
            <w:pPr>
              <w:spacing w:after="0"/>
              <w:rPr>
                <w:sz w:val="13"/>
                <w:szCs w:val="13"/>
                <w:color w:val="auto"/>
              </w:rPr>
            </w:pPr>
          </w:p>
        </w:tc>
        <w:tc>
          <w:tcPr>
            <w:tcW w:w="800" w:type="dxa"/>
            <w:vAlign w:val="bottom"/>
            <w:gridSpan w:val="2"/>
          </w:tcPr>
          <w:p>
            <w:pPr>
              <w:ind w:left="40"/>
              <w:spacing w:after="0" w:line="159" w:lineRule="exact"/>
              <w:rPr>
                <w:sz w:val="20"/>
                <w:szCs w:val="20"/>
                <w:color w:val="auto"/>
              </w:rPr>
            </w:pPr>
            <w:r>
              <w:rPr>
                <w:rFonts w:ascii="Arial" w:cs="Arial" w:eastAsia="Arial" w:hAnsi="Arial"/>
                <w:sz w:val="15"/>
                <w:szCs w:val="15"/>
                <w:b w:val="1"/>
                <w:bCs w:val="1"/>
                <w:color w:val="auto"/>
              </w:rPr>
              <w:t>Number</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90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of</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vMerge w:val="continue"/>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220" w:type="dxa"/>
            <w:vAlign w:val="bottom"/>
            <w:gridSpan w:val="2"/>
          </w:tcPr>
          <w:p>
            <w:pPr>
              <w:jc w:val="center"/>
              <w:ind w:left="171"/>
              <w:spacing w:after="0"/>
              <w:rPr>
                <w:sz w:val="20"/>
                <w:szCs w:val="20"/>
                <w:color w:val="auto"/>
              </w:rPr>
            </w:pPr>
            <w:r>
              <w:rPr>
                <w:rFonts w:ascii="Times New Roman" w:cs="Times New Roman" w:eastAsia="Times New Roman" w:hAnsi="Times New Roman"/>
                <w:sz w:val="13"/>
                <w:szCs w:val="13"/>
                <w:color w:val="008000"/>
                <w:w w:val="92"/>
              </w:rPr>
              <w:t>(3)</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05/06/2030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337,715</w:t>
            </w:r>
          </w:p>
        </w:tc>
        <w:tc>
          <w:tcPr>
            <w:tcW w:w="40" w:type="dxa"/>
            <w:vAlign w:val="bottom"/>
          </w:tcPr>
          <w:p>
            <w:pPr>
              <w:spacing w:after="0"/>
              <w:rPr>
                <w:sz w:val="24"/>
                <w:szCs w:val="24"/>
                <w:color w:val="auto"/>
              </w:rPr>
            </w:pPr>
          </w:p>
        </w:tc>
        <w:tc>
          <w:tcPr>
            <w:tcW w:w="940" w:type="dxa"/>
            <w:vAlign w:val="bottom"/>
            <w:gridSpan w:val="2"/>
          </w:tcPr>
          <w:p>
            <w:pPr>
              <w:jc w:val="right"/>
              <w:ind w:right="231"/>
              <w:spacing w:after="0"/>
              <w:rPr>
                <w:sz w:val="20"/>
                <w:szCs w:val="20"/>
                <w:color w:val="auto"/>
              </w:rPr>
            </w:pPr>
            <w:r>
              <w:rPr>
                <w:rFonts w:ascii="Times New Roman" w:cs="Times New Roman" w:eastAsia="Times New Roman" w:hAnsi="Times New Roman"/>
                <w:sz w:val="20"/>
                <w:szCs w:val="20"/>
                <w:color w:val="0000FF"/>
              </w:rPr>
              <w:t>2.28</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220" w:type="dxa"/>
            <w:vAlign w:val="bottom"/>
            <w:gridSpan w:val="2"/>
          </w:tcPr>
          <w:p>
            <w:pPr>
              <w:jc w:val="center"/>
              <w:ind w:left="171"/>
              <w:spacing w:after="0"/>
              <w:rPr>
                <w:sz w:val="20"/>
                <w:szCs w:val="20"/>
                <w:color w:val="auto"/>
              </w:rPr>
            </w:pPr>
            <w:r>
              <w:rPr>
                <w:rFonts w:ascii="Times New Roman" w:cs="Times New Roman" w:eastAsia="Times New Roman" w:hAnsi="Times New Roman"/>
                <w:sz w:val="13"/>
                <w:szCs w:val="13"/>
                <w:color w:val="008000"/>
                <w:w w:val="92"/>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07/20/2030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14,267</w:t>
            </w:r>
          </w:p>
        </w:tc>
        <w:tc>
          <w:tcPr>
            <w:tcW w:w="40" w:type="dxa"/>
            <w:vAlign w:val="bottom"/>
          </w:tcPr>
          <w:p>
            <w:pPr>
              <w:spacing w:after="0"/>
              <w:rPr>
                <w:sz w:val="24"/>
                <w:szCs w:val="24"/>
                <w:color w:val="auto"/>
              </w:rPr>
            </w:pPr>
          </w:p>
        </w:tc>
        <w:tc>
          <w:tcPr>
            <w:tcW w:w="940" w:type="dxa"/>
            <w:vAlign w:val="bottom"/>
            <w:gridSpan w:val="2"/>
          </w:tcPr>
          <w:p>
            <w:pPr>
              <w:jc w:val="right"/>
              <w:ind w:right="231"/>
              <w:spacing w:after="0"/>
              <w:rPr>
                <w:sz w:val="20"/>
                <w:szCs w:val="20"/>
                <w:color w:val="auto"/>
              </w:rPr>
            </w:pPr>
            <w:r>
              <w:rPr>
                <w:rFonts w:ascii="Times New Roman" w:cs="Times New Roman" w:eastAsia="Times New Roman" w:hAnsi="Times New Roman"/>
                <w:sz w:val="20"/>
                <w:szCs w:val="20"/>
                <w:color w:val="0000FF"/>
              </w:rPr>
              <w:t>2.28</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220" w:type="dxa"/>
            <w:vAlign w:val="bottom"/>
            <w:gridSpan w:val="2"/>
          </w:tcPr>
          <w:p>
            <w:pPr>
              <w:jc w:val="center"/>
              <w:ind w:left="171"/>
              <w:spacing w:after="0"/>
              <w:rPr>
                <w:sz w:val="20"/>
                <w:szCs w:val="20"/>
                <w:color w:val="auto"/>
              </w:rPr>
            </w:pPr>
            <w:r>
              <w:rPr>
                <w:rFonts w:ascii="Times New Roman" w:cs="Times New Roman" w:eastAsia="Times New Roman" w:hAnsi="Times New Roman"/>
                <w:sz w:val="13"/>
                <w:szCs w:val="13"/>
                <w:color w:val="008000"/>
                <w:w w:val="92"/>
              </w:rPr>
              <w:t>(5)</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10/19/2030</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264,823</w:t>
            </w:r>
          </w:p>
        </w:tc>
        <w:tc>
          <w:tcPr>
            <w:tcW w:w="40" w:type="dxa"/>
            <w:vAlign w:val="bottom"/>
          </w:tcPr>
          <w:p>
            <w:pPr>
              <w:spacing w:after="0"/>
              <w:rPr>
                <w:sz w:val="24"/>
                <w:szCs w:val="24"/>
                <w:color w:val="auto"/>
              </w:rPr>
            </w:pPr>
          </w:p>
        </w:tc>
        <w:tc>
          <w:tcPr>
            <w:tcW w:w="940" w:type="dxa"/>
            <w:vAlign w:val="bottom"/>
            <w:gridSpan w:val="2"/>
          </w:tcPr>
          <w:p>
            <w:pPr>
              <w:jc w:val="right"/>
              <w:ind w:right="231"/>
              <w:spacing w:after="0"/>
              <w:rPr>
                <w:sz w:val="20"/>
                <w:szCs w:val="20"/>
                <w:color w:val="auto"/>
              </w:rPr>
            </w:pPr>
            <w:r>
              <w:rPr>
                <w:rFonts w:ascii="Times New Roman" w:cs="Times New Roman" w:eastAsia="Times New Roman" w:hAnsi="Times New Roman"/>
                <w:sz w:val="20"/>
                <w:szCs w:val="20"/>
                <w:color w:val="0000FF"/>
              </w:rPr>
              <w:t>4.86</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RTC3 2020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Warrants</w:t>
            </w:r>
          </w:p>
        </w:tc>
        <w:tc>
          <w:tcPr>
            <w:tcW w:w="1220" w:type="dxa"/>
            <w:vAlign w:val="bottom"/>
            <w:gridSpan w:val="2"/>
          </w:tcPr>
          <w:p>
            <w:pPr>
              <w:jc w:val="center"/>
              <w:ind w:left="171"/>
              <w:spacing w:after="0"/>
              <w:rPr>
                <w:sz w:val="20"/>
                <w:szCs w:val="20"/>
                <w:color w:val="auto"/>
              </w:rPr>
            </w:pPr>
            <w:r>
              <w:rPr>
                <w:rFonts w:ascii="Times New Roman" w:cs="Times New Roman" w:eastAsia="Times New Roman" w:hAnsi="Times New Roman"/>
                <w:sz w:val="15"/>
                <w:szCs w:val="15"/>
                <w:color w:val="0000FF"/>
              </w:rPr>
              <w:t>09/18/2020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09/18/2025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126,438</w:t>
            </w:r>
          </w:p>
        </w:tc>
        <w:tc>
          <w:tcPr>
            <w:tcW w:w="40" w:type="dxa"/>
            <w:vAlign w:val="bottom"/>
          </w:tcPr>
          <w:p>
            <w:pPr>
              <w:spacing w:after="0"/>
              <w:rPr>
                <w:sz w:val="20"/>
                <w:szCs w:val="20"/>
                <w:color w:val="auto"/>
              </w:rPr>
            </w:pPr>
          </w:p>
        </w:tc>
        <w:tc>
          <w:tcPr>
            <w:tcW w:w="940" w:type="dxa"/>
            <w:vAlign w:val="bottom"/>
            <w:gridSpan w:val="2"/>
          </w:tcPr>
          <w:p>
            <w:pPr>
              <w:jc w:val="right"/>
              <w:ind w:right="231"/>
              <w:spacing w:after="0"/>
              <w:rPr>
                <w:sz w:val="20"/>
                <w:szCs w:val="20"/>
                <w:color w:val="auto"/>
              </w:rPr>
            </w:pPr>
            <w:r>
              <w:rPr>
                <w:rFonts w:ascii="Times New Roman" w:cs="Times New Roman" w:eastAsia="Times New Roman" w:hAnsi="Times New Roman"/>
                <w:sz w:val="20"/>
                <w:szCs w:val="20"/>
                <w:color w:val="0000FF"/>
              </w:rPr>
              <w:t>0.02</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Irrevocable</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Family Trust</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220" w:type="dxa"/>
            <w:vAlign w:val="bottom"/>
            <w:gridSpan w:val="2"/>
            <w:vMerge w:val="restart"/>
          </w:tcPr>
          <w:p>
            <w:pPr>
              <w:jc w:val="center"/>
              <w:ind w:left="171"/>
              <w:spacing w:after="0"/>
              <w:rPr>
                <w:sz w:val="20"/>
                <w:szCs w:val="20"/>
                <w:color w:val="auto"/>
              </w:rPr>
            </w:pPr>
            <w:r>
              <w:rPr>
                <w:rFonts w:ascii="Times New Roman" w:cs="Times New Roman" w:eastAsia="Times New Roman" w:hAnsi="Times New Roman"/>
                <w:sz w:val="13"/>
                <w:szCs w:val="13"/>
                <w:color w:val="008000"/>
                <w:w w:val="92"/>
              </w:rPr>
              <w:t>(6)</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05/06/2030</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21,712</w:t>
            </w:r>
          </w:p>
        </w:tc>
        <w:tc>
          <w:tcPr>
            <w:tcW w:w="40" w:type="dxa"/>
            <w:vAlign w:val="bottom"/>
          </w:tcPr>
          <w:p>
            <w:pPr>
              <w:spacing w:after="0"/>
              <w:rPr>
                <w:sz w:val="24"/>
                <w:szCs w:val="24"/>
                <w:color w:val="auto"/>
              </w:rPr>
            </w:pPr>
          </w:p>
        </w:tc>
        <w:tc>
          <w:tcPr>
            <w:tcW w:w="940" w:type="dxa"/>
            <w:vAlign w:val="bottom"/>
            <w:gridSpan w:val="2"/>
            <w:vMerge w:val="restart"/>
          </w:tcPr>
          <w:p>
            <w:pPr>
              <w:jc w:val="right"/>
              <w:ind w:right="231"/>
              <w:spacing w:after="0"/>
              <w:rPr>
                <w:sz w:val="20"/>
                <w:szCs w:val="20"/>
                <w:color w:val="auto"/>
              </w:rPr>
            </w:pPr>
            <w:r>
              <w:rPr>
                <w:rFonts w:ascii="Times New Roman" w:cs="Times New Roman" w:eastAsia="Times New Roman" w:hAnsi="Times New Roman"/>
                <w:sz w:val="20"/>
                <w:szCs w:val="20"/>
                <w:color w:val="0000FF"/>
              </w:rPr>
              <w:t>2.28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Raymond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Chang, Jr.</w:t>
            </w:r>
            <w:r>
              <w:rPr>
                <w:rFonts w:ascii="Times New Roman" w:cs="Times New Roman" w:eastAsia="Times New Roman" w:hAnsi="Times New Roman"/>
                <w:sz w:val="25"/>
                <w:szCs w:val="25"/>
                <w:color w:val="008000"/>
                <w:vertAlign w:val="superscript"/>
              </w:rPr>
              <w:t>(6)</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190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220" w:type="dxa"/>
            <w:vAlign w:val="bottom"/>
            <w:gridSpan w:val="2"/>
            <w:vMerge w:val="restart"/>
          </w:tcPr>
          <w:p>
            <w:pPr>
              <w:jc w:val="center"/>
              <w:ind w:left="171"/>
              <w:spacing w:after="0"/>
              <w:rPr>
                <w:sz w:val="20"/>
                <w:szCs w:val="20"/>
                <w:color w:val="auto"/>
              </w:rPr>
            </w:pPr>
            <w:r>
              <w:rPr>
                <w:rFonts w:ascii="Times New Roman" w:cs="Times New Roman" w:eastAsia="Times New Roman" w:hAnsi="Times New Roman"/>
                <w:sz w:val="13"/>
                <w:szCs w:val="13"/>
                <w:color w:val="008000"/>
                <w:w w:val="92"/>
              </w:rPr>
              <w:t>(7)</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10/19/2030</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Common Stock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18,878</w:t>
            </w:r>
          </w:p>
        </w:tc>
        <w:tc>
          <w:tcPr>
            <w:tcW w:w="40" w:type="dxa"/>
            <w:vAlign w:val="bottom"/>
          </w:tcPr>
          <w:p>
            <w:pPr>
              <w:spacing w:after="0"/>
              <w:rPr>
                <w:sz w:val="24"/>
                <w:szCs w:val="24"/>
                <w:color w:val="auto"/>
              </w:rPr>
            </w:pPr>
          </w:p>
        </w:tc>
        <w:tc>
          <w:tcPr>
            <w:tcW w:w="940" w:type="dxa"/>
            <w:vAlign w:val="bottom"/>
            <w:gridSpan w:val="2"/>
            <w:vMerge w:val="restart"/>
          </w:tcPr>
          <w:p>
            <w:pPr>
              <w:jc w:val="right"/>
              <w:ind w:right="231"/>
              <w:spacing w:after="0"/>
              <w:rPr>
                <w:sz w:val="20"/>
                <w:szCs w:val="20"/>
                <w:color w:val="auto"/>
              </w:rPr>
            </w:pPr>
            <w:r>
              <w:rPr>
                <w:rFonts w:ascii="Times New Roman" w:cs="Times New Roman" w:eastAsia="Times New Roman" w:hAnsi="Times New Roman"/>
                <w:sz w:val="20"/>
                <w:szCs w:val="20"/>
                <w:color w:val="0000FF"/>
              </w:rPr>
              <w:t>4.86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Raymond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Chang, Jr.</w:t>
            </w:r>
            <w:r>
              <w:rPr>
                <w:rFonts w:ascii="Times New Roman" w:cs="Times New Roman" w:eastAsia="Times New Roman" w:hAnsi="Times New Roman"/>
                <w:sz w:val="25"/>
                <w:szCs w:val="25"/>
                <w:color w:val="008000"/>
                <w:vertAlign w:val="superscript"/>
              </w:rPr>
              <w:t>(7)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-3521710</wp:posOffset>
            </wp:positionV>
            <wp:extent cx="6946900" cy="3525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525520"/>
                    </a:xfrm>
                    <a:prstGeom prst="rect">
                      <a:avLst/>
                    </a:prstGeom>
                    <a:noFill/>
                  </pic:spPr>
                </pic:pic>
              </a:graphicData>
            </a:graphic>
          </wp:anchor>
        </w:drawing>
      </w:r>
    </w:p>
    <w:p>
      <w:pPr>
        <w:spacing w:after="0" w:line="9"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100" w:firstLine="5"/>
        <w:spacing w:after="0" w:line="262" w:lineRule="auto"/>
        <w:tabs>
          <w:tab w:leader="none" w:pos="19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129,548 shares of common stock issuable upon the automatic conversion of a convertible promissory note immediately prior to the consummation of an initial public offering held by RTC3 2020 Irrevocable Family Trust, of which Mr. Chang retains the authority to remove the independent trustee, and may be deemed to be indirectly beneficially owned by Mr. Chang. Mr. Chang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17" w:lineRule="exact"/>
        <w:rPr>
          <w:rFonts w:ascii="Times New Roman" w:cs="Times New Roman" w:eastAsia="Times New Roman" w:hAnsi="Times New Roman"/>
          <w:sz w:val="14"/>
          <w:szCs w:val="14"/>
          <w:color w:val="008000"/>
        </w:rPr>
      </w:pPr>
    </w:p>
    <w:p>
      <w:pPr>
        <w:jc w:val="both"/>
        <w:ind w:left="40" w:right="12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common stock issuable upon the automatic conversion of a convertible promissory note immediately prior to the consummation of an initial public offering held by NXT3J Capital, LLC, an entity controlled by Mr. Chang, and may be deemed to be indirectly beneficially owned by Mr. Chang. Mr. Chang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33" w:lineRule="exact"/>
        <w:rPr>
          <w:rFonts w:ascii="Times New Roman" w:cs="Times New Roman" w:eastAsia="Times New Roman" w:hAnsi="Times New Roman"/>
          <w:sz w:val="15"/>
          <w:szCs w:val="15"/>
          <w:color w:val="008000"/>
        </w:rPr>
      </w:pPr>
    </w:p>
    <w:p>
      <w:pPr>
        <w:ind w:left="40" w:right="5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90,719 of the options were fully vested on the grant date and the remaining stock options vest monthly over 24 to 48 months, and 153,223 shares are subject to accelerated vesting in the event of a change of control transaction or initial public offering.</w:t>
      </w:r>
    </w:p>
    <w:p>
      <w:pPr>
        <w:spacing w:after="0" w:line="17" w:lineRule="exact"/>
        <w:rPr>
          <w:rFonts w:ascii="Times New Roman" w:cs="Times New Roman" w:eastAsia="Times New Roman" w:hAnsi="Times New Roman"/>
          <w:sz w:val="15"/>
          <w:szCs w:val="15"/>
          <w:color w:val="008000"/>
        </w:rPr>
      </w:pPr>
    </w:p>
    <w:p>
      <w:pPr>
        <w:ind w:left="40" w:right="400" w:firstLine="5"/>
        <w:spacing w:after="0" w:line="290" w:lineRule="auto"/>
        <w:tabs>
          <w:tab w:leader="none" w:pos="19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25% of the options will vest on 7/20/21 and the balance vests in 36 equal monthly installments thereafter. This option grant provides for accelerated vesting in the event of a change of control transaction or an initial public offering under which 50% of such options (assuming none have previously vested) will vest immediately prior to such event.</w:t>
      </w:r>
    </w:p>
    <w:p>
      <w:pPr>
        <w:spacing w:after="0" w:line="1" w:lineRule="exact"/>
        <w:rPr>
          <w:rFonts w:ascii="Times New Roman" w:cs="Times New Roman" w:eastAsia="Times New Roman" w:hAnsi="Times New Roman"/>
          <w:sz w:val="14"/>
          <w:szCs w:val="14"/>
          <w:color w:val="008000"/>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options will vest on 10/19/21 and the balance vests in 36 equal monthly installments thereafter. This option grant provides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securities held by Raymond Chang, Jr., Mr. Chang's son. 8,444 of the options were fully vested on the grant date and the remaining stock options vest monthly over</w:t>
      </w:r>
    </w:p>
    <w:p>
      <w:pPr>
        <w:spacing w:after="0" w:line="8" w:lineRule="exact"/>
        <w:rPr>
          <w:rFonts w:ascii="Times New Roman" w:cs="Times New Roman" w:eastAsia="Times New Roman" w:hAnsi="Times New Roman"/>
          <w:sz w:val="15"/>
          <w:szCs w:val="15"/>
          <w:color w:val="008000"/>
        </w:rPr>
      </w:pPr>
    </w:p>
    <w:p>
      <w:pPr>
        <w:ind w:left="200" w:hanging="195"/>
        <w:spacing w:after="0"/>
        <w:tabs>
          <w:tab w:leader="none" w:pos="20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to 48 months, and 9,918 shares are subject to accelerated vesting in the event of a change of control transaction or initial public offering.</w:t>
      </w:r>
    </w:p>
    <w:p>
      <w:pPr>
        <w:spacing w:after="0" w:line="36" w:lineRule="exact"/>
        <w:rPr>
          <w:rFonts w:ascii="Times New Roman" w:cs="Times New Roman" w:eastAsia="Times New Roman" w:hAnsi="Times New Roman"/>
          <w:sz w:val="15"/>
          <w:szCs w:val="15"/>
          <w:color w:val="008000"/>
        </w:rPr>
      </w:pPr>
    </w:p>
    <w:p>
      <w:pPr>
        <w:ind w:right="20" w:firstLine="5"/>
        <w:spacing w:after="0" w:line="244" w:lineRule="auto"/>
        <w:tabs>
          <w:tab w:leader="none" w:pos="150" w:val="left"/>
        </w:tabs>
        <w:numPr>
          <w:ilvl w:val="0"/>
          <w:numId w:val="7"/>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securities held by Raymond Chang, Jr., Mr. Chang's son. 25% of the options will vest on 10/19/21 and the balance vests in 36 equal monthly installments thereafter. This option grant provides for accelerated vesting in the event of a change of control transaction or an initial public offering under which 50% of such options (assuming none have previously vested) will vest immediately prior to such event.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Raymond Chang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01/27/2021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6"/>
    </w:lvl>
  </w:abstractNum>
  <w:abstractNum w:abstractNumId="5">
    <w:nsid w:val="41B71EFB"/>
    <w:multiLevelType w:val="hybridMultilevel"/>
    <w:lvl w:ilvl="0">
      <w:lvlJc w:val="left"/>
      <w:lvlText w:val="%1"/>
      <w:numFmt w:val="decimal"/>
      <w:start w:val="24"/>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31402"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2021-01-27T20:12:34Z</dcterms:created>
  <dcterms:modified xsi:type="dcterms:W3CDTF">2021-01-27T20:12:34Z</dcterms:modified>
</cp:coreProperties>
</file>