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 305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Agrify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2468 Industrial Drive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Troy, MI 48084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18,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6583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583680"/>
                    </a:xfrm>
                    <a:prstGeom prst="rect">
                      <a:avLst/>
                    </a:prstGeom>
                    <a:noFill/>
                  </pic:spPr>
                </pic:pic>
              </a:graphicData>
            </a:graphic>
          </wp:anchor>
        </w:drawing>
      </w:r>
    </w:p>
    <w:p>
      <w:pPr>
        <w:spacing w:after="0" w:line="165" w:lineRule="exact"/>
        <w:rPr>
          <w:sz w:val="20"/>
          <w:szCs w:val="20"/>
          <w:color w:val="auto"/>
        </w:rPr>
      </w:pPr>
    </w:p>
    <w:p>
      <w:pPr>
        <w:ind w:left="920" w:right="814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Raymond Nobu Chang</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920" w:right="906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PF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95" w:lineRule="auto"/>
        <w:tabs>
          <w:tab w:leader="none" w:pos="2600" w:val="left"/>
        </w:tabs>
        <w:numPr>
          <w:ilvl w:val="2"/>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14,970</w:t>
      </w:r>
      <w:r>
        <w:rPr>
          <w:rFonts w:ascii="Times New Roman" w:cs="Times New Roman" w:eastAsia="Times New Roman" w:hAnsi="Times New Roman"/>
          <w:sz w:val="29"/>
          <w:szCs w:val="29"/>
          <w:color w:val="auto"/>
          <w:vertAlign w:val="superscript"/>
        </w:rPr>
        <w:t>(1)</w:t>
      </w:r>
    </w:p>
    <w:p>
      <w:pPr>
        <w:spacing w:after="0" w:line="7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7,581,910</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6"/>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line="276" w:lineRule="exact"/>
              <w:rPr>
                <w:sz w:val="20"/>
                <w:szCs w:val="20"/>
                <w:color w:val="auto"/>
              </w:rPr>
            </w:pPr>
            <w:r>
              <w:rPr>
                <w:rFonts w:ascii="Times New Roman" w:cs="Times New Roman" w:eastAsia="Times New Roman" w:hAnsi="Times New Roman"/>
                <w:sz w:val="18"/>
                <w:szCs w:val="18"/>
                <w:color w:val="auto"/>
              </w:rPr>
              <w:t>14,970</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600" w:right="6680" w:hanging="774"/>
        <w:spacing w:after="0" w:line="295" w:lineRule="auto"/>
        <w:tabs>
          <w:tab w:leader="none" w:pos="260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7,581,910</w:t>
      </w:r>
      <w:r>
        <w:rPr>
          <w:rFonts w:ascii="Times New Roman" w:cs="Times New Roman" w:eastAsia="Times New Roman" w:hAnsi="Times New Roman"/>
          <w:sz w:val="29"/>
          <w:szCs w:val="29"/>
          <w:color w:val="auto"/>
          <w:vertAlign w:val="superscript"/>
        </w:rPr>
        <w:t>(2)</w:t>
      </w:r>
    </w:p>
    <w:p>
      <w:pPr>
        <w:spacing w:after="0" w:line="105"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7,596,880</w:t>
      </w:r>
      <w:r>
        <w:rPr>
          <w:rFonts w:ascii="Times New Roman" w:cs="Times New Roman" w:eastAsia="Times New Roman" w:hAnsi="Times New Roman"/>
          <w:sz w:val="29"/>
          <w:szCs w:val="29"/>
          <w:color w:val="auto"/>
          <w:vertAlign w:val="superscript"/>
        </w:rPr>
        <w:t>(2)</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(3)</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393" w:lineRule="exact"/>
        <w:rPr>
          <w:rFonts w:ascii="Times New Roman" w:cs="Times New Roman" w:eastAsia="Times New Roman" w:hAnsi="Times New Roman"/>
          <w:sz w:val="18"/>
          <w:szCs w:val="18"/>
          <w:b w:val="1"/>
          <w:bCs w:val="1"/>
          <w:color w:val="auto"/>
        </w:rPr>
      </w:pPr>
    </w:p>
    <w:p>
      <w:pPr>
        <w:jc w:val="both"/>
        <w:ind w:left="340" w:hanging="332"/>
        <w:spacing w:after="0" w:line="25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38 shares of common stock, par value $0.001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Agrify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held individually, (ii) up to 423 shares of Common Stock issuable upon exercise of stock options held by Mr. Chang that are exercisable within 60 days of the date hereof, and (iii) up to 14,508 shares of Common Stock issuable upon vesting and settlement of restricted stock units held by Mr. Chang within 60 days of the date hereof. Does not include 8,009 shares of Common Stock underlying time-based restricted stock units that will not vest within 60 days of the day hereof granted to Mr. Chang under the Agrify Corporation 2022 Omnibus Equity Incentive Plan, as amended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382,658 shares of Common Stock held by RTC3 2020 Irrevocable Trust (“</w:t>
      </w:r>
      <w:r>
        <w:rPr>
          <w:rFonts w:ascii="Times New Roman" w:cs="Times New Roman" w:eastAsia="Times New Roman" w:hAnsi="Times New Roman"/>
          <w:sz w:val="18"/>
          <w:szCs w:val="18"/>
          <w:i w:val="1"/>
          <w:iCs w:val="1"/>
          <w:color w:val="auto"/>
        </w:rPr>
        <w:t>RTC3</w:t>
      </w:r>
      <w:r>
        <w:rPr>
          <w:rFonts w:ascii="Times New Roman" w:cs="Times New Roman" w:eastAsia="Times New Roman" w:hAnsi="Times New Roman"/>
          <w:sz w:val="18"/>
          <w:szCs w:val="18"/>
          <w:color w:val="auto"/>
        </w:rPr>
        <w:t>”), of which Mr. Chang retains the ability to remove the independent trustee, (ii) warrants to purchase 15,417 shares of Common Stock held by RTC3 that are exercisable within 60 days of the date hereof, subject to a 9.99% beneficial ownership limitation, (iii) 43 shares of Common Stock held by NXT3J Capital, LLC (“</w:t>
      </w:r>
      <w:r>
        <w:rPr>
          <w:rFonts w:ascii="Times New Roman" w:cs="Times New Roman" w:eastAsia="Times New Roman" w:hAnsi="Times New Roman"/>
          <w:sz w:val="18"/>
          <w:szCs w:val="18"/>
          <w:i w:val="1"/>
          <w:iCs w:val="1"/>
          <w:color w:val="auto"/>
        </w:rPr>
        <w:t>NXT3J</w:t>
      </w:r>
      <w:r>
        <w:rPr>
          <w:rFonts w:ascii="Times New Roman" w:cs="Times New Roman" w:eastAsia="Times New Roman" w:hAnsi="Times New Roman"/>
          <w:sz w:val="18"/>
          <w:szCs w:val="18"/>
          <w:color w:val="auto"/>
        </w:rPr>
        <w:t>”), an entity controlled by Mr. Chang, (iv) that number of shares of Common Stock issuable to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an entity controlled by Mr. Chang, issuable to Mr. Chang upon the conversion of that certain Senior Secured Amended, Restated and Consolidated Convertible Note, as amended (the “</w:t>
      </w:r>
      <w:r>
        <w:rPr>
          <w:rFonts w:ascii="Times New Roman" w:cs="Times New Roman" w:eastAsia="Times New Roman" w:hAnsi="Times New Roman"/>
          <w:sz w:val="18"/>
          <w:szCs w:val="18"/>
          <w:i w:val="1"/>
          <w:iCs w:val="1"/>
          <w:color w:val="auto"/>
        </w:rPr>
        <w:t>Convertible Note</w:t>
      </w:r>
      <w:r>
        <w:rPr>
          <w:rFonts w:ascii="Times New Roman" w:cs="Times New Roman" w:eastAsia="Times New Roman" w:hAnsi="Times New Roman"/>
          <w:sz w:val="18"/>
          <w:szCs w:val="18"/>
          <w:color w:val="auto"/>
        </w:rPr>
        <w:t xml:space="preserve">”) due 2025 described herein with an outstanding principal amount of $3,500,000.00 and a conversion price of $21.90 per share (as may be adjusted per the Senior Secured Amended, Restated and Consolidated Convertible Note due 2025 from time to time), which conversion is subject to a 49.99% beneficial ownership limitation;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CP Acquisitions may assign its right to receive shares of Common Stock upon conversion to Mr. Chang and/or Ms. I-Tseng Jenny Chan, each a member of the Board of Directors of the Issuer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in which case the 49.99% beneficial ownership limitation will apply to each of them individually, (v) that number of shares of Common Stock issuable to CP Acquisitions or, at CP Acquisition’s election, pre-funded warrants to purchase shares of Common Stock issuable to CP Acquisitions upon conversion of that certain Junior Secured Convertible Promissory Note (“</w:t>
      </w:r>
      <w:r>
        <w:rPr>
          <w:rFonts w:ascii="Times New Roman" w:cs="Times New Roman" w:eastAsia="Times New Roman" w:hAnsi="Times New Roman"/>
          <w:sz w:val="18"/>
          <w:szCs w:val="18"/>
          <w:i w:val="1"/>
          <w:iCs w:val="1"/>
          <w:color w:val="auto"/>
        </w:rPr>
        <w:t>Junior Note</w:t>
      </w:r>
      <w:r>
        <w:rPr>
          <w:rFonts w:ascii="Times New Roman" w:cs="Times New Roman" w:eastAsia="Times New Roman" w:hAnsi="Times New Roman"/>
          <w:sz w:val="18"/>
          <w:szCs w:val="18"/>
          <w:color w:val="auto"/>
        </w:rPr>
        <w:t>”) due July 1, 2025, as amended by that certain Amendment No. 1, dated October 18, 2024 described herein with an outstanding principal amount of $3,000,000.00 and a conversion price of $3.9495 (as may be adjusted per the Junior Note), which pre-funded warrants are exercisable subject to a 49.99% beneficial ownership limitation, (vi) pre-funded warrants to purchase 5,069,161 shares of Common Stock held by CP Acquisitions that are exercisable within 60 days of the date hereof, as amended by that certain Amendment to Pre-Funded Common Stock Purchase Warrant, dated August 28, 2024, by and between Issuer and CP Acquisitions (the “</w:t>
      </w:r>
      <w:r>
        <w:rPr>
          <w:rFonts w:ascii="Times New Roman" w:cs="Times New Roman" w:eastAsia="Times New Roman" w:hAnsi="Times New Roman"/>
          <w:sz w:val="18"/>
          <w:szCs w:val="18"/>
          <w:i w:val="1"/>
          <w:iCs w:val="1"/>
          <w:color w:val="auto"/>
        </w:rPr>
        <w:t>CP Warrant Amendment</w:t>
      </w:r>
      <w:r>
        <w:rPr>
          <w:rFonts w:ascii="Times New Roman" w:cs="Times New Roman" w:eastAsia="Times New Roman" w:hAnsi="Times New Roman"/>
          <w:sz w:val="18"/>
          <w:szCs w:val="18"/>
          <w:color w:val="auto"/>
        </w:rPr>
        <w:t>”), and subject to a 49.99% beneficial ownership limitation, (vii) pre-funded warrants to purchase 1,085,123 shares of Common Stock held by GIC</w:t>
      </w:r>
    </w:p>
    <w:p>
      <w:pPr>
        <w:sectPr>
          <w:pgSz w:w="11900" w:h="16838" w:orient="portrait"/>
          <w:cols w:equalWidth="0" w:num="1">
            <w:col w:w="11240"/>
          </w:cols>
          <w:pgMar w:left="320" w:top="806" w:right="339" w:bottom="0" w:gutter="0" w:footer="0" w:header="0"/>
        </w:sectPr>
      </w:pPr>
    </w:p>
    <w:bookmarkStart w:id="2" w:name="page3"/>
    <w:bookmarkEnd w:id="2"/>
    <w:p>
      <w:pPr>
        <w:jc w:val="both"/>
        <w:ind w:left="280"/>
        <w:spacing w:after="0" w:line="256" w:lineRule="auto"/>
        <w:rPr>
          <w:sz w:val="20"/>
          <w:szCs w:val="20"/>
          <w:color w:val="auto"/>
        </w:rPr>
      </w:pPr>
      <w:r>
        <w:rPr>
          <w:rFonts w:ascii="Times New Roman" w:cs="Times New Roman" w:eastAsia="Times New Roman" w:hAnsi="Times New Roman"/>
          <w:sz w:val="18"/>
          <w:szCs w:val="18"/>
          <w:color w:val="auto"/>
        </w:rPr>
        <w:t>Acquisition LLC (“</w:t>
      </w:r>
      <w:r>
        <w:rPr>
          <w:rFonts w:ascii="Times New Roman" w:cs="Times New Roman" w:eastAsia="Times New Roman" w:hAnsi="Times New Roman"/>
          <w:sz w:val="18"/>
          <w:szCs w:val="18"/>
          <w:i w:val="1"/>
          <w:iCs w:val="1"/>
          <w:color w:val="auto"/>
        </w:rPr>
        <w:t>GIC Acquisition</w:t>
      </w:r>
      <w:r>
        <w:rPr>
          <w:rFonts w:ascii="Times New Roman" w:cs="Times New Roman" w:eastAsia="Times New Roman" w:hAnsi="Times New Roman"/>
          <w:sz w:val="18"/>
          <w:szCs w:val="18"/>
          <w:color w:val="auto"/>
        </w:rPr>
        <w:t>”) that are exercisable within 60 days of the date hereof, as amended by that certain Amendment to Pre-Funded Common Stock Purchase Warrant, dated August 28, 2024, by and between Issuer and GIC Acquisition (the “</w:t>
      </w:r>
      <w:r>
        <w:rPr>
          <w:rFonts w:ascii="Times New Roman" w:cs="Times New Roman" w:eastAsia="Times New Roman" w:hAnsi="Times New Roman"/>
          <w:sz w:val="18"/>
          <w:szCs w:val="18"/>
          <w:i w:val="1"/>
          <w:iCs w:val="1"/>
          <w:color w:val="auto"/>
        </w:rPr>
        <w:t>GIC Warrant Amendment</w:t>
      </w:r>
      <w:r>
        <w:rPr>
          <w:rFonts w:ascii="Times New Roman" w:cs="Times New Roman" w:eastAsia="Times New Roman" w:hAnsi="Times New Roman"/>
          <w:sz w:val="18"/>
          <w:szCs w:val="18"/>
          <w:color w:val="auto"/>
        </w:rPr>
        <w:t>”), and subject to a 49.99% beneficial ownership limitation, (viii) options to purchase 13 shares of Common Stock that are held by Raymond Chang Jr., Mr. Chang’s son, that are exercisable within 60 days of the date hereof, (ix) 4,825 restricted stock units that held by Raymond Chang Jr. that may vest or settle within 60 days of the date hereof, and (x) 105,263 shares of Common Stock held individually by Chinwei Wang, Mr. Chang’s spouse. Does not include 2,184 shares of Common Stock underlying time-based restricted stock units that will not vest within 60 days of the day hereof granted to Raymond Chang, Jr., under the Plan.</w:t>
      </w:r>
    </w:p>
    <w:p>
      <w:pPr>
        <w:spacing w:after="0" w:line="104" w:lineRule="exact"/>
        <w:rPr>
          <w:sz w:val="20"/>
          <w:szCs w:val="20"/>
          <w:color w:val="auto"/>
        </w:rPr>
      </w:pPr>
    </w:p>
    <w:p>
      <w:pPr>
        <w:jc w:val="both"/>
        <w:ind w:left="280"/>
        <w:spacing w:after="0" w:line="266" w:lineRule="auto"/>
        <w:rPr>
          <w:sz w:val="20"/>
          <w:szCs w:val="20"/>
          <w:color w:val="auto"/>
        </w:rPr>
      </w:pPr>
      <w:r>
        <w:rPr>
          <w:rFonts w:ascii="Times New Roman" w:cs="Times New Roman" w:eastAsia="Times New Roman" w:hAnsi="Times New Roman"/>
          <w:sz w:val="18"/>
          <w:szCs w:val="18"/>
          <w:color w:val="auto"/>
        </w:rPr>
        <w:t>Mr. Chang disclaims beneficial ownership with respect to the shares and warrants held by RTC3, the shares held by NXT3J, the shares entitled to CP Acquisitions upon conversion of its Convertible Note, the options and shares held by Raymond Chang Jr., and the shares held by Chinwei Wang, in each case except to the extent of his pecuniary interest therein.</w:t>
      </w:r>
    </w:p>
    <w:p>
      <w:pPr>
        <w:spacing w:after="0" w:line="95" w:lineRule="exact"/>
        <w:rPr>
          <w:sz w:val="20"/>
          <w:szCs w:val="20"/>
          <w:color w:val="auto"/>
        </w:rPr>
      </w:pPr>
    </w:p>
    <w:p>
      <w:pPr>
        <w:ind w:left="320" w:hanging="318"/>
        <w:spacing w:after="0" w:line="282" w:lineRule="auto"/>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1,331,790 shares of Common Stock outstanding as of October 23, 2024, plus the shares of Common Stock issuable upon exercise of the warrants and options and conversion of the Convertible Note in footnotes (1) and (2) above, subject to applicable beneficial ownership limitations.</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RTC3 2020 Irrevocable Trust</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398,075</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398,075</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398,075</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23.01%</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382,658 shares of Common Stock held by RTC3, and (ii) warrants to purchase 15,417 shares of Common Stock held by RTC3 that are exercisable within 60 days of the date hereof, subject to a 9.99% beneficial ownership limitation. Does not include the 105,263 shares of Common Stock held individually by Chinwei Wang which may in the future be transferred to RTC3 for estate planning purposes.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1,331,790 shares of Common Stock outstanding as of October 23, 2024, plus the shares of Common Stock issuable upon exercise of the warrants and options and conversion of the Convertible Note in footnotes (1) and (2) above, subject to applicable beneficial ownership limitations.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NXT3J Capital, LLC</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40"/>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0"/>
                <w:szCs w:val="20"/>
                <w:color w:val="auto"/>
              </w:rPr>
            </w:pPr>
          </w:p>
        </w:tc>
        <w:tc>
          <w:tcPr>
            <w:tcW w:w="8960" w:type="dxa"/>
            <w:vAlign w:val="bottom"/>
          </w:tcPr>
          <w:p>
            <w:pPr>
              <w:ind w:left="320"/>
              <w:spacing w:after="0" w:line="240" w:lineRule="exact"/>
              <w:rPr>
                <w:sz w:val="20"/>
                <w:szCs w:val="20"/>
                <w:color w:val="auto"/>
              </w:rPr>
            </w:pPr>
            <w:r>
              <w:rPr>
                <w:rFonts w:ascii="Times New Roman" w:cs="Times New Roman" w:eastAsia="Times New Roman" w:hAnsi="Times New Roman"/>
                <w:sz w:val="27"/>
                <w:szCs w:val="27"/>
                <w:color w:val="auto"/>
                <w:vertAlign w:val="subscript"/>
              </w:rPr>
              <w:t>43</w:t>
            </w: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92"/>
        </w:trPr>
        <w:tc>
          <w:tcPr>
            <w:tcW w:w="1340" w:type="dxa"/>
            <w:vAlign w:val="bottom"/>
          </w:tcPr>
          <w:p>
            <w:pPr>
              <w:jc w:val="center"/>
              <w:ind w:right="23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hanging="774"/>
        <w:spacing w:after="0"/>
        <w:tabs>
          <w:tab w:leader="none" w:pos="2600"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Dispositive Power</w:t>
      </w:r>
    </w:p>
    <w:p>
      <w:pPr>
        <w:spacing w:after="0" w:line="22" w:lineRule="exact"/>
        <w:rPr>
          <w:rFonts w:ascii="Times New Roman" w:cs="Times New Roman" w:eastAsia="Times New Roman" w:hAnsi="Times New Roman"/>
          <w:sz w:val="18"/>
          <w:szCs w:val="18"/>
          <w:b w:val="1"/>
          <w:bCs w:val="1"/>
          <w:color w:val="auto"/>
        </w:rPr>
      </w:pPr>
    </w:p>
    <w:p>
      <w:pPr>
        <w:ind w:left="2600"/>
        <w:spacing w:after="0" w:line="1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9"/>
          <w:szCs w:val="29"/>
          <w:color w:val="auto"/>
          <w:vertAlign w:val="subscript"/>
        </w:rPr>
        <w:t>43</w:t>
      </w:r>
      <w:r>
        <w:rPr>
          <w:rFonts w:ascii="Times New Roman" w:cs="Times New Roman" w:eastAsia="Times New Roman" w:hAnsi="Times New Roman"/>
          <w:sz w:val="13"/>
          <w:szCs w:val="13"/>
          <w:color w:val="auto"/>
        </w:rPr>
        <w:t>(1)</w:t>
      </w:r>
    </w:p>
    <w:p>
      <w:pPr>
        <w:spacing w:after="0" w:line="27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Aggregate Amount Beneficially Owned by Each Reporting Person</w:t>
      </w:r>
    </w:p>
    <w:p>
      <w:pPr>
        <w:spacing w:after="0" w:line="31" w:lineRule="exact"/>
        <w:rPr>
          <w:rFonts w:ascii="Times New Roman" w:cs="Times New Roman" w:eastAsia="Times New Roman" w:hAnsi="Times New Roman"/>
          <w:sz w:val="18"/>
          <w:szCs w:val="18"/>
          <w:b w:val="1"/>
          <w:bCs w:val="1"/>
          <w:color w:val="auto"/>
        </w:rPr>
      </w:pPr>
    </w:p>
    <w:p>
      <w:pPr>
        <w:ind w:left="920"/>
        <w:spacing w:after="0" w:line="1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9"/>
          <w:szCs w:val="29"/>
          <w:color w:val="auto"/>
          <w:vertAlign w:val="subscript"/>
        </w:rPr>
        <w:t>43</w:t>
      </w:r>
      <w:r>
        <w:rPr>
          <w:rFonts w:ascii="Times New Roman" w:cs="Times New Roman" w:eastAsia="Times New Roman" w:hAnsi="Times New Roman"/>
          <w:sz w:val="13"/>
          <w:szCs w:val="13"/>
          <w:color w:val="auto"/>
        </w:rPr>
        <w:t>(1)</w:t>
      </w:r>
    </w:p>
    <w:p>
      <w:pPr>
        <w:spacing w:after="0" w:line="27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43 shares of Common Stock held by NXT3J.</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1,331,790 shares of Common Stock outstanding as of October 23, 2024.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40" w:right="8120" w:hanging="802"/>
        <w:spacing w:after="0" w:line="317" w:lineRule="auto"/>
        <w:tabs>
          <w:tab w:leader="none" w:pos="9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CP Acquisitions, LLC</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40" w:right="9060" w:hanging="802"/>
        <w:spacing w:after="0" w:line="317" w:lineRule="auto"/>
        <w:tabs>
          <w:tab w:leader="none" w:pos="9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WC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right="7500" w:hanging="802"/>
        <w:spacing w:after="0" w:line="317" w:lineRule="auto"/>
        <w:tabs>
          <w:tab w:leader="none" w:pos="9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00" w:type="dxa"/>
            <w:vAlign w:val="bottom"/>
            <w:tcBorders>
              <w:bottom w:val="single" w:sz="8" w:color="auto"/>
            </w:tcBorders>
          </w:tcPr>
          <w:p>
            <w:pPr>
              <w:spacing w:after="0"/>
              <w:rPr>
                <w:sz w:val="21"/>
                <w:szCs w:val="21"/>
                <w:color w:val="auto"/>
              </w:rPr>
            </w:pPr>
          </w:p>
        </w:tc>
        <w:tc>
          <w:tcPr>
            <w:tcW w:w="8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60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4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600" w:type="dxa"/>
            <w:vAlign w:val="bottom"/>
          </w:tcPr>
          <w:p>
            <w:pPr>
              <w:spacing w:after="0"/>
              <w:rPr>
                <w:sz w:val="21"/>
                <w:szCs w:val="21"/>
                <w:color w:val="auto"/>
              </w:rPr>
            </w:pPr>
          </w:p>
        </w:tc>
        <w:tc>
          <w:tcPr>
            <w:tcW w:w="894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5,988,568</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0" w:type="dxa"/>
            <w:vAlign w:val="bottom"/>
          </w:tcPr>
          <w:p>
            <w:pPr>
              <w:spacing w:after="0"/>
              <w:rPr>
                <w:sz w:val="15"/>
                <w:szCs w:val="15"/>
                <w:color w:val="auto"/>
              </w:rPr>
            </w:pPr>
          </w:p>
        </w:tc>
        <w:tc>
          <w:tcPr>
            <w:tcW w:w="8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6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6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60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600" w:type="dxa"/>
            <w:vAlign w:val="bottom"/>
          </w:tcPr>
          <w:p>
            <w:pPr>
              <w:spacing w:after="0"/>
              <w:rPr>
                <w:sz w:val="18"/>
                <w:szCs w:val="18"/>
                <w:color w:val="auto"/>
              </w:rPr>
            </w:pPr>
          </w:p>
        </w:tc>
        <w:tc>
          <w:tcPr>
            <w:tcW w:w="8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60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20" w:right="6660" w:hanging="781"/>
        <w:spacing w:after="0" w:line="289" w:lineRule="auto"/>
        <w:tabs>
          <w:tab w:leader="none" w:pos="2620"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5,988,568</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40" w:right="5240" w:hanging="788"/>
        <w:spacing w:after="0" w:line="295" w:lineRule="auto"/>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5,988,568</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40" w:hanging="788"/>
        <w:spacing w:after="0"/>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hanging="788"/>
        <w:spacing w:after="0"/>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40" w:hanging="788"/>
        <w:spacing w:after="0"/>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53"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(i) that number of shares of Common Stock issuable to CP Acquisitions, an entity controlled by Mr. Chang, issuable to Mr. Chang upon the conversion of the Convertible Note due 2025 described herein with an outstanding principal amount of $3,500,000.00 and a conversion price of $21.90 per share (as may be adjusted per the Senior Secured Amended, Restated and Consolidated Convertible Note due 2025 from time to time), which conversion is subject to a 49.99% beneficial ownership limitation;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CP Acquisitions may assign its right to receive shares of Common Stock upon conversion to Mr. Chang and/or Ms. I-Tseng Jenny Chan, each a member of the Board, in which case the 49.99% beneficial ownership limitation will apply to each of them individually, (ii) pre-funded warrants to purchase 5,069,161 shares of Common Stock held by CP Acquisitions that are exercisable within 60 days of the date hereof, as amended by the CP Warrant Amendment, and subject to a 49.99% beneficial ownership limitation, and (iii) that number of shares of Common Stock issuable to CP Acquisitions or, at CP Acquisition’s election, pre-funded warrants to purchase shares of Common Stock issuable to CP Acquisitions upon conversion of the Junior Note due July 1, 2025, as amended by that certain Amendment No. 1, dated October 18, 2024 described herein with an outstanding principal amount of $3,000,000.00 and a conversion price of $3.9495 (as may be adjusted per the Junior Note), which pre-funded warrants are exercisable subject to a 49.99% beneficial ownership limitation.</w:t>
      </w:r>
    </w:p>
    <w:p>
      <w:pPr>
        <w:spacing w:after="0" w:line="11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1,331,790 shares of Common Stock outstanding as of October 23, 2024, plus the shares of Common Stock issuable and issued upon exercise of the warrants and options and conversion of the Convertible Note in footnotes (1) and (2) above, subject to applicable beneficial ownership limitations.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852"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40" w:right="8120" w:hanging="802"/>
        <w:spacing w:after="0" w:line="317" w:lineRule="auto"/>
        <w:tabs>
          <w:tab w:leader="none" w:pos="9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GIC Acquisition LLC</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40" w:right="9060" w:hanging="802"/>
        <w:spacing w:after="0" w:line="317" w:lineRule="auto"/>
        <w:tabs>
          <w:tab w:leader="none" w:pos="9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WC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right="7500" w:hanging="802"/>
        <w:spacing w:after="0" w:line="317" w:lineRule="auto"/>
        <w:tabs>
          <w:tab w:leader="none" w:pos="9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00" w:type="dxa"/>
            <w:vAlign w:val="bottom"/>
            <w:tcBorders>
              <w:bottom w:val="single" w:sz="8" w:color="auto"/>
            </w:tcBorders>
          </w:tcPr>
          <w:p>
            <w:pPr>
              <w:spacing w:after="0"/>
              <w:rPr>
                <w:sz w:val="21"/>
                <w:szCs w:val="21"/>
                <w:color w:val="auto"/>
              </w:rPr>
            </w:pPr>
          </w:p>
        </w:tc>
        <w:tc>
          <w:tcPr>
            <w:tcW w:w="8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60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4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600" w:type="dxa"/>
            <w:vAlign w:val="bottom"/>
          </w:tcPr>
          <w:p>
            <w:pPr>
              <w:spacing w:after="0"/>
              <w:rPr>
                <w:sz w:val="21"/>
                <w:szCs w:val="21"/>
                <w:color w:val="auto"/>
              </w:rPr>
            </w:pPr>
          </w:p>
        </w:tc>
        <w:tc>
          <w:tcPr>
            <w:tcW w:w="894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1,085,123</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0" w:type="dxa"/>
            <w:vAlign w:val="bottom"/>
          </w:tcPr>
          <w:p>
            <w:pPr>
              <w:spacing w:after="0"/>
              <w:rPr>
                <w:sz w:val="15"/>
                <w:szCs w:val="15"/>
                <w:color w:val="auto"/>
              </w:rPr>
            </w:pPr>
          </w:p>
        </w:tc>
        <w:tc>
          <w:tcPr>
            <w:tcW w:w="8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6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6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60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600" w:type="dxa"/>
            <w:vAlign w:val="bottom"/>
          </w:tcPr>
          <w:p>
            <w:pPr>
              <w:spacing w:after="0"/>
              <w:rPr>
                <w:sz w:val="18"/>
                <w:szCs w:val="18"/>
                <w:color w:val="auto"/>
              </w:rPr>
            </w:pPr>
          </w:p>
        </w:tc>
        <w:tc>
          <w:tcPr>
            <w:tcW w:w="8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60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20" w:right="6660" w:hanging="781"/>
        <w:spacing w:after="0" w:line="289" w:lineRule="auto"/>
        <w:tabs>
          <w:tab w:leader="none" w:pos="2620"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1,085,123</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40" w:right="5240" w:hanging="788"/>
        <w:spacing w:after="0" w:line="295" w:lineRule="auto"/>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1,085,123</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40" w:hanging="788"/>
        <w:spacing w:after="0"/>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hanging="788"/>
        <w:spacing w:after="0"/>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40" w:hanging="788"/>
        <w:spacing w:after="0"/>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pre-funded warrants to purchase 1,085,123 shares of Common Stock held by GIC Acquisition that are exercisable within 60 days of the date hereof, as amended by the GIC Warrant Amendment, and subject to a 49.99% beneficial ownership limitation.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1,331,790 shares of Common Stock outstanding as of October 23, 2024, plus the shares of Common Stock issuable and issued upon exercise of the warrants and options and conversion of the Convertible Note in footnote (1) above, subject to applicable beneficial ownership limitations.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Raymond Chang Jr.</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3"/>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3"/>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4,838</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4,838</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4,838</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6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up to 13 shares of Common Stock issuable upon exercise of stock options held by Mr. Chang, Jr., that are exercisable within 60 days of the date hereof and (ii) 4,825 restricted stock units that held by Raymond Chang Jr. that may vest or settle within 60 days of the date hereof. Does not include 2,184 shares of Common Stock underlying time-based restricted stock units that will not vest within 60 days of October 9, 2024 granted to Mr. Chang, Jr. under the Plan.</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1,331,790 shares of Common Stock outstanding as of October 23, 2024, plus 203 shares of Common Stock issuable upon exercise of the options described in footnote (1)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Chinwei Wang</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95" w:lineRule="auto"/>
        <w:tabs>
          <w:tab w:leader="none" w:pos="2600"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105,263</w:t>
      </w:r>
      <w:r>
        <w:rPr>
          <w:rFonts w:ascii="Times New Roman" w:cs="Times New Roman" w:eastAsia="Times New Roman" w:hAnsi="Times New Roman"/>
          <w:sz w:val="29"/>
          <w:szCs w:val="29"/>
          <w:color w:val="auto"/>
          <w:vertAlign w:val="superscript"/>
        </w:rPr>
        <w:t>(1)</w:t>
      </w:r>
    </w:p>
    <w:p>
      <w:pPr>
        <w:spacing w:after="0" w:line="38" w:lineRule="exact"/>
        <w:rPr>
          <w:sz w:val="20"/>
          <w:szCs w:val="20"/>
          <w:color w:val="auto"/>
        </w:rPr>
      </w:pPr>
    </w:p>
    <w:tbl>
      <w:tblPr>
        <w:tblLayout w:type="fixed"/>
        <w:tblInd w:w="360" w:type="dxa"/>
        <w:tblCellMar>
          <w:top w:w="0" w:type="dxa"/>
          <w:left w:w="0" w:type="dxa"/>
          <w:bottom w:w="0" w:type="dxa"/>
          <w:right w:w="0" w:type="dxa"/>
        </w:tblCellMar>
      </w:tblPr>
      <w:tr>
        <w:trPr>
          <w:trHeight w:val="4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340" w:type="dxa"/>
            <w:vAlign w:val="bottom"/>
            <w:vMerge w:val="continue"/>
          </w:tcPr>
          <w:p>
            <w:pPr>
              <w:spacing w:after="0"/>
              <w:rPr>
                <w:sz w:val="13"/>
                <w:szCs w:val="13"/>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vMerge w:val="continue"/>
          </w:tcPr>
          <w:p>
            <w:pPr>
              <w:spacing w:after="0"/>
              <w:rPr>
                <w:sz w:val="6"/>
                <w:szCs w:val="6"/>
                <w:color w:val="auto"/>
              </w:rPr>
            </w:pPr>
          </w:p>
        </w:tc>
        <w:tc>
          <w:tcPr>
            <w:tcW w:w="8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3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7"/>
                <w:szCs w:val="7"/>
                <w:color w:val="auto"/>
              </w:rPr>
            </w:pPr>
          </w:p>
        </w:tc>
        <w:tc>
          <w:tcPr>
            <w:tcW w:w="8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6"/>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line="276" w:lineRule="exact"/>
              <w:rPr>
                <w:sz w:val="20"/>
                <w:szCs w:val="20"/>
                <w:color w:val="auto"/>
              </w:rPr>
            </w:pPr>
            <w:r>
              <w:rPr>
                <w:rFonts w:ascii="Times New Roman" w:cs="Times New Roman" w:eastAsia="Times New Roman" w:hAnsi="Times New Roman"/>
                <w:sz w:val="18"/>
                <w:szCs w:val="18"/>
                <w:color w:val="auto"/>
              </w:rPr>
              <w:t>105,263</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600" w:right="6680" w:hanging="774"/>
        <w:spacing w:after="0" w:line="286" w:lineRule="auto"/>
        <w:tabs>
          <w:tab w:leader="none" w:pos="2600" w:val="left"/>
        </w:tabs>
        <w:numPr>
          <w:ilvl w:val="2"/>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spacing w:after="0" w:line="235"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105,263</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7.90%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105,263 shares of Common Stock held individually, which may be transferred to RTC3 for estate planning purposes.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1,331,790 shares of Common Stock outstanding as of October 23,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 EXPLANATORY NOTE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Amendment No. 9 to the statement on Schedule 13D (“</w:t>
      </w:r>
      <w:r>
        <w:rPr>
          <w:rFonts w:ascii="Times New Roman" w:cs="Times New Roman" w:eastAsia="Times New Roman" w:hAnsi="Times New Roman"/>
          <w:sz w:val="18"/>
          <w:szCs w:val="18"/>
          <w:i w:val="1"/>
          <w:iCs w:val="1"/>
          <w:color w:val="auto"/>
        </w:rPr>
        <w:t>Amendment No. 9</w:t>
      </w:r>
      <w:r>
        <w:rPr>
          <w:rFonts w:ascii="Times New Roman" w:cs="Times New Roman" w:eastAsia="Times New Roman" w:hAnsi="Times New Roman"/>
          <w:sz w:val="18"/>
          <w:szCs w:val="18"/>
          <w:color w:val="auto"/>
        </w:rPr>
        <w:t>”) amends the Schedule 13D originally filed by the Reporting Persons (as defined herein) on December 30, 2022, as amended by that certain Amendment No. 1 filed on October 31, 2023, Amendment No. 2 filed on January 29, 2024, Amendment No. 3 filed on March 1, 2024, Amendment No. 4 filed on March 29, 2024, Amendment No. 5 filed on May 23, 2024, Amendment No. 6 filed on August 6, 2024, Amendment No. 7, filed on August 16, 2024, and Amendment No. 8 filed on September 4, 2024 (collectively, the “</w:t>
      </w:r>
      <w:r>
        <w:rPr>
          <w:rFonts w:ascii="Times New Roman" w:cs="Times New Roman" w:eastAsia="Times New Roman" w:hAnsi="Times New Roman"/>
          <w:sz w:val="18"/>
          <w:szCs w:val="18"/>
          <w:i w:val="1"/>
          <w:iCs w:val="1"/>
          <w:color w:val="auto"/>
        </w:rPr>
        <w:t>Schedule 13D</w:t>
      </w:r>
      <w:r>
        <w:rPr>
          <w:rFonts w:ascii="Times New Roman" w:cs="Times New Roman" w:eastAsia="Times New Roman" w:hAnsi="Times New Roman"/>
          <w:sz w:val="18"/>
          <w:szCs w:val="18"/>
          <w:color w:val="auto"/>
        </w:rPr>
        <w:t>”), and relates to the shares of common stock, par value $0.001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Agrify Corporation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beneficially owned by Raymond Nobu Chang (“</w:t>
      </w:r>
      <w:r>
        <w:rPr>
          <w:rFonts w:ascii="Times New Roman" w:cs="Times New Roman" w:eastAsia="Times New Roman" w:hAnsi="Times New Roman"/>
          <w:sz w:val="18"/>
          <w:szCs w:val="18"/>
          <w:i w:val="1"/>
          <w:iCs w:val="1"/>
          <w:color w:val="auto"/>
        </w:rPr>
        <w:t>Mr. Chang</w:t>
      </w:r>
      <w:r>
        <w:rPr>
          <w:rFonts w:ascii="Times New Roman" w:cs="Times New Roman" w:eastAsia="Times New Roman" w:hAnsi="Times New Roman"/>
          <w:sz w:val="18"/>
          <w:szCs w:val="18"/>
          <w:color w:val="auto"/>
        </w:rPr>
        <w:t>”), RTC3 2020 Irrevocable Trust (“</w:t>
      </w:r>
      <w:r>
        <w:rPr>
          <w:rFonts w:ascii="Times New Roman" w:cs="Times New Roman" w:eastAsia="Times New Roman" w:hAnsi="Times New Roman"/>
          <w:sz w:val="18"/>
          <w:szCs w:val="18"/>
          <w:i w:val="1"/>
          <w:iCs w:val="1"/>
          <w:color w:val="auto"/>
        </w:rPr>
        <w:t>RTC3</w:t>
      </w:r>
      <w:r>
        <w:rPr>
          <w:rFonts w:ascii="Times New Roman" w:cs="Times New Roman" w:eastAsia="Times New Roman" w:hAnsi="Times New Roman"/>
          <w:sz w:val="18"/>
          <w:szCs w:val="18"/>
          <w:color w:val="auto"/>
        </w:rPr>
        <w:t>”), NXT3J Capital, LLC (“</w:t>
      </w:r>
      <w:r>
        <w:rPr>
          <w:rFonts w:ascii="Times New Roman" w:cs="Times New Roman" w:eastAsia="Times New Roman" w:hAnsi="Times New Roman"/>
          <w:sz w:val="18"/>
          <w:szCs w:val="18"/>
          <w:i w:val="1"/>
          <w:iCs w:val="1"/>
          <w:color w:val="auto"/>
        </w:rPr>
        <w:t>NXT3J</w:t>
      </w:r>
      <w:r>
        <w:rPr>
          <w:rFonts w:ascii="Times New Roman" w:cs="Times New Roman" w:eastAsia="Times New Roman" w:hAnsi="Times New Roman"/>
          <w:sz w:val="18"/>
          <w:szCs w:val="18"/>
          <w:color w:val="auto"/>
        </w:rPr>
        <w:t>”), CP Acquisitions, LLC (“</w:t>
      </w:r>
      <w:r>
        <w:rPr>
          <w:rFonts w:ascii="Times New Roman" w:cs="Times New Roman" w:eastAsia="Times New Roman" w:hAnsi="Times New Roman"/>
          <w:sz w:val="18"/>
          <w:szCs w:val="18"/>
          <w:i w:val="1"/>
          <w:iCs w:val="1"/>
          <w:color w:val="auto"/>
        </w:rPr>
        <w:t>CP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GIC Acquisition LLC (“</w:t>
      </w:r>
      <w:r>
        <w:rPr>
          <w:rFonts w:ascii="Times New Roman" w:cs="Times New Roman" w:eastAsia="Times New Roman" w:hAnsi="Times New Roman"/>
          <w:sz w:val="18"/>
          <w:szCs w:val="18"/>
          <w:i w:val="1"/>
          <w:iCs w:val="1"/>
          <w:color w:val="auto"/>
        </w:rPr>
        <w:t>GIC Acquisition</w:t>
      </w:r>
      <w:r>
        <w:rPr>
          <w:rFonts w:ascii="Times New Roman" w:cs="Times New Roman" w:eastAsia="Times New Roman" w:hAnsi="Times New Roman"/>
          <w:sz w:val="18"/>
          <w:szCs w:val="18"/>
          <w:color w:val="auto"/>
        </w:rPr>
        <w:t>”), Raymond Chang Jr. and Chinwei Wang (each, a “</w:t>
      </w:r>
      <w:r>
        <w:rPr>
          <w:rFonts w:ascii="Times New Roman" w:cs="Times New Roman" w:eastAsia="Times New Roman" w:hAnsi="Times New Roman"/>
          <w:sz w:val="18"/>
          <w:szCs w:val="18"/>
          <w:i w:val="1"/>
          <w:iCs w:val="1"/>
          <w:color w:val="auto"/>
        </w:rPr>
        <w:t>Reporting Person</w:t>
      </w:r>
      <w:r>
        <w:rPr>
          <w:rFonts w:ascii="Times New Roman" w:cs="Times New Roman" w:eastAsia="Times New Roman" w:hAnsi="Times New Roman"/>
          <w:sz w:val="18"/>
          <w:szCs w:val="18"/>
          <w:color w:val="auto"/>
        </w:rPr>
        <w:t>” and together,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with respect to shares of Common Stock that they may be deemed to have beneficial ownership.</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13d-2 of the Securities Exchange Act of 1934, as amended, except as specifically provided herein, this Amendment No. 9 does not modify any of the information previously reported on the Schedule 13D. Capitalized terms used but not otherwise defined in this Amendment No. 9 shall have the meanings ascribed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5(c) of the Schedule 13D is hereby amended and supplemented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Amendment to Junior Note</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On October 18, 2024, the Issuer and CP Acquisitions entered into an amendment to the Junior Note (the “</w:t>
      </w:r>
      <w:r>
        <w:rPr>
          <w:rFonts w:ascii="Times New Roman" w:cs="Times New Roman" w:eastAsia="Times New Roman" w:hAnsi="Times New Roman"/>
          <w:sz w:val="18"/>
          <w:szCs w:val="18"/>
          <w:i w:val="1"/>
          <w:iCs w:val="1"/>
          <w:color w:val="auto"/>
        </w:rPr>
        <w:t>Junior Note Amendment</w:t>
      </w:r>
      <w:r>
        <w:rPr>
          <w:rFonts w:ascii="Times New Roman" w:cs="Times New Roman" w:eastAsia="Times New Roman" w:hAnsi="Times New Roman"/>
          <w:sz w:val="18"/>
          <w:szCs w:val="18"/>
          <w:color w:val="auto"/>
        </w:rPr>
        <w:t>”), pursuant to which the maximum principal sum of the Junior Note is increased from $1,500,000 to $3,000,000. The conversion price applicable to the Junior Note will remain unchanged with an exercise price of $0.001 per share, in each case at a conversion price of $3.9495 (as may be adjusted per the Junior Note).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Junior Note Amendment does not purport to be complete, and is qualified in their entirety by reference to copies of the Junior Note Amendment, which are filed as Exhibit 4.1, to the Issuer’s Current Report on Form 8-K, filed with the SEC on October 22, 2024, which is attached as exhibit 1 to this Schedule 13D and are incorporated herein by reference.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The information provided or incorporated by reference in </w:t>
      </w:r>
      <w:r>
        <w:rPr>
          <w:rFonts w:ascii="Times New Roman" w:cs="Times New Roman" w:eastAsia="Times New Roman" w:hAnsi="Times New Roman"/>
          <w:sz w:val="18"/>
          <w:szCs w:val="18"/>
          <w:i w:val="1"/>
          <w:iCs w:val="1"/>
          <w:u w:val="single" w:color="auto"/>
          <w:color w:val="auto"/>
        </w:rPr>
        <w:t>Item 5</w:t>
      </w:r>
      <w:r>
        <w:rPr>
          <w:rFonts w:ascii="Times New Roman" w:cs="Times New Roman" w:eastAsia="Times New Roman" w:hAnsi="Times New Roman"/>
          <w:sz w:val="18"/>
          <w:szCs w:val="18"/>
          <w:i w:val="1"/>
          <w:iCs w:val="1"/>
          <w:color w:val="auto"/>
        </w:rPr>
        <w:t xml:space="preserve"> of this Schedule 13D, is hereby incorporated herein by this reference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Item 6 is hereby amended and modified to include the following (which shall be in addition to the information previously included in the Schedule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set forth in the Junior Note Amendment, or herein, the Reporting Persons do not have any contracts, arrangements, understandings or relationships (legal or otherwise) with any person with respect to any securities of the Issuer, including, but not limited to, any contracts, arrangements, understandings or relationships concerning the call options, put options, security-based swaps or any other derivative securities, transfer or voting of such securities, finder’s fees, joint ventures, loan or option arrangements, guarantees of profits, division of profits or losses, or the giving or withholding of proxies.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428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 w:lineRule="exact"/>
        <w:rPr>
          <w:sz w:val="20"/>
          <w:szCs w:val="20"/>
          <w:color w:val="auto"/>
        </w:rPr>
      </w:pPr>
    </w:p>
    <w:p>
      <w:pPr>
        <w:jc w:val="both"/>
        <w:ind w:left="1140" w:hanging="1132"/>
        <w:spacing w:after="0" w:line="266" w:lineRule="auto"/>
        <w:tabs>
          <w:tab w:leader="none" w:pos="1140" w:val="left"/>
        </w:tabs>
        <w:numPr>
          <w:ilvl w:val="0"/>
          <w:numId w:val="31"/>
        </w:numPr>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Amendment No. 1 to Junior Secured Convertible Promissory Note, dated as of October 18, 2024, by and between Agrify Corporation and</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CP Acquisitions, LLC (incorporated by reference to Exhibit 4.1 to the Issuer's Current Report on Form 8-K, filed with the SEC on October</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22, 2024).</w:t>
        </w:r>
      </w:hyperlink>
    </w:p>
    <w:p>
      <w:pPr>
        <w:spacing w:after="0" w:line="392"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Nobu Chang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Nobu Chang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RTC3 2020 Irrevocable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Johanna Wise Sullivan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Johanna Wise Sullivan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NXT3J Capital,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GIC Acquisition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Chang, Jr.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Chang,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Chang, Jr.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Chinwei Wang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Chinwei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Chinwei Wang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25E45D32"/>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519B500D"/>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431BD7B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3F2DBA31"/>
    <w:multiLevelType w:val="hybridMultilevel"/>
    <w:lvl w:ilvl="0">
      <w:lvlJc w:val="left"/>
      <w:lvlText w:val="(%1)"/>
      <w:numFmt w:val="decimal"/>
      <w:start w:val="3"/>
    </w:lvl>
  </w:abstractNum>
  <w:abstractNum w:abstractNumId="6">
    <w:nsid w:val="7C83E4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7">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8">
    <w:nsid w:val="62BBD95A"/>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9">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
    <w:nsid w:val="628C895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1">
    <w:nsid w:val="333AB105"/>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2">
    <w:nsid w:val="721DA317"/>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3">
    <w:nsid w:val="2443A85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
    <w:nsid w:val="2D1D5AE9"/>
    <w:multiLevelType w:val="hybridMultilevel"/>
    <w:lvl w:ilvl="0">
      <w:lvlJc w:val="left"/>
      <w:lvlText w:val="%1."/>
      <w:numFmt w:val="decimal"/>
      <w:start w:val="1"/>
    </w:lvl>
    <w:lvl w:ilvl="1">
      <w:lvlJc w:val="left"/>
      <w:lvlText w:val="(%2)"/>
      <w:numFmt w:val="lowerLetter"/>
      <w:start w:val="1"/>
    </w:lvl>
  </w:abstractNum>
  <w:abstractNum w:abstractNumId="15">
    <w:nsid w:val="6763845E"/>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6">
    <w:nsid w:val="75A2A8D4"/>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7">
    <w:nsid w:val="8EDBDA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8">
    <w:nsid w:val="79838CB2"/>
    <w:multiLevelType w:val="hybridMultilevel"/>
    <w:lvl w:ilvl="0">
      <w:lvlJc w:val="left"/>
      <w:lvlText w:val="%1."/>
      <w:numFmt w:val="decimal"/>
      <w:start w:val="1"/>
    </w:lvl>
    <w:lvl w:ilvl="1">
      <w:lvlJc w:val="left"/>
      <w:lvlText w:val="(%2)"/>
      <w:numFmt w:val="lowerLetter"/>
      <w:start w:val="1"/>
    </w:lvl>
  </w:abstractNum>
  <w:abstractNum w:abstractNumId="19">
    <w:nsid w:val="4353D0C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0">
    <w:nsid w:val="B03E0C6"/>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1">
    <w:nsid w:val="189A769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2">
    <w:nsid w:val="54E49EB4"/>
    <w:multiLevelType w:val="hybridMultilevel"/>
    <w:lvl w:ilvl="0">
      <w:lvlJc w:val="left"/>
      <w:lvlText w:val="%1."/>
      <w:numFmt w:val="decimal"/>
      <w:start w:val="1"/>
    </w:lvl>
    <w:lvl w:ilvl="1">
      <w:lvlJc w:val="left"/>
      <w:lvlText w:val="(%2)"/>
      <w:numFmt w:val="lowerLetter"/>
      <w:start w:val="1"/>
    </w:lvl>
  </w:abstractNum>
  <w:abstractNum w:abstractNumId="23">
    <w:nsid w:val="71F32454"/>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4">
    <w:nsid w:val="2CA88611"/>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5">
    <w:nsid w:val="836C40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6">
    <w:nsid w:val="2901D82"/>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7">
    <w:nsid w:val="3A95F874"/>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8">
    <w:nsid w:val="8138641"/>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9">
    <w:nsid w:val="1E7FF52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0">
    <w:nsid w:val="7C3DBD3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29" Type="http://schemas.openxmlformats.org/officeDocument/2006/relationships/hyperlink" Target="http://www.sec.gov/Archives/edgar/data/1800637/000121390024089657/ea021819201ex4-1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2024-10-24T19:56:54Z</dcterms:created>
  <dcterms:modified xsi:type="dcterms:W3CDTF">2024-10-24T19:56:54Z</dcterms:modified>
</cp:coreProperties>
</file>