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60" w:type="dxa"/>
            <w:vAlign w:val="bottom"/>
          </w:tcPr>
          <w:p>
            <w:pPr>
              <w:spacing w:after="0"/>
              <w:rPr>
                <w:sz w:val="20"/>
                <w:szCs w:val="20"/>
                <w:color w:val="auto"/>
              </w:rPr>
            </w:pPr>
          </w:p>
        </w:tc>
      </w:tr>
      <w:tr>
        <w:trPr>
          <w:trHeight w:val="410"/>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60" w:type="dxa"/>
            <w:vAlign w:val="bottom"/>
          </w:tcPr>
          <w:p>
            <w:pPr>
              <w:spacing w:after="0"/>
              <w:rPr>
                <w:sz w:val="18"/>
                <w:szCs w:val="18"/>
                <w:color w:val="auto"/>
              </w:rPr>
            </w:pPr>
          </w:p>
        </w:tc>
      </w:tr>
      <w:tr>
        <w:trPr>
          <w:trHeight w:val="238"/>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60" w:type="dxa"/>
            <w:vAlign w:val="bottom"/>
          </w:tcPr>
          <w:p>
            <w:pPr>
              <w:spacing w:after="0"/>
              <w:rPr>
                <w:sz w:val="20"/>
                <w:szCs w:val="20"/>
                <w:color w:val="auto"/>
              </w:rPr>
            </w:pPr>
          </w:p>
        </w:tc>
      </w:tr>
      <w:tr>
        <w:trPr>
          <w:trHeight w:val="432"/>
        </w:trPr>
        <w:tc>
          <w:tcPr>
            <w:tcW w:w="3240" w:type="dxa"/>
            <w:vAlign w:val="bottom"/>
          </w:tcPr>
          <w:p>
            <w:pPr>
              <w:spacing w:after="0"/>
              <w:rPr>
                <w:sz w:val="24"/>
                <w:szCs w:val="24"/>
                <w:color w:val="auto"/>
              </w:rPr>
            </w:pPr>
          </w:p>
        </w:tc>
        <w:tc>
          <w:tcPr>
            <w:tcW w:w="47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June 20, 2024</w:t>
            </w:r>
          </w:p>
        </w:tc>
        <w:tc>
          <w:tcPr>
            <w:tcW w:w="3260" w:type="dxa"/>
            <w:vAlign w:val="bottom"/>
          </w:tcPr>
          <w:p>
            <w:pPr>
              <w:spacing w:after="0"/>
              <w:rPr>
                <w:sz w:val="24"/>
                <w:szCs w:val="24"/>
                <w:color w:val="auto"/>
              </w:rPr>
            </w:pPr>
          </w:p>
        </w:tc>
      </w:tr>
      <w:tr>
        <w:trPr>
          <w:trHeight w:val="414"/>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6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60" w:type="dxa"/>
            <w:vAlign w:val="bottom"/>
          </w:tcPr>
          <w:p>
            <w:pPr>
              <w:spacing w:after="0"/>
              <w:rPr>
                <w:sz w:val="20"/>
                <w:szCs w:val="20"/>
                <w:color w:val="auto"/>
              </w:rPr>
            </w:pPr>
          </w:p>
        </w:tc>
      </w:tr>
      <w:tr>
        <w:trPr>
          <w:trHeight w:val="439"/>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0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240" w:type="dxa"/>
            <w:vAlign w:val="bottom"/>
            <w:tcBorders>
              <w:top w:val="single" w:sz="8" w:color="auto"/>
            </w:tcBorders>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98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260" w:type="dxa"/>
            <w:vAlign w:val="bottom"/>
          </w:tcPr>
          <w:p>
            <w:pPr>
              <w:spacing w:after="0"/>
              <w:rPr>
                <w:sz w:val="24"/>
                <w:szCs w:val="24"/>
                <w:color w:val="auto"/>
              </w:rPr>
            </w:pPr>
          </w:p>
        </w:tc>
      </w:tr>
      <w:tr>
        <w:trPr>
          <w:trHeight w:val="245"/>
        </w:trPr>
        <w:tc>
          <w:tcPr>
            <w:tcW w:w="3240" w:type="dxa"/>
            <w:vAlign w:val="bottom"/>
            <w:tcBorders>
              <w:bottom w:val="single" w:sz="8" w:color="auto"/>
            </w:tcBorders>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40" w:type="dxa"/>
            <w:vAlign w:val="bottom"/>
            <w:gridSpan w:val="3"/>
          </w:tcPr>
          <w:p>
            <w:pPr>
              <w:spacing w:after="0"/>
              <w:rPr>
                <w:sz w:val="20"/>
                <w:szCs w:val="20"/>
                <w:color w:val="auto"/>
              </w:rPr>
            </w:pPr>
          </w:p>
        </w:tc>
        <w:tc>
          <w:tcPr>
            <w:tcW w:w="326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 in Registrant’s Certifying Accountant.</w:t>
      </w:r>
    </w:p>
    <w:p>
      <w:pPr>
        <w:spacing w:after="0" w:line="229" w:lineRule="exact"/>
        <w:rPr>
          <w:sz w:val="20"/>
          <w:szCs w:val="20"/>
          <w:color w:val="auto"/>
        </w:rPr>
      </w:pPr>
    </w:p>
    <w:p>
      <w:pPr>
        <w:jc w:val="both"/>
        <w:ind w:firstLine="8"/>
        <w:spacing w:after="0" w:line="258"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of Directors (the “Board”) of Agrify Corporation (the “Company”) annually considers and recommends to the Board the selection of independent public accountants. Marcum LLP (“Marcum”) has served as the Company’s independent auditors since 2020. In May 2024, the Board determined that it would be in the best interests of the Company and its stockholders to solicit bids from other independent audit firms. On June 20, 2024 after an evaluation process, the Audit Committee dismissed Marcum as the Company’s independent registered public accounting firm as of the effective date of the Company’s engagement with MATSUURA (“Matsuura”) as described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Marcum’s audit report dated April 15, 2024 on the Company’s consolidated financial statements as of and for the years ended December 31, 2023 and 2022 did not contain an adverse opinion or a disclaimer of opinion, nor was it qualified or modified as to uncertainty, audit scope or accounting principles, other than the explanatory paragraph regarding the Company’s ability to continue as a going concern.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2023 and 2022 and subsequent interim periods through the date of dismissal, there have been no: (i) “disagreements” (as that term is defined in Item 304(a)(1)(iv) of Regulation S-K and the related instructions) with Marcum on any matter of accounting principles or practices, financial statement disclosure, or auditing scope or procedure, which disagreement, if not resolved to the satisfaction of Marcum, would have caused them to make reference thereto in their report on the financial statements or (ii) “reportable events” (as that term is defined in Item 304(a)(1)(v) of Regulation S-K), except that Marcum concurred with the Company’s assessment of a material weakness related to the Company’s internal controls over financial reporting.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provided Marcum with a copy of the foregoing disclosure to this Item 4.01 and has requested that Marcum furnish the Company with a letter addressed to the Securities and Exchange Commission stating whether it agrees with the statements made by the Company set forth above. Attached as Exhibit 16.1 is a copy of Marcum’s letter, dated June 24, 2024, stating their agreement with such statements.</w:t>
      </w:r>
    </w:p>
    <w:p>
      <w:pPr>
        <w:spacing w:after="0" w:line="176" w:lineRule="exact"/>
        <w:rPr>
          <w:sz w:val="20"/>
          <w:szCs w:val="20"/>
          <w:color w:val="auto"/>
        </w:rPr>
      </w:pPr>
    </w:p>
    <w:p>
      <w:pPr>
        <w:jc w:val="both"/>
        <w:ind w:firstLine="8"/>
        <w:spacing w:after="0" w:line="266"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process noted above, the Audit Committee appointed Matsuura as the Company’s independent registered public accounting firm, effective as of June 25, 2024. Matsuura’s engagement will be for the Company’s fiscal year ending December 31, 2024 and related interim periods ending after the effective date of Matsuura’s engagement.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and through June 25, 2024, the Company did not consult Matsuura with respect to the application of accounting principles to a specified transaction, either completed or proposed, or the type of audit opinion that might be rendered on the Company’s consolidated financial statements, or any other matters or reportable events as defined in Item 304(a)(2)(i) and (ii)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EE"/>
        </w:rPr>
        <w:t>Letter from Marcum LLP regarding change in certifying accountant</w:t>
      </w:r>
    </w:p>
    <w:p>
      <w:pPr>
        <w:spacing w:after="0" w:line="27" w:lineRule="exact"/>
        <w:rPr>
          <w:sz w:val="20"/>
          <w:szCs w:val="20"/>
          <w:color w:val="auto"/>
        </w:rPr>
      </w:pPr>
    </w:p>
    <w:p>
      <w:pPr>
        <w:ind w:left="5580" w:right="4280" w:hanging="5572"/>
        <w:spacing w:after="0" w:line="761" w:lineRule="auto"/>
        <w:tabs>
          <w:tab w:leader="none" w:pos="1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June 26,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16.1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read the statements made by Agrify Corporation under Item 4.01 of its Form 8-K dated June 21, 2024. We agree with the statements concerning our Firm in such Form 8-K; we are not in a position to agree or disagree with other statements of Agrify Corporation and Subsidiaries contained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2024-06-26T15:34:18Z</dcterms:created>
  <dcterms:modified xsi:type="dcterms:W3CDTF">2024-06-26T15:34:18Z</dcterms:modified>
</cp:coreProperties>
</file>