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00853E404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 Kravitz</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325 West Huron Street, Suite 700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60654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312.471.6720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RSLGH,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shares of Common Stock purchased on May 27, 2025; (b) 7,300 shares of Common</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Stock 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LLC ("RSLGH") and Agrify Corporation (the "Company") dated November 5,</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2024, subject to a 4.99% beneficial ownership limitation; (f) 18,614 shares of Common Stock underlying warrants issued as a payment of interest pursuant to the November 2024 Note (as defined in Item 4), subject to a 49.99% beneficial ownership limitation; and (g)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WELLNESS MGMT,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of Common Stock purchased on May 27, 2025; (b) 7,300 shares of Common Stock</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and the Company dated November 5, 2024, subject to a 4.99% beneficial</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ownership limitation; (f) 18,614 shares of Common Stock underlying warrants issued as a payment of interest pursuant to the November 2024 Note (as defined in Item 4), subject to a 49.99% beneficial ownership limitation; and (g)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 SUCCESS HOLDING COMPANY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of Common Stock purchased on May 27, 2025; (b) 7,300 shares of Common Stock</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purchased on May 28, 2025; (c) 666,661 shares of Common Stock acquired on November 5, 2024; (c)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(d)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and the Company dated November 5, 2024, subject to a 4.99% beneficial</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ownership limitation; (e) 18,614 shares of Common Stock underlying warrants issued as a payment of interest pursuant to the November 2024 Note (as defined in Item 4), subject to a 49.99% beneficial ownership limitation; and (f)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VCP23,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2" w:right="339" w:bottom="0" w:gutter="0" w:footer="0" w:header="0"/>
        </w:sectPr>
      </w:pPr>
    </w:p>
    <w:bookmarkStart w:id="4" w:name="page5"/>
    <w:bookmarkEnd w:id="4"/>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of Common Stock purchased on May 27, 2025; (b) 7,300 shares of Common Stock purchased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on May 28, 2025; (c) 666,661 shares of Common Stock acquired on November 5, 2024; (c) 6,169,702 shares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limitation; (d) 185,500 shares of Common Stock underlying warrants acquired pursuant to the warrant purchase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agreement between RSLGH and the Company dated November 5, 2024, subject to a 4.99% beneficial ownership</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limitation; (e) 18,614 shares of Common Stock underlying warrants issued as a payment of interest pursuant to the November 2024 Note (as defined in Item 4), subject to a 49.99% beneficial ownership limitation; and (f)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GTI23,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1240"/>
          </w:cols>
          <w:pgMar w:left="320" w:top="369" w:right="339" w:bottom="0" w:gutter="0" w:footer="0" w:header="0"/>
        </w:sectPr>
      </w:pPr>
    </w:p>
    <w:bookmarkStart w:id="5" w:name="page6"/>
    <w:bookmarkEnd w:id="5"/>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shares of Common Stock purchased on May 27, 2025; (b) 7,300 shares of Common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Stock 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and the Company dated November 5, 2024, subject to a 4.99% beneficial</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ownership limitation; (f) 18,614 shares of Common Stock underlying warrants issued as a payment of interest pursuant to the November 2024 Note (as defined in Item 4), subject to a 49.99% beneficial ownership limitation; and (g)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GREEN THUMB INDUSTRIES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BRITISH COLUMBIA,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  Sole Voting Power</w:t>
            </w: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spacing w:after="0"/>
              <w:rPr>
                <w:sz w:val="19"/>
                <w:szCs w:val="19"/>
                <w:color w:val="auto"/>
              </w:rPr>
            </w:pPr>
          </w:p>
        </w:tc>
      </w:tr>
      <w:tr>
        <w:trPr>
          <w:trHeight w:val="32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930" w:orient="portrait"/>
          <w:cols w:equalWidth="0" w:num="1">
            <w:col w:w="11240"/>
          </w:cols>
          <w:pgMar w:left="320" w:top="156" w:right="339" w:bottom="0" w:gutter="0" w:footer="0" w:header="0"/>
        </w:sectPr>
      </w:pPr>
    </w:p>
    <w:bookmarkStart w:id="6" w:name="page7"/>
    <w:bookmarkEnd w:id="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0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ind w:left="14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02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6" w:lineRule="exact"/>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20" w:type="dxa"/>
            <w:vAlign w:val="bottom"/>
            <w:vMerge w:val="continue"/>
          </w:tcPr>
          <w:p>
            <w:pPr>
              <w:spacing w:after="0"/>
              <w:rPr>
                <w:sz w:val="15"/>
                <w:szCs w:val="15"/>
                <w:color w:val="auto"/>
              </w:rPr>
            </w:pPr>
          </w:p>
        </w:tc>
        <w:tc>
          <w:tcPr>
            <w:tcW w:w="74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020" w:type="dxa"/>
            <w:vAlign w:val="bottom"/>
          </w:tcPr>
          <w:p>
            <w:pPr>
              <w:spacing w:after="0"/>
              <w:rPr>
                <w:sz w:val="5"/>
                <w:szCs w:val="5"/>
                <w:color w:val="auto"/>
              </w:rPr>
            </w:pPr>
          </w:p>
        </w:tc>
        <w:tc>
          <w:tcPr>
            <w:tcW w:w="7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8,201,634.00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of Common Stock purchased on May 27, 2025; (b) 7,300 shares of Common Stock purchased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on May 28, 2025; (c)666,661 shares of Common Stock acquired on November 5, 2024; (d) 6,169,702 shares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bl>
    <w:p>
      <w:pPr>
        <w:jc w:val="both"/>
        <w:spacing w:after="0" w:line="190" w:lineRule="auto"/>
        <w:rPr>
          <w:sz w:val="20"/>
          <w:szCs w:val="20"/>
          <w:color w:val="auto"/>
        </w:rPr>
      </w:pPr>
      <w:r>
        <w:rPr>
          <w:rFonts w:ascii="Times New Roman" w:cs="Times New Roman" w:eastAsia="Times New Roman" w:hAnsi="Times New Roman"/>
          <w:sz w:val="36"/>
          <w:szCs w:val="36"/>
          <w:b w:val="1"/>
          <w:bCs w:val="1"/>
          <w:color w:val="auto"/>
          <w:vertAlign w:val="superscript"/>
        </w:rPr>
        <w:t>Reporting</w:t>
      </w:r>
      <w:r>
        <w:rPr>
          <w:rFonts w:ascii="Times New Roman" w:cs="Times New Roman" w:eastAsia="Times New Roman" w:hAnsi="Times New Roman"/>
          <w:sz w:val="21"/>
          <w:szCs w:val="21"/>
          <w:color w:val="auto"/>
        </w:rPr>
        <w:t xml:space="preserve"> limitation; () 185,500 shares of Common Stock underlying warrants acquired pursuant to the warrant purchase </w:t>
      </w:r>
      <w:r>
        <w:rPr>
          <w:rFonts w:ascii="Times New Roman" w:cs="Times New Roman" w:eastAsia="Times New Roman" w:hAnsi="Times New Roman"/>
          <w:sz w:val="36"/>
          <w:szCs w:val="36"/>
          <w:b w:val="1"/>
          <w:bCs w:val="1"/>
          <w:color w:val="auto"/>
          <w:vertAlign w:val="superscript"/>
        </w:rPr>
        <w:t>Person:</w:t>
      </w:r>
      <w:r>
        <w:rPr>
          <w:rFonts w:ascii="Times New Roman" w:cs="Times New Roman" w:eastAsia="Times New Roman" w:hAnsi="Times New Roman"/>
          <w:sz w:val="21"/>
          <w:szCs w:val="21"/>
          <w:color w:val="auto"/>
        </w:rPr>
        <w:t xml:space="preserve"> agreement between RSLGH and the Company dated November 5, 2024, subject to a 4.99% beneficial ownership</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limitation; (f) 18,614 shares of Common Stock underlying warrants issued as a payment of interest pursuant to the November 2024 Note (as defined in Item 4), subject to a 49.99% beneficial ownership limitation; and (g)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Agrify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2220 Hicks Road, Suite 210, Rolling Meadows, ILLINOIS , 60008.</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SCHEDULE  13D  -  EXPLANATORY  NOTE  This  Amendment  No.  3  to  the  statement  on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("Amendment No. 3") amends the Schedule 13D originally filed by the Reporting Persons (as defined herein)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November 13, 2024 and as amended by Amendment No. 1 thereto on December 16, 2024 and Amendment No. 2 thereto on May 22, 2025 (as amended, the "Schedule 13D"), and relates to the shares of common stock, par value $0.001 ("Common Stock") of Agrify Corporation (the "Company" or the "Issuer") beneficially owned by (1)</w:t>
      </w:r>
    </w:p>
    <w:p>
      <w:pPr>
        <w:spacing w:after="0" w:line="1" w:lineRule="exact"/>
        <w:rPr>
          <w:sz w:val="20"/>
          <w:szCs w:val="20"/>
          <w:color w:val="auto"/>
        </w:rPr>
      </w:pPr>
    </w:p>
    <w:p>
      <w:pPr>
        <w:jc w:val="both"/>
        <w:ind w:left="1000" w:right="40"/>
        <w:spacing w:after="0" w:line="232" w:lineRule="auto"/>
        <w:rPr>
          <w:sz w:val="20"/>
          <w:szCs w:val="20"/>
          <w:color w:val="auto"/>
        </w:rPr>
      </w:pPr>
      <w:r>
        <w:rPr>
          <w:rFonts w:ascii="Times New Roman" w:cs="Times New Roman" w:eastAsia="Times New Roman" w:hAnsi="Times New Roman"/>
          <w:sz w:val="22"/>
          <w:szCs w:val="22"/>
          <w:color w:val="auto"/>
        </w:rPr>
        <w:t>RSLGH, LLC, a Delaware limited liability company ("RSLGH"); (2) Wellness Mgmt, LLC, a California limited liability company and the sole member of RSLGH ("Wellness Mgmt"); (3) For Success Holding Company, a Delaware corporation and the sole member of Wellness Mgmt ("For Success Holding"); (4) VCP23, LLC, a Delaware limited liability company and the sole shareholder of For Success Holding ("VCP23"); (5) GTI23, Inc., a Delaware corporation and the sole member of VCP23 ("GTI23"); and (6) Green Thumb Industries Inc., a British Columbia corporation and the sole shareholder of GTI23 ("GTI" or "Green Thumb") (RSLGH, Wellness Mgmt, For Success Holding, VCP23, GTI23 and GTI, collectively, the "Reporting Persons"). In accordance with Rule 13d-2 of the Securities Exchange Act of 1934, as amended, except as specifically provided herein, this Amendment No. 3 does not modify any of the information previously reported on the Schedule 13D. Capitalized terms used but not otherwise defined in this Amendment No. 3 shall have the meanings ascribed to them in the Schedule 13D.</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ectPr>
          <w:pgSz w:w="11900" w:h="16838" w:orient="portrait"/>
          <w:cols w:equalWidth="0" w:num="1">
            <w:col w:w="11240"/>
          </w:cols>
          <w:pgMar w:left="320" w:top="111" w:right="339" w:bottom="0" w:gutter="0" w:footer="0" w:header="0"/>
        </w:sectPr>
      </w:pPr>
    </w:p>
    <w:bookmarkStart w:id="7" w:name="page8"/>
    <w:bookmarkEnd w:id="7"/>
    <w:p>
      <w:pPr>
        <w:spacing w:after="0" w:line="32"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Item 3 of the Schedule 13D is hereby amended and supplemented as follows (which shall be in addition to the information previously included in the Schedule 13D): In aggregate, the Reporting Persons are deemed to have voting and dispositive power over 8,201,634 shares of Common Stock of the Company. RSLGH purchased 25,000 shares of Common Stock on May 27, 2025 at $25.00 per share. RLSGH purchased 6,200 shares of Common Stock on May 28, 2025 at an average price of $25.66 per share, which shares were purchased in multiple transactions at prices ranging from $25.50 to $26.00, inclusive. RLSGH purchased 1,100 shares of Common Stock on May 28, 2025 at an average price of $27.07 per share, which shares were purchased in multiple transactions at prices ranging from $27.00 to $27.75, inclusive. The purchase price was paid out of the working capital of Green Thumb. As of the date of this filing, the Reporting Persons have no margin or other loans outstanding secured by Common Stock.</w:t>
      </w:r>
    </w:p>
    <w:p>
      <w:pPr>
        <w:spacing w:after="0" w:line="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jc w:val="both"/>
        <w:ind w:left="920" w:right="680"/>
        <w:spacing w:after="0" w:line="244"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(which shall be in addition to the information previously included in the Schedule 13D): On May 27, 2025, RSLGH purchased 25,000 shares of Common Stock. On May 28, 2025, RSLGH purchased 7,300 shares of Common Stock.</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aggregate percentage of Common Stock reported owned by each Reporting Person is based upon approximately</w:t>
      </w:r>
    </w:p>
    <w:p>
      <w:pPr>
        <w:spacing w:after="0" w:line="26" w:lineRule="exact"/>
        <w:rPr>
          <w:sz w:val="20"/>
          <w:szCs w:val="20"/>
          <w:color w:val="auto"/>
        </w:rPr>
      </w:pPr>
    </w:p>
    <w:p>
      <w:pPr>
        <w:ind w:left="920" w:right="340" w:hanging="912"/>
        <w:spacing w:after="0" w:line="237"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1,975,068 shares of Common Stock outstanding as of May 27, 2025. As of the date hereof, each Reporting Person may be deemed to beneficially own 49.99% of the outstanding shares of Common Stock of the Issuer.</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Because Wellness Mgmt is the sole member of RSLGH, For Success Holding is the sole member of Wellness Mgmt,</w:t>
      </w:r>
    </w:p>
    <w:p>
      <w:pPr>
        <w:spacing w:after="0" w:line="25" w:lineRule="exact"/>
        <w:rPr>
          <w:rFonts w:ascii="Times New Roman" w:cs="Times New Roman" w:eastAsia="Times New Roman" w:hAnsi="Times New Roman"/>
          <w:sz w:val="22"/>
          <w:szCs w:val="22"/>
          <w:color w:val="auto"/>
        </w:rPr>
      </w:pPr>
    </w:p>
    <w:p>
      <w:pPr>
        <w:ind w:left="920" w:right="80" w:hanging="912"/>
        <w:spacing w:after="0" w:line="218" w:lineRule="auto"/>
        <w:tabs>
          <w:tab w:leader="none" w:pos="920" w:val="left"/>
        </w:tabs>
        <w:numPr>
          <w:ilvl w:val="0"/>
          <w:numId w:val="1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VCP23 is the sole shareholder of For Success Holding, GTI23 is the sole member of VCP23, and GTI is the sole shareholder of GTI23 (collectively, other than RSLGH, the "GTI Parties"), the GTI Parties are deemed to share the voting and dispositive power over the 8,201,634 shares of Common Stock directly beneficially owned by RSLGH. The Reporting Persons have not made any transactions in the Common Stock within the past 60 days other than as provided in Item 4 above, including Item 4 of the Schedule 13D. As set forth in Item 3 above, RSLGH purchased 25,000 shares of Common Stock on May 27, 2025 at $25.00 per share. RLSGH purchased 6,200 shares of Common Stock on May 28, 2025 at an average price of $25.66 per share, which shares were purchased in multiple transactions</w:t>
      </w:r>
    </w:p>
    <w:p>
      <w:pPr>
        <w:ind w:left="920" w:right="180" w:hanging="912"/>
        <w:spacing w:after="0" w:line="233"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prices ranging from $25.50 to $26.00, inclusive. RLSGH purchased 1,100 shares of Common Stock on May 28, 2025 at an average price of $27.07 per share, which shares were purchased in multiple transactions at prices ranging from $27.00 to $27.75, inclusive. The Reporting Persons hereby undertake to provide to the staff of the Securities Exchange Commission, upon request, full information regarding the number of shares of Common Stock purchased at each separate price within such ranges.</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320"/>
        <w:spacing w:after="0" w:line="256" w:lineRule="auto"/>
        <w:rPr>
          <w:sz w:val="20"/>
          <w:szCs w:val="20"/>
          <w:color w:val="auto"/>
        </w:rPr>
      </w:pPr>
      <w:r>
        <w:rPr>
          <w:rFonts w:ascii="Times New Roman" w:cs="Times New Roman" w:eastAsia="Times New Roman" w:hAnsi="Times New Roman"/>
          <w:sz w:val="22"/>
          <w:szCs w:val="22"/>
          <w:color w:val="auto"/>
        </w:rPr>
        <w:t>See the disclosure in Item 4 and Item 5 above and in the Schedule 13D, which is incorporated into this Item 6, and see the joint filing agreement of the Reporting Persons.</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99.1 - Joint Filing Agreement -</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https://www.sec.gov/Archives/edgar/data/1800637/000121390025047011/ea024332701ex99-1_agrify.htm 99.2 -</w:t>
      </w:r>
    </w:p>
    <w:p>
      <w:pPr>
        <w:ind w:left="920"/>
        <w:spacing w:after="0" w:line="230" w:lineRule="auto"/>
        <w:rPr>
          <w:sz w:val="20"/>
          <w:szCs w:val="20"/>
          <w:color w:val="auto"/>
        </w:rPr>
      </w:pPr>
      <w:r>
        <w:rPr>
          <w:rFonts w:ascii="Times New Roman" w:cs="Times New Roman" w:eastAsia="Times New Roman" w:hAnsi="Times New Roman"/>
          <w:sz w:val="22"/>
          <w:szCs w:val="22"/>
          <w:color w:val="auto"/>
        </w:rPr>
        <w:t>Purchase Agreement dated November 5, 2024 -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https://www.sec.gov/Archives/edgar/data/1800637/000121390024097577/ea022100501ex99-2_agrify.htm 99.3 -</w:t>
      </w:r>
    </w:p>
    <w:p>
      <w:pPr>
        <w:ind w:left="920"/>
        <w:spacing w:after="0" w:line="230" w:lineRule="auto"/>
        <w:rPr>
          <w:sz w:val="20"/>
          <w:szCs w:val="20"/>
          <w:color w:val="auto"/>
        </w:rPr>
      </w:pPr>
      <w:r>
        <w:rPr>
          <w:rFonts w:ascii="Times New Roman" w:cs="Times New Roman" w:eastAsia="Times New Roman" w:hAnsi="Times New Roman"/>
          <w:sz w:val="22"/>
          <w:szCs w:val="22"/>
          <w:color w:val="auto"/>
        </w:rPr>
        <w:t>Secured Convertible Note dated November 5, 2024 -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https://www.sec.gov/Archives/edgar/data/1800637/000121390024094613/ea022010001ex4-1_agrify.htm 99.4 -</w:t>
      </w:r>
    </w:p>
    <w:p>
      <w:pPr>
        <w:ind w:left="920"/>
        <w:spacing w:after="0" w:line="230" w:lineRule="auto"/>
        <w:rPr>
          <w:sz w:val="20"/>
          <w:szCs w:val="20"/>
          <w:color w:val="auto"/>
        </w:rPr>
      </w:pPr>
      <w:r>
        <w:rPr>
          <w:rFonts w:ascii="Times New Roman" w:cs="Times New Roman" w:eastAsia="Times New Roman" w:hAnsi="Times New Roman"/>
          <w:sz w:val="22"/>
          <w:szCs w:val="22"/>
          <w:color w:val="auto"/>
        </w:rPr>
        <w:t>Purchase Agreement dated December 12, 2024 -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https://www.sec.gov/Archives/edgar/data/1800637/000121390024109041/ea022484801ex99-4_agrify.htm 99.5 -</w:t>
      </w:r>
    </w:p>
    <w:p>
      <w:pPr>
        <w:ind w:left="920"/>
        <w:spacing w:after="0" w:line="230" w:lineRule="auto"/>
        <w:rPr>
          <w:sz w:val="20"/>
          <w:szCs w:val="20"/>
          <w:color w:val="auto"/>
        </w:rPr>
      </w:pPr>
      <w:r>
        <w:rPr>
          <w:rFonts w:ascii="Times New Roman" w:cs="Times New Roman" w:eastAsia="Times New Roman" w:hAnsi="Times New Roman"/>
          <w:sz w:val="22"/>
          <w:szCs w:val="22"/>
          <w:color w:val="auto"/>
        </w:rPr>
        <w:t>Form of Secured Convertible Note dated May 22, 2025 -</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https://www.sec.gov/Archives/edgar/data/1800637/000121390025046875/ea024318601ex4-2_agrify.htm 99.6 - Form</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Pre-Funded Common Stock Purchase Warrant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https://www.sec.gov/Archives/edgar/data/1800637/000121390025046875/ea024318601ex4-1_agrify.htm 99.7 -</w:t>
      </w:r>
    </w:p>
    <w:p>
      <w:pPr>
        <w:ind w:left="920"/>
        <w:spacing w:after="0" w:line="231" w:lineRule="auto"/>
        <w:rPr>
          <w:sz w:val="20"/>
          <w:szCs w:val="20"/>
          <w:color w:val="auto"/>
        </w:rPr>
      </w:pPr>
      <w:r>
        <w:rPr>
          <w:rFonts w:ascii="Times New Roman" w:cs="Times New Roman" w:eastAsia="Times New Roman" w:hAnsi="Times New Roman"/>
          <w:sz w:val="22"/>
          <w:szCs w:val="22"/>
          <w:color w:val="auto"/>
        </w:rPr>
        <w:t>Amendment and Waiver to Secured Convertible Note dated May 8, 2025 -</w:t>
      </w:r>
    </w:p>
    <w:p>
      <w:pPr>
        <w:ind w:left="920"/>
        <w:spacing w:after="0" w:line="230" w:lineRule="auto"/>
        <w:rPr>
          <w:sz w:val="20"/>
          <w:szCs w:val="20"/>
          <w:color w:val="auto"/>
        </w:rPr>
      </w:pPr>
      <w:r>
        <w:rPr>
          <w:rFonts w:ascii="Times New Roman" w:cs="Times New Roman" w:eastAsia="Times New Roman" w:hAnsi="Times New Roman"/>
          <w:sz w:val="22"/>
          <w:szCs w:val="22"/>
          <w:color w:val="auto"/>
        </w:rPr>
        <w:t>sec.gov/Archives/edgar/data/1800637/000121390025041201/ea023943501ex4-1_agrify.htm 99.8 - Second</w:t>
      </w:r>
    </w:p>
    <w:p>
      <w:pPr>
        <w:ind w:left="920"/>
        <w:spacing w:after="0" w:line="231" w:lineRule="auto"/>
        <w:rPr>
          <w:sz w:val="20"/>
          <w:szCs w:val="20"/>
          <w:color w:val="auto"/>
        </w:rPr>
      </w:pPr>
      <w:r>
        <w:rPr>
          <w:rFonts w:ascii="Times New Roman" w:cs="Times New Roman" w:eastAsia="Times New Roman" w:hAnsi="Times New Roman"/>
          <w:sz w:val="22"/>
          <w:szCs w:val="22"/>
          <w:color w:val="auto"/>
        </w:rPr>
        <w:t>Amendment to Secured Convertible Note, dated May 22, 2025 -</w:t>
      </w:r>
    </w:p>
    <w:p>
      <w:pPr>
        <w:ind w:left="9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https://www.sec.gov/Archives/edgar/data/1800637/000121390025046875/ea024318601ex4-3_agrify.htm 99.9 -</w:t>
      </w:r>
    </w:p>
    <w:p>
      <w:pPr>
        <w:ind w:left="920"/>
        <w:spacing w:after="0" w:line="231" w:lineRule="auto"/>
        <w:rPr>
          <w:sz w:val="20"/>
          <w:szCs w:val="20"/>
          <w:color w:val="auto"/>
        </w:rPr>
      </w:pPr>
      <w:r>
        <w:rPr>
          <w:rFonts w:ascii="Times New Roman" w:cs="Times New Roman" w:eastAsia="Times New Roman" w:hAnsi="Times New Roman"/>
          <w:sz w:val="22"/>
          <w:szCs w:val="22"/>
          <w:color w:val="auto"/>
        </w:rPr>
        <w:t>Purchase Agreement, dated May 20, 2025, by and between VCP IP Holdings, LLC and Agrify Corporation -</w:t>
      </w:r>
    </w:p>
    <w:p>
      <w:pPr>
        <w:ind w:left="9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https://www.sec.gov/Archives/edgar/data/1800637/000121390025046875/ea024318601ex10-1_agrify.htm 99.10 -</w:t>
      </w:r>
    </w:p>
    <w:p>
      <w:pPr>
        <w:ind w:left="920"/>
        <w:spacing w:after="0" w:line="231" w:lineRule="auto"/>
        <w:rPr>
          <w:sz w:val="20"/>
          <w:szCs w:val="20"/>
          <w:color w:val="auto"/>
        </w:rPr>
      </w:pPr>
      <w:r>
        <w:rPr>
          <w:rFonts w:ascii="Times New Roman" w:cs="Times New Roman" w:eastAsia="Times New Roman" w:hAnsi="Times New Roman"/>
          <w:sz w:val="22"/>
          <w:szCs w:val="22"/>
          <w:color w:val="auto"/>
        </w:rPr>
        <w:t>Trademark and Recipe License Agreement, dated May 20, 2025, by and between MC Brands LLC and GTI Core,</w:t>
      </w:r>
    </w:p>
    <w:p>
      <w:pPr>
        <w:ind w:left="920"/>
        <w:spacing w:after="0" w:line="230" w:lineRule="auto"/>
        <w:rPr>
          <w:sz w:val="20"/>
          <w:szCs w:val="20"/>
          <w:color w:val="auto"/>
        </w:rPr>
      </w:pPr>
      <w:r>
        <w:rPr>
          <w:rFonts w:ascii="Times New Roman" w:cs="Times New Roman" w:eastAsia="Times New Roman" w:hAnsi="Times New Roman"/>
          <w:sz w:val="22"/>
          <w:szCs w:val="22"/>
          <w:color w:val="auto"/>
        </w:rPr>
        <w:t>LLC -https://www.sec.gov/Archives/edgar/data/1800637/000121390025046875/ea024318601ex10-2_agrify.htm</w:t>
      </w:r>
    </w:p>
    <w:p>
      <w:pPr>
        <w:ind w:left="920"/>
        <w:spacing w:after="0" w:line="231" w:lineRule="auto"/>
        <w:rPr>
          <w:sz w:val="20"/>
          <w:szCs w:val="20"/>
          <w:color w:val="auto"/>
        </w:rPr>
      </w:pPr>
      <w:r>
        <w:rPr>
          <w:rFonts w:ascii="Times New Roman" w:cs="Times New Roman" w:eastAsia="Times New Roman" w:hAnsi="Times New Roman"/>
          <w:sz w:val="22"/>
          <w:szCs w:val="22"/>
          <w:color w:val="auto"/>
        </w:rPr>
        <w:t>99.11 - Trademark and Recipe License Agreement, dated May 20, 2025, by and between For Success Holding</w:t>
      </w:r>
    </w:p>
    <w:p>
      <w:pPr>
        <w:ind w:left="920"/>
        <w:spacing w:after="0"/>
        <w:rPr>
          <w:sz w:val="20"/>
          <w:szCs w:val="20"/>
          <w:color w:val="auto"/>
        </w:rPr>
      </w:pPr>
      <w:r>
        <w:rPr>
          <w:rFonts w:ascii="Times New Roman" w:cs="Times New Roman" w:eastAsia="Times New Roman" w:hAnsi="Times New Roman"/>
          <w:sz w:val="22"/>
          <w:szCs w:val="22"/>
          <w:color w:val="auto"/>
        </w:rPr>
        <w:t>Company and Core Growth, LLC</w:t>
      </w:r>
    </w:p>
    <w:p>
      <w:pPr>
        <w:sectPr>
          <w:pgSz w:w="11900" w:h="16871" w:orient="portrait"/>
          <w:cols w:equalWidth="0" w:num="1">
            <w:col w:w="11140"/>
          </w:cols>
          <w:pgMar w:left="360" w:top="111" w:right="399" w:bottom="0" w:gutter="0" w:footer="0" w:header="0"/>
        </w:sectPr>
      </w:pPr>
    </w:p>
    <w:bookmarkStart w:id="8" w:name="page9"/>
    <w:bookmarkEnd w:id="8"/>
    <w:p>
      <w:pPr>
        <w:jc w:val="both"/>
        <w:ind w:left="700" w:right="300"/>
        <w:spacing w:after="0" w:line="249" w:lineRule="auto"/>
        <w:rPr>
          <w:sz w:val="20"/>
          <w:szCs w:val="20"/>
          <w:color w:val="auto"/>
        </w:rPr>
      </w:pPr>
      <w:r>
        <w:rPr>
          <w:rFonts w:ascii="Times New Roman" w:cs="Times New Roman" w:eastAsia="Times New Roman" w:hAnsi="Times New Roman"/>
          <w:sz w:val="21"/>
          <w:szCs w:val="21"/>
          <w:color w:val="auto"/>
        </w:rPr>
        <w:t>https://www.sec.gov/Archives/edgar/data/1800637/000121390025046875/ea024318601ex10-3_agrify.htm 99.12 - Trademark and Recipe License Agreement, dated May 20, 2025, by and between VCP IP Holdings, LLC and Core Growth, LLC https://www.sec.gov/Archives/edgar/data/1800637/000121390025046875/ea024318601ex10-</w:t>
      </w:r>
    </w:p>
    <w:p>
      <w:pPr>
        <w:spacing w:after="0" w:line="2" w:lineRule="exact"/>
        <w:rPr>
          <w:sz w:val="20"/>
          <w:szCs w:val="20"/>
          <w:color w:val="auto"/>
        </w:rPr>
      </w:pPr>
    </w:p>
    <w:p>
      <w:pPr>
        <w:ind w:left="700" w:right="340"/>
        <w:spacing w:after="0" w:line="233" w:lineRule="auto"/>
        <w:rPr>
          <w:sz w:val="20"/>
          <w:szCs w:val="20"/>
          <w:color w:val="auto"/>
        </w:rPr>
      </w:pPr>
      <w:r>
        <w:rPr>
          <w:rFonts w:ascii="Times New Roman" w:cs="Times New Roman" w:eastAsia="Times New Roman" w:hAnsi="Times New Roman"/>
          <w:sz w:val="22"/>
          <w:szCs w:val="22"/>
          <w:color w:val="auto"/>
        </w:rPr>
        <w:t>4_agrify.htm 99.13 - Amended and Restated Shared Services Agreement, dated May 22, 2025, by and between Agrify Corporation and Vision Management Services, LLC - https://www.sec.gov/Archives/edgar/data/1800637/000121390025046875/ea024318601ex10-5_agrify.htm 99.14 - Current Report on Form 8-K dated May 20, 2025 as filed on May 22, 2025 - https://www.sec.gov/Archives/edgar/data/1800637/000121390025046875/ea0243186-8k_agrify.htm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RSLGH, LLC</w:t>
      </w:r>
    </w:p>
    <w:p>
      <w:pPr>
        <w:spacing w:after="0" w:line="152" w:lineRule="exact"/>
        <w:rPr>
          <w:sz w:val="20"/>
          <w:szCs w:val="20"/>
          <w:color w:val="auto"/>
        </w:rPr>
      </w:pPr>
    </w:p>
    <w:p>
      <w:pPr>
        <w:ind w:left="394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 Kravitz</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Bret Kravitz/Corporate Secretary</w:t>
      </w:r>
    </w:p>
    <w:p>
      <w:pPr>
        <w:spacing w:after="0" w:line="44" w:lineRule="exact"/>
        <w:rPr>
          <w:sz w:val="20"/>
          <w:szCs w:val="20"/>
          <w:color w:val="auto"/>
        </w:rPr>
      </w:pPr>
    </w:p>
    <w:p>
      <w:pPr>
        <w:ind w:left="394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05/29/2025</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WELLNESS MGMT, LLC</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Benjamin Kovler/Authorized Signatory</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05/29/2025</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FOR SUCCESS HOLDING COMPANY</w:t>
      </w:r>
    </w:p>
    <w:p>
      <w:pPr>
        <w:spacing w:after="0" w:line="152" w:lineRule="exact"/>
        <w:rPr>
          <w:sz w:val="20"/>
          <w:szCs w:val="20"/>
          <w:color w:val="auto"/>
        </w:rPr>
      </w:pPr>
    </w:p>
    <w:p>
      <w:pPr>
        <w:ind w:left="414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Benjamin Kovler/CEO &amp; President</w:t>
      </w:r>
    </w:p>
    <w:p>
      <w:pPr>
        <w:spacing w:after="0" w:line="44" w:lineRule="exact"/>
        <w:rPr>
          <w:sz w:val="20"/>
          <w:szCs w:val="20"/>
          <w:color w:val="auto"/>
        </w:rPr>
      </w:pPr>
    </w:p>
    <w:p>
      <w:pPr>
        <w:ind w:left="414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05/29/2025</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VCP23, LLC</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Benjamin Kovler/Manager</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05/29/2025</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GTI23,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Name/Title: </w:t>
      </w:r>
      <w:r>
        <w:rPr>
          <w:rFonts w:ascii="Times New Roman" w:cs="Times New Roman" w:eastAsia="Times New Roman" w:hAnsi="Times New Roman"/>
          <w:sz w:val="33"/>
          <w:szCs w:val="33"/>
          <w:color w:val="auto"/>
          <w:vertAlign w:val="superscript"/>
        </w:rPr>
        <w:t>Benjamin</w:t>
      </w:r>
      <w:r>
        <w:rPr>
          <w:rFonts w:ascii="Times New Roman" w:cs="Times New Roman" w:eastAsia="Times New Roman" w:hAnsi="Times New Roman"/>
          <w:sz w:val="33"/>
          <w:szCs w:val="33"/>
          <w:color w:val="auto"/>
          <w:vertAlign w:val="subscript"/>
        </w:rPr>
        <w:t>Signatory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3"/>
          <w:szCs w:val="33"/>
          <w:color w:val="auto"/>
          <w:vertAlign w:val="superscript"/>
        </w:rPr>
        <w:t>Kovler/Director &amp; Authorized</w:t>
      </w:r>
    </w:p>
    <w:p>
      <w:pPr>
        <w:spacing w:after="0" w:line="199"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05/29/2025</w:t>
      </w:r>
    </w:p>
    <w:p>
      <w:pPr>
        <w:spacing w:after="0" w:line="1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GREEN THUMB INDUSTRIES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Benjamin</w:t>
      </w:r>
      <w:r>
        <w:rPr>
          <w:rFonts w:ascii="Times New Roman" w:cs="Times New Roman" w:eastAsia="Times New Roman" w:hAnsi="Times New Roman"/>
          <w:sz w:val="34"/>
          <w:szCs w:val="34"/>
          <w:color w:val="auto"/>
          <w:vertAlign w:val="subscript"/>
        </w:rPr>
        <w:t>Officer</w:t>
      </w:r>
      <w:r>
        <w:rPr>
          <w:rFonts w:ascii="Times New Roman" w:cs="Times New Roman" w:eastAsia="Times New Roman" w:hAnsi="Times New Roman"/>
          <w:sz w:val="18"/>
          <w:szCs w:val="18"/>
          <w:color w:val="auto"/>
        </w:rPr>
        <w:t xml:space="preserve"> Kovler/Chairman and Chief Executive</w:t>
      </w:r>
    </w:p>
    <w:p>
      <w:pPr>
        <w:spacing w:after="0" w:line="164"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4"/>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5"/>
      <w:numFmt w:val="bullet"/>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3"/>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2025-05-29T17:14:20Z</dcterms:created>
  <dcterms:modified xsi:type="dcterms:W3CDTF">2025-05-29T17:14:20Z</dcterms:modified>
</cp:coreProperties>
</file>