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795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957820"/>
                    </a:xfrm>
                    <a:prstGeom prst="rect">
                      <a:avLst/>
                    </a:prstGeom>
                    <a:noFill/>
                  </pic:spPr>
                </pic:pic>
              </a:graphicData>
            </a:graphic>
          </wp:anchor>
        </w:drawing>
      </w:r>
    </w:p>
    <w:p>
      <w:pPr>
        <w:spacing w:after="0" w:line="1162" w:lineRule="exact"/>
        <w:rPr>
          <w:sz w:val="24"/>
          <w:szCs w:val="24"/>
          <w:color w:val="auto"/>
        </w:rPr>
      </w:pPr>
    </w:p>
    <w:p>
      <w:pPr>
        <w:sectPr>
          <w:pgSz w:w="11900" w:h="16839" w:orient="portrait"/>
          <w:cols w:equalWidth="0" w:num="2">
            <w:col w:w="2300" w:space="32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RSLGH, LLC</w:t>
              </w:r>
            </w:hyperlink>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9"/>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Agrify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AGFY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60" w:type="dxa"/>
            <w:vAlign w:val="bottom"/>
            <w:gridSpan w:val="2"/>
          </w:tcPr>
          <w:p>
            <w:pPr>
              <w:spacing w:after="0"/>
              <w:rPr>
                <w:sz w:val="6"/>
                <w:szCs w:val="6"/>
                <w:color w:val="auto"/>
              </w:rPr>
            </w:pPr>
          </w:p>
        </w:tc>
        <w:tc>
          <w:tcPr>
            <w:tcW w:w="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10"/>
          </w:tcPr>
          <w:p>
            <w:pPr>
              <w:ind w:left="80"/>
              <w:spacing w:after="0"/>
              <w:rPr>
                <w:sz w:val="20"/>
                <w:szCs w:val="20"/>
                <w:color w:val="auto"/>
              </w:rPr>
            </w:pPr>
            <w:r>
              <w:rPr>
                <w:rFonts w:ascii="Arial" w:cs="Arial" w:eastAsia="Arial" w:hAnsi="Arial"/>
                <w:sz w:val="13"/>
                <w:szCs w:val="13"/>
                <w:color w:val="auto"/>
                <w:w w:val="99"/>
              </w:rPr>
              <w:t>3. Date of Earliest Transaction (Month/Day/Year)</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060" w:type="dxa"/>
            <w:vAlign w:val="bottom"/>
          </w:tcPr>
          <w:p>
            <w:pPr>
              <w:spacing w:after="0"/>
              <w:rPr>
                <w:sz w:val="18"/>
                <w:szCs w:val="18"/>
                <w:color w:val="auto"/>
              </w:rPr>
            </w:pPr>
          </w:p>
        </w:tc>
        <w:tc>
          <w:tcPr>
            <w:tcW w:w="1320" w:type="dxa"/>
            <w:vAlign w:val="bottom"/>
            <w:gridSpan w:val="7"/>
          </w:tcPr>
          <w:p>
            <w:pPr>
              <w:ind w:left="320"/>
              <w:spacing w:after="0"/>
              <w:rPr>
                <w:sz w:val="20"/>
                <w:szCs w:val="20"/>
                <w:color w:val="auto"/>
              </w:rPr>
            </w:pPr>
            <w:r>
              <w:rPr>
                <w:rFonts w:ascii="Times New Roman" w:cs="Times New Roman" w:eastAsia="Times New Roman" w:hAnsi="Times New Roman"/>
                <w:sz w:val="17"/>
                <w:szCs w:val="17"/>
                <w:color w:val="0000FF"/>
              </w:rPr>
              <w:t>12/12/2024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7"/>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11"/>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ind w:left="20"/>
              <w:spacing w:after="0" w:line="178" w:lineRule="exact"/>
              <w:rPr>
                <w:sz w:val="20"/>
                <w:szCs w:val="20"/>
                <w:color w:val="auto"/>
              </w:rPr>
            </w:pPr>
            <w:r>
              <w:rPr>
                <w:rFonts w:ascii="Times New Roman" w:cs="Times New Roman" w:eastAsia="Times New Roman" w:hAnsi="Times New Roman"/>
                <w:sz w:val="17"/>
                <w:szCs w:val="17"/>
                <w:color w:val="0000FF"/>
              </w:rPr>
              <w:t>CHICAGO</w:t>
            </w:r>
          </w:p>
        </w:tc>
        <w:tc>
          <w:tcPr>
            <w:tcW w:w="1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0000FF"/>
                <w:w w:val="86"/>
              </w:rPr>
              <w:t>IL</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0000FF"/>
              </w:rPr>
              <w:t>60654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21"/>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80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7"/>
          </w:tcPr>
          <w:p>
            <w:pPr>
              <w:ind w:left="80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5"/>
          </w:tcPr>
          <w:p>
            <w:pPr>
              <w:ind w:left="2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gridSpan w:val="3"/>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20" w:type="dxa"/>
            <w:vAlign w:val="bottom"/>
            <w:gridSpan w:val="17"/>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Funded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185,500</w:t>
            </w:r>
          </w:p>
        </w:tc>
        <w:tc>
          <w:tcPr>
            <w:tcW w:w="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35.54</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ind w:left="260"/>
              <w:spacing w:after="0" w:line="268"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Warrants</w:t>
            </w:r>
          </w:p>
        </w:tc>
        <w:tc>
          <w:tcPr>
            <w:tcW w:w="58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0000FF"/>
              </w:rPr>
              <w:t>12/12/2024</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5"/>
          </w:tcPr>
          <w:p>
            <w:pPr>
              <w:ind w:left="20"/>
              <w:spacing w:after="0" w:line="128" w:lineRule="exact"/>
              <w:rPr>
                <w:sz w:val="20"/>
                <w:szCs w:val="20"/>
                <w:color w:val="auto"/>
              </w:rPr>
            </w:pPr>
            <w:r>
              <w:rPr>
                <w:rFonts w:ascii="Times New Roman" w:cs="Times New Roman" w:eastAsia="Times New Roman" w:hAnsi="Times New Roman"/>
                <w:sz w:val="13"/>
                <w:szCs w:val="13"/>
                <w:color w:val="0000FF"/>
              </w:rPr>
              <w:t>P</w:t>
            </w:r>
          </w:p>
        </w:tc>
        <w:tc>
          <w:tcPr>
            <w:tcW w:w="5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w w:val="99"/>
              </w:rPr>
              <w:t>185,500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185,500</w:t>
            </w: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8"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RSLGH, LLC</w:t>
              </w:r>
            </w:hyperlink>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60654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gridSpan w:val="3"/>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Green Thumb Industries Inc.</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60654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-5285105</wp:posOffset>
            </wp:positionV>
            <wp:extent cx="28575"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925320"/>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12/12/2024, RLSGH, LLC (the "Investor") entered into a purchase agreement with Double or Nothing, LLC ("DON"), pursuant to which the Investor purchased pre-funded warrants to acquire up to 185,500 shares of the common stock of Agrify Corporation (the "Issuer") at a purchase price of $35.54 per pre-funded warrant, which is equal to the most recent closing price of the Issuer's common stock as of the time the purchase agreement was signed. The pre-funded warrants include a beneficial ownership limitation of 4.99% of the Issuer's common stock. The Investor may increase or decrease this percentage, but not in excess of 49.99%, by providing at least 61 days' prior notice. Additionally, the pre-funded warrants may not be exercised to the extent that the aggregate number of shares of common stock issued at closing and upon exercise of pre-funded warrants under the Asset Purchase Agreement among the Company, DON its members, dated as of 12/12/2024, would collectively exceed 370,670.</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Investor is the direct beneficial owner of the pre-funded warrants. The Investor is an indirectly wholly-owned subsidiary of Green Thumb Industries Inc. ("Green Thumb"). Green Thumb is the sole</w:t>
      </w:r>
    </w:p>
    <w:p>
      <w:pPr>
        <w:sectPr>
          <w:pgSz w:w="11900" w:h="16839" w:orient="portrait"/>
          <w:cols w:equalWidth="0" w:num="1">
            <w:col w:w="11080"/>
          </w:cols>
          <w:pgMar w:left="460" w:top="216" w:right="359" w:bottom="0" w:gutter="0" w:footer="0" w:header="0"/>
          <w:type w:val="continuous"/>
        </w:sectPr>
      </w:pPr>
    </w:p>
    <w:bookmarkStart w:id="1" w:name="page2"/>
    <w:bookmarkEnd w:id="1"/>
    <w:p>
      <w:pPr>
        <w:spacing w:after="0" w:line="250" w:lineRule="auto"/>
        <w:rPr>
          <w:sz w:val="20"/>
          <w:szCs w:val="20"/>
          <w:color w:val="auto"/>
        </w:rPr>
      </w:pPr>
      <w:r>
        <w:rPr>
          <w:rFonts w:ascii="Times New Roman" w:cs="Times New Roman" w:eastAsia="Times New Roman" w:hAnsi="Times New Roman"/>
          <w:sz w:val="13"/>
          <w:szCs w:val="13"/>
          <w:color w:val="008000"/>
        </w:rPr>
        <w:t>shareholder of GTI23, Inc., which is the sole member of VCP23, LLC, which is the sole shareholder of For Success Holdings Company. For Success Holdings Company is the sole member of Wellness Mgmt, LLC, which is the sole member of Core Growth, LLC. Core Growth, LLC is the sole member of Investor.</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120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Secretary, on behalf of RLGH,</w:t>
      </w:r>
      <w:r>
        <w:rPr>
          <w:sz w:val="20"/>
          <w:szCs w:val="20"/>
          <w:color w:val="auto"/>
        </w:rPr>
        <w:tab/>
      </w:r>
      <w:r>
        <w:rPr>
          <w:rFonts w:ascii="Times New Roman" w:cs="Times New Roman" w:eastAsia="Times New Roman" w:hAnsi="Times New Roman"/>
          <w:sz w:val="16"/>
          <w:szCs w:val="16"/>
          <w:color w:val="0000FF"/>
        </w:rPr>
        <w:t>12/16/2024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98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120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Secretary, on behalf of RLGH,</w:t>
      </w:r>
      <w:r>
        <w:rPr>
          <w:sz w:val="20"/>
          <w:szCs w:val="20"/>
          <w:color w:val="auto"/>
        </w:rPr>
        <w:tab/>
      </w:r>
      <w:r>
        <w:rPr>
          <w:rFonts w:ascii="Times New Roman" w:cs="Times New Roman" w:eastAsia="Times New Roman" w:hAnsi="Times New Roman"/>
          <w:sz w:val="16"/>
          <w:szCs w:val="16"/>
          <w:color w:val="0000FF"/>
        </w:rPr>
        <w:t>12/16/2024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877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98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260"/>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00"/>
      </w:cols>
      <w:pgMar w:left="500" w:top="12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2043397" TargetMode="External"/><Relationship Id="rId14" Type="http://schemas.openxmlformats.org/officeDocument/2006/relationships/hyperlink" Target="http://www.sec.gov/cgi-bin/browse-edgar?action=getcompany&amp;CIK=0001800637" TargetMode="External"/><Relationship Id="rId15"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2024-12-16T06:44:06Z</dcterms:created>
  <dcterms:modified xsi:type="dcterms:W3CDTF">2024-12-16T06:44:06Z</dcterms:modified>
</cp:coreProperties>
</file>