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26, 2021</w:t>
      </w:r>
    </w:p>
    <w:p>
      <w:pPr>
        <w:spacing w:after="0" w:line="31"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333-251616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AGRIFY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88"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6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8742</w:t>
            </w:r>
          </w:p>
        </w:tc>
        <w:tc>
          <w:tcPr>
            <w:tcW w:w="80" w:type="dxa"/>
            <w:vAlign w:val="bottom"/>
          </w:tcPr>
          <w:p>
            <w:pPr>
              <w:spacing w:after="0"/>
              <w:rPr>
                <w:sz w:val="20"/>
                <w:szCs w:val="20"/>
                <w:color w:val="auto"/>
              </w:rPr>
            </w:pPr>
          </w:p>
        </w:tc>
        <w:tc>
          <w:tcPr>
            <w:tcW w:w="27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30-0943453</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Middlesex Turnpike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Raymond Chang,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194"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Mitchell S. Nussbaum, Esq.</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Barry I. Grossman, Esq.</w:t>
            </w:r>
          </w:p>
        </w:tc>
      </w:tr>
      <w:tr>
        <w:trPr>
          <w:trHeight w:val="216"/>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David J. Levine, Esq.</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Lawrence A. Rosenbloom, Esq.</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Ellenoff Grossman &amp; Schole LLP</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345 Park Avenue</w:t>
            </w:r>
          </w:p>
        </w:tc>
        <w:tc>
          <w:tcPr>
            <w:tcW w:w="4440" w:type="dxa"/>
            <w:vAlign w:val="bottom"/>
          </w:tcPr>
          <w:p>
            <w:pPr>
              <w:jc w:val="center"/>
              <w:ind w:left="129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1345 Avenue of the Americas, 11</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New York, NY 10154</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New York, NY 10105</w:t>
            </w:r>
          </w:p>
        </w:tc>
      </w:tr>
      <w:tr>
        <w:trPr>
          <w:trHeight w:val="216"/>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Tel: (212) 407-4000</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Tel: (212) 370-1300</w:t>
            </w:r>
          </w:p>
        </w:tc>
      </w:tr>
      <w:tr>
        <w:trPr>
          <w:trHeight w:val="238"/>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Fax: (212) 937-3943</w:t>
            </w:r>
          </w:p>
        </w:tc>
        <w:tc>
          <w:tcPr>
            <w:tcW w:w="44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Fax: (212) 370-7889</w:t>
            </w:r>
          </w:p>
        </w:tc>
      </w:tr>
      <w:tr>
        <w:trPr>
          <w:trHeight w:val="432"/>
        </w:trPr>
        <w:tc>
          <w:tcPr>
            <w:tcW w:w="2240" w:type="dxa"/>
            <w:vAlign w:val="bottom"/>
          </w:tcPr>
          <w:p>
            <w:pPr>
              <w:spacing w:after="0"/>
              <w:rPr>
                <w:sz w:val="24"/>
                <w:szCs w:val="24"/>
                <w:color w:val="auto"/>
              </w:rPr>
            </w:pPr>
          </w:p>
        </w:tc>
        <w:tc>
          <w:tcPr>
            <w:tcW w:w="44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_________________</w:t>
            </w:r>
          </w:p>
        </w:tc>
      </w:tr>
    </w:tbl>
    <w:p>
      <w:pPr>
        <w:spacing w:after="0" w:line="32" w:lineRule="exact"/>
        <w:rPr>
          <w:sz w:val="24"/>
          <w:szCs w:val="24"/>
          <w:color w:val="auto"/>
        </w:rPr>
      </w:pPr>
    </w:p>
    <w:p>
      <w:pPr>
        <w:ind w:left="460" w:right="659" w:firstLine="432"/>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of this registration statement.</w:t>
      </w:r>
    </w:p>
    <w:p>
      <w:pPr>
        <w:ind w:left="460" w:right="739" w:firstLine="432"/>
        <w:spacing w:after="0" w:line="281"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8"/>
          <w:szCs w:val="18"/>
          <w:color w:val="auto"/>
        </w:rPr>
        <w:t>£</w:t>
      </w:r>
    </w:p>
    <w:p>
      <w:pPr>
        <w:ind w:left="460" w:right="67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6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63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p>
        </w:tc>
        <w:tc>
          <w:tcPr>
            <w:tcW w:w="3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Arial" w:cs="Arial" w:eastAsia="Arial" w:hAnsi="Arial"/>
                <w:sz w:val="18"/>
                <w:szCs w:val="18"/>
                <w:color w:val="auto"/>
              </w:rPr>
              <w:t>£</w:t>
            </w:r>
          </w:p>
        </w:tc>
      </w:tr>
      <w:tr>
        <w:trPr>
          <w:trHeight w:val="28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Arial" w:cs="Arial" w:eastAsia="Arial" w:hAnsi="Arial"/>
                <w:sz w:val="18"/>
                <w:szCs w:val="18"/>
                <w:color w:val="auto"/>
              </w:rPr>
              <w:t>£</w:t>
            </w:r>
          </w:p>
        </w:tc>
        <w:tc>
          <w:tcPr>
            <w:tcW w:w="3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tc>
      </w:tr>
      <w:tr>
        <w:trPr>
          <w:trHeight w:val="284"/>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 not check if smaller reporting company)</w:t>
            </w:r>
          </w:p>
        </w:tc>
        <w:tc>
          <w:tcPr>
            <w:tcW w:w="3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tc>
      </w:tr>
      <w:tr>
        <w:trPr>
          <w:trHeight w:val="441"/>
        </w:trPr>
        <w:tc>
          <w:tcPr>
            <w:tcW w:w="4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6" w:right="1440" w:bottom="420"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4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4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r>
      <w:tr>
        <w:trPr>
          <w:trHeight w:val="259"/>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60"/>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Price</w:t>
            </w:r>
            <w:r>
              <w:rPr>
                <w:rFonts w:ascii="Times New Roman" w:cs="Times New Roman" w:eastAsia="Times New Roman" w:hAnsi="Times New Roman"/>
                <w:sz w:val="9"/>
                <w:szCs w:val="9"/>
                <w:b w:val="1"/>
                <w:bCs w:val="1"/>
                <w:color w:val="auto"/>
                <w:w w:val="88"/>
              </w:rPr>
              <w:t>(1)(2)</w:t>
            </w:r>
          </w:p>
        </w:tc>
        <w:tc>
          <w:tcPr>
            <w:tcW w:w="140" w:type="dxa"/>
            <w:vAlign w:val="bottom"/>
          </w:tcPr>
          <w:p>
            <w:pPr>
              <w:spacing w:after="0"/>
              <w:rPr>
                <w:sz w:val="22"/>
                <w:szCs w:val="22"/>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4"/>
              </w:rPr>
              <w:t>Fee</w:t>
            </w:r>
            <w:r>
              <w:rPr>
                <w:rFonts w:ascii="Times New Roman" w:cs="Times New Roman" w:eastAsia="Times New Roman" w:hAnsi="Times New Roman"/>
                <w:sz w:val="18"/>
                <w:szCs w:val="18"/>
                <w:b w:val="1"/>
                <w:bCs w:val="1"/>
                <w:color w:val="auto"/>
                <w:w w:val="94"/>
                <w:vertAlign w:val="superscript"/>
              </w:rPr>
              <w:t>(3)</w:t>
            </w:r>
          </w:p>
        </w:tc>
      </w:tr>
      <w:tr>
        <w:trPr>
          <w:trHeight w:val="243"/>
        </w:trPr>
        <w:tc>
          <w:tcPr>
            <w:tcW w:w="53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5,645.92</w:t>
            </w:r>
          </w:p>
        </w:tc>
      </w:tr>
      <w:tr>
        <w:trPr>
          <w:trHeight w:val="28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 warrants to purchase common stock</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underlying Representative’s warrants</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2,846,250.00</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w:t>
            </w: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54,596,250.00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5,956.45</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819" w:hanging="426"/>
        <w:spacing w:after="0" w:line="269"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common stock that may be issued upon exercise of a 45-day option granted to the underwriters to cover over-allotments, if any.</w:t>
      </w:r>
    </w:p>
    <w:p>
      <w:pPr>
        <w:ind w:left="880" w:right="49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w:t>
      </w:r>
    </w:p>
    <w:p>
      <w:pPr>
        <w:ind w:left="880" w:right="103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$3,293.46 was previously paid. The balance is paid herewith.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68" w:lineRule="auto"/>
        <w:tabs>
          <w:tab w:leader="none" w:pos="87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110% of the public offering price. As estimated solely for the purpose of calculating the registration fee pursuant to Rule 457(g) under the Securities Act, the proposed maximum aggregate offering price of the representative’s warrant is $2,846,250, which is equal to 5% of the maximum aggregate price at which such warrants may be exercised (or $56,925,000).</w:t>
      </w:r>
    </w:p>
    <w:p>
      <w:pPr>
        <w:spacing w:after="0" w:line="101" w:lineRule="exact"/>
        <w:rPr>
          <w:sz w:val="20"/>
          <w:szCs w:val="20"/>
          <w:color w:val="auto"/>
        </w:rPr>
      </w:pPr>
    </w:p>
    <w:p>
      <w:pPr>
        <w:ind w:left="460" w:right="51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316230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633730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9" w:lineRule="exact"/>
        <w:rPr>
          <w:sz w:val="20"/>
          <w:szCs w:val="20"/>
          <w:color w:val="auto"/>
        </w:rPr>
      </w:pPr>
    </w:p>
    <w:p>
      <w:pPr>
        <w:ind w:left="460" w:right="539"/>
        <w:spacing w:after="0" w:line="281" w:lineRule="auto"/>
        <w:rPr>
          <w:sz w:val="20"/>
          <w:szCs w:val="20"/>
          <w:color w:val="auto"/>
        </w:rPr>
      </w:pPr>
      <w:r>
        <w:rPr>
          <w:rFonts w:ascii="Times New Roman" w:cs="Times New Roman" w:eastAsia="Times New Roman" w:hAnsi="Times New Roman"/>
          <w:sz w:val="16"/>
          <w:szCs w:val="16"/>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9" w:lineRule="exact"/>
        <w:rPr>
          <w:sz w:val="20"/>
          <w:szCs w:val="20"/>
          <w:color w:val="auto"/>
        </w:rPr>
      </w:pPr>
    </w:p>
    <w:p>
      <w:pPr>
        <w:ind w:left="460"/>
        <w:spacing w:after="0"/>
        <w:tabs>
          <w:tab w:leader="none" w:pos="384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SUBJECT TO COMPLETION, DATED JANUARY 26, 2021</w:t>
      </w:r>
    </w:p>
    <w:p>
      <w:pPr>
        <w:spacing w:after="0" w:line="25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5,000,000 Shares</w:t>
      </w:r>
    </w:p>
    <w:p>
      <w:pPr>
        <w:spacing w:after="0" w:line="22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161290</wp:posOffset>
            </wp:positionV>
            <wp:extent cx="3051810" cy="84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This is the initial public offering of Agrify Corporation. No public market currently exists for our common stock. We are offering 5,000,000 shares of our common stock and anticipate the initial public offering price will be between $8.00 and $10.00 per share.</w:t>
      </w:r>
    </w:p>
    <w:p>
      <w:pPr>
        <w:spacing w:after="0" w:line="149"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Our shares of common stock have been approved for listing on the NASDAQ Capital Market (or NASDAQ) under the symbol “AGFY.”</w:t>
      </w:r>
    </w:p>
    <w:p>
      <w:pPr>
        <w:spacing w:after="0" w:line="158" w:lineRule="exact"/>
        <w:rPr>
          <w:sz w:val="20"/>
          <w:szCs w:val="20"/>
          <w:color w:val="auto"/>
        </w:rPr>
      </w:pPr>
    </w:p>
    <w:p>
      <w:pPr>
        <w:jc w:val="both"/>
        <w:ind w:left="460" w:right="63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of 2012 and, as such, may elect to comply with certain reduced reporting requirements after this offering. See “Prospectus Summary — Emerging Growth Company Status.”</w:t>
      </w:r>
    </w:p>
    <w:p>
      <w:pPr>
        <w:spacing w:after="0" w:line="130"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Price to Public</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firstLine="21"/>
        <w:spacing w:after="0" w:line="282" w:lineRule="auto"/>
        <w:rPr>
          <w:sz w:val="20"/>
          <w:szCs w:val="20"/>
          <w:color w:val="auto"/>
        </w:rPr>
      </w:pPr>
      <w:r>
        <w:rPr>
          <w:rFonts w:ascii="Times New Roman" w:cs="Times New Roman" w:eastAsia="Times New Roman" w:hAnsi="Times New Roman"/>
          <w:sz w:val="16"/>
          <w:szCs w:val="16"/>
          <w:b w:val="1"/>
          <w:bCs w:val="1"/>
          <w:color w:val="auto"/>
        </w:rPr>
        <w:t>Underwriting Discounts and Commissions</w:t>
      </w:r>
      <w:r>
        <w:rPr>
          <w:rFonts w:ascii="Times New Roman" w:cs="Times New Roman" w:eastAsia="Times New Roman" w:hAnsi="Times New Roman"/>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Proceeds to Us</w:t>
      </w:r>
    </w:p>
    <w:p>
      <w:pPr>
        <w:spacing w:after="0" w:line="74" w:lineRule="exact"/>
        <w:rPr>
          <w:sz w:val="20"/>
          <w:szCs w:val="20"/>
          <w:color w:val="auto"/>
        </w:rPr>
      </w:pPr>
    </w:p>
    <w:p>
      <w:pPr>
        <w:sectPr>
          <w:pgSz w:w="11900" w:h="16838" w:orient="portrait"/>
          <w:cols w:equalWidth="0" w:num="3">
            <w:col w:w="5600" w:space="340"/>
            <w:col w:w="1020" w:space="400"/>
            <w:col w:w="16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40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4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1"/>
                <w:szCs w:val="21"/>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87" w:lineRule="exact"/>
        <w:rPr>
          <w:sz w:val="20"/>
          <w:szCs w:val="20"/>
          <w:color w:val="auto"/>
        </w:rPr>
      </w:pPr>
    </w:p>
    <w:p>
      <w:pPr>
        <w:ind w:left="880" w:right="619" w:hanging="426"/>
        <w:spacing w:after="0" w:line="272"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underwriting discount of 8.0% of the public offering price (which does not take into account an underwriting discount of 3.5% of the public offering price as applied to shares sold to certain investors),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22"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have granted the representative of the underwriters the right to purchase an additional 750,000 shares of our common stock to cover over-allotments.</w:t>
      </w:r>
    </w:p>
    <w:p>
      <w:pPr>
        <w:spacing w:after="0" w:line="185"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r>
        <w:trPr>
          <w:trHeight w:val="364"/>
        </w:trPr>
        <w:tc>
          <w:tcPr>
            <w:tcW w:w="596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700" w:type="dxa"/>
            <w:vAlign w:val="bottom"/>
          </w:tcPr>
          <w:p>
            <w:pPr>
              <w:spacing w:after="0"/>
              <w:rPr>
                <w:sz w:val="24"/>
                <w:szCs w:val="24"/>
                <w:color w:val="auto"/>
              </w:rPr>
            </w:pPr>
          </w:p>
        </w:tc>
      </w:tr>
    </w:tbl>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334"/>
        </w:trPr>
        <w:tc>
          <w:tcPr>
            <w:tcW w:w="4760" w:type="dxa"/>
            <w:vAlign w:val="bottom"/>
          </w:tcPr>
          <w:p>
            <w:pPr>
              <w:ind w:left="900"/>
              <w:spacing w:after="0"/>
              <w:rPr>
                <w:sz w:val="20"/>
                <w:szCs w:val="20"/>
                <w:color w:val="auto"/>
              </w:rPr>
            </w:pPr>
            <w:r>
              <w:rPr>
                <w:rFonts w:ascii="Times New Roman" w:cs="Times New Roman" w:eastAsia="Times New Roman" w:hAnsi="Times New Roman"/>
                <w:sz w:val="25"/>
                <w:szCs w:val="25"/>
                <w:b w:val="1"/>
                <w:bCs w:val="1"/>
                <w:color w:val="auto"/>
              </w:rPr>
              <w:t>Maxim Group LLC</w:t>
            </w:r>
          </w:p>
        </w:tc>
        <w:tc>
          <w:tcPr>
            <w:tcW w:w="3340" w:type="dxa"/>
            <w:vAlign w:val="bottom"/>
          </w:tcPr>
          <w:p>
            <w:pPr>
              <w:jc w:val="right"/>
              <w:ind w:right="732"/>
              <w:spacing w:after="0"/>
              <w:rPr>
                <w:sz w:val="20"/>
                <w:szCs w:val="20"/>
                <w:color w:val="auto"/>
              </w:rPr>
            </w:pPr>
            <w:r>
              <w:rPr>
                <w:rFonts w:ascii="Times New Roman" w:cs="Times New Roman" w:eastAsia="Times New Roman" w:hAnsi="Times New Roman"/>
                <w:sz w:val="25"/>
                <w:szCs w:val="25"/>
                <w:b w:val="1"/>
                <w:bCs w:val="1"/>
                <w:color w:val="auto"/>
              </w:rPr>
              <w:t>Roth Capital Partners</w:t>
            </w:r>
          </w:p>
        </w:tc>
      </w:tr>
      <w:tr>
        <w:trPr>
          <w:trHeight w:val="450"/>
        </w:trPr>
        <w:tc>
          <w:tcPr>
            <w:tcW w:w="47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3340" w:type="dxa"/>
            <w:vAlign w:val="bottom"/>
          </w:tcPr>
          <w:p>
            <w:pPr>
              <w:jc w:val="right"/>
              <w:ind w:right="2472"/>
              <w:spacing w:after="0"/>
              <w:rPr>
                <w:sz w:val="20"/>
                <w:szCs w:val="20"/>
                <w:color w:val="auto"/>
              </w:rPr>
            </w:pPr>
            <w:r>
              <w:rPr>
                <w:rFonts w:ascii="Times New Roman" w:cs="Times New Roman" w:eastAsia="Times New Roman" w:hAnsi="Times New Roman"/>
                <w:sz w:val="18"/>
                <w:szCs w:val="18"/>
                <w:color w:val="auto"/>
              </w:rPr>
              <w:t>, 2021</w:t>
            </w:r>
          </w:p>
        </w:tc>
      </w:tr>
      <w:tr>
        <w:trPr>
          <w:trHeight w:val="391"/>
        </w:trPr>
        <w:tc>
          <w:tcPr>
            <w:tcW w:w="47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Business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19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0"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8019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7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2" w:lineRule="exact"/>
        <w:rPr>
          <w:sz w:val="20"/>
          <w:szCs w:val="20"/>
          <w:color w:val="auto"/>
        </w:rPr>
      </w:pPr>
    </w:p>
    <w:p>
      <w:pPr>
        <w:jc w:val="both"/>
        <w:ind w:left="540" w:right="8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92" w:lineRule="exact"/>
        <w:rPr>
          <w:sz w:val="20"/>
          <w:szCs w:val="20"/>
          <w:color w:val="auto"/>
        </w:rPr>
      </w:pPr>
    </w:p>
    <w:p>
      <w:pPr>
        <w:ind w:left="540" w:right="6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540" w:right="899" w:firstLine="432"/>
        <w:spacing w:after="0" w:line="266" w:lineRule="auto"/>
        <w:rPr>
          <w:sz w:val="20"/>
          <w:szCs w:val="20"/>
          <w:color w:val="auto"/>
        </w:rPr>
      </w:pPr>
      <w:r>
        <w:rPr>
          <w:rFonts w:ascii="Times New Roman" w:cs="Times New Roman" w:eastAsia="Times New Roman" w:hAnsi="Times New Roman"/>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purpose and function of each of these entities is as follows:</w:t>
      </w:r>
    </w:p>
    <w:p>
      <w:pPr>
        <w:spacing w:after="0" w:line="142" w:lineRule="exact"/>
        <w:rPr>
          <w:sz w:val="20"/>
          <w:szCs w:val="20"/>
          <w:color w:val="auto"/>
        </w:rPr>
      </w:pPr>
    </w:p>
    <w:p>
      <w:pPr>
        <w:ind w:left="540" w:right="6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TriGrow Systems, LLC</w:t>
      </w:r>
      <w:r>
        <w:rPr>
          <w:rFonts w:ascii="Times New Roman" w:cs="Times New Roman" w:eastAsia="Times New Roman" w:hAnsi="Times New Roman"/>
          <w:sz w:val="18"/>
          <w:szCs w:val="18"/>
          <w:color w:val="auto"/>
        </w:rPr>
        <w:t>: We acquired TriGrow Systems, Inc. (“TriGrow”) in January 2020. TriGrow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sole distributor of our vertical farming units. Following the acquisition of TriGrow, we began selling our products directly to end customers.</w:t>
      </w:r>
    </w:p>
    <w:p>
      <w:pPr>
        <w:spacing w:after="0" w:line="106" w:lineRule="exact"/>
        <w:rPr>
          <w:sz w:val="20"/>
          <w:szCs w:val="20"/>
          <w:color w:val="auto"/>
        </w:rPr>
      </w:pPr>
    </w:p>
    <w:p>
      <w:pPr>
        <w:ind w:left="540" w:right="139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AGM Service Company LLC</w:t>
      </w:r>
      <w:r>
        <w:rPr>
          <w:rFonts w:ascii="Times New Roman" w:cs="Times New Roman" w:eastAsia="Times New Roman" w:hAnsi="Times New Roman"/>
          <w:sz w:val="18"/>
          <w:szCs w:val="18"/>
          <w:color w:val="auto"/>
        </w:rPr>
        <w:t>: AGM Service Company LLC serves as our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handling employment, benefits and other personnel matters for our company.</w:t>
      </w:r>
    </w:p>
    <w:p>
      <w:pPr>
        <w:spacing w:after="0" w:line="91" w:lineRule="exact"/>
        <w:rPr>
          <w:sz w:val="20"/>
          <w:szCs w:val="20"/>
          <w:color w:val="auto"/>
        </w:rPr>
      </w:pPr>
    </w:p>
    <w:p>
      <w:pPr>
        <w:jc w:val="both"/>
        <w:ind w:left="540" w:right="69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Agrify-Valiant, LLC</w:t>
      </w:r>
      <w:r>
        <w:rPr>
          <w:rFonts w:ascii="Times New Roman" w:cs="Times New Roman" w:eastAsia="Times New Roman" w:hAnsi="Times New Roman"/>
          <w:sz w:val="18"/>
          <w:szCs w:val="18"/>
          <w:color w:val="auto"/>
        </w:rPr>
        <w:t>: In December 2019, we established Agrify-Valiant, LLC as a joint venture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Valiant-America. Agrify Valiant, LLC was formed to expand our product offering to include various facility build-out, design, engineering and consulting services.</w:t>
      </w:r>
    </w:p>
    <w:p>
      <w:pPr>
        <w:spacing w:after="0" w:line="92" w:lineRule="exact"/>
        <w:rPr>
          <w:sz w:val="20"/>
          <w:szCs w:val="20"/>
          <w:color w:val="auto"/>
        </w:rPr>
      </w:pPr>
    </w:p>
    <w:p>
      <w:pPr>
        <w:jc w:val="both"/>
        <w:ind w:left="540" w:right="8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Agrify Brands, LLC</w:t>
      </w:r>
      <w:r>
        <w:rPr>
          <w:rFonts w:ascii="Times New Roman" w:cs="Times New Roman" w:eastAsia="Times New Roman" w:hAnsi="Times New Roman"/>
          <w:sz w:val="18"/>
          <w:szCs w:val="18"/>
          <w:color w:val="auto"/>
        </w:rPr>
        <w:t>: As part of the acquisition of TriGrow, we received TriGrow’s 75%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Agrify Brands, LLC (formerly TriGrow Brands, LLC), a licensor of an established portfolio of consumer brands that utilize our grow technology.</w:t>
      </w:r>
    </w:p>
    <w:p>
      <w:pPr>
        <w:spacing w:after="0" w:line="106" w:lineRule="exact"/>
        <w:rPr>
          <w:sz w:val="20"/>
          <w:szCs w:val="20"/>
          <w:color w:val="auto"/>
        </w:rPr>
      </w:pPr>
    </w:p>
    <w:p>
      <w:pPr>
        <w:ind w:left="540" w:right="13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Ariafy Finance, LLC</w:t>
      </w:r>
      <w:r>
        <w:rPr>
          <w:rFonts w:ascii="Times New Roman" w:cs="Times New Roman" w:eastAsia="Times New Roman" w:hAnsi="Times New Roman"/>
          <w:sz w:val="18"/>
          <w:szCs w:val="18"/>
          <w:color w:val="auto"/>
        </w:rPr>
        <w:t>: Ariafy Finance, LLC was set up to be used as the entity that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financing to our customers.</w:t>
      </w:r>
    </w:p>
    <w:p>
      <w:pPr>
        <w:spacing w:after="0" w:line="91" w:lineRule="exact"/>
        <w:rPr>
          <w:sz w:val="20"/>
          <w:szCs w:val="20"/>
          <w:color w:val="auto"/>
        </w:rPr>
      </w:pPr>
    </w:p>
    <w:p>
      <w:pPr>
        <w:ind w:left="540" w:right="89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Agxiom, LLC</w:t>
      </w:r>
      <w:r>
        <w:rPr>
          <w:rFonts w:ascii="Times New Roman" w:cs="Times New Roman" w:eastAsia="Times New Roman" w:hAnsi="Times New Roman"/>
          <w:sz w:val="18"/>
          <w:szCs w:val="18"/>
          <w:color w:val="auto"/>
        </w:rPr>
        <w:t>: Agxiom, LLC houses the data that is collected by the</w:t>
      </w:r>
      <w:r>
        <w:rPr>
          <w:rFonts w:ascii="Times New Roman" w:cs="Times New Roman" w:eastAsia="Times New Roman" w:hAnsi="Times New Roman"/>
          <w:sz w:val="18"/>
          <w:szCs w:val="18"/>
          <w:i w:val="1"/>
          <w:iCs w:val="1"/>
          <w:color w:val="auto"/>
        </w:rPr>
        <w:t xml:space="preserve"> Agrify Vertical Farming Unit (AVFU)</w:t>
      </w:r>
      <w:r>
        <w:rPr>
          <w:rFonts w:ascii="Times New Roman" w:cs="Times New Roman" w:eastAsia="Times New Roman" w:hAnsi="Times New Roman"/>
          <w:sz w:val="18"/>
          <w:szCs w:val="18"/>
          <w:color w:val="auto"/>
        </w:rPr>
        <w:t>, and integrates the data on behalf of growers with required state reporting platforms.</w:t>
      </w:r>
    </w:p>
    <w:p>
      <w:pPr>
        <w:spacing w:after="0" w:line="77" w:lineRule="exact"/>
        <w:rPr>
          <w:sz w:val="20"/>
          <w:szCs w:val="20"/>
          <w:color w:val="auto"/>
        </w:rPr>
      </w:pPr>
    </w:p>
    <w:p>
      <w:pPr>
        <w:ind w:left="540" w:right="11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Harbor Mountain Holdings, LLC</w:t>
      </w:r>
      <w:r>
        <w:rPr>
          <w:rFonts w:ascii="Times New Roman" w:cs="Times New Roman" w:eastAsia="Times New Roman" w:hAnsi="Times New Roman"/>
          <w:sz w:val="18"/>
          <w:szCs w:val="18"/>
          <w:color w:val="auto"/>
        </w:rPr>
        <w:t>: In July 2020, we acquired Harbor Mountain Holdings,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(HMH”), a company that has been producing and assembling many of our products.</w:t>
      </w:r>
    </w:p>
    <w:p>
      <w:pPr>
        <w:spacing w:after="0" w:line="93"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7" w:lineRule="exact"/>
        <w:rPr>
          <w:sz w:val="20"/>
          <w:szCs w:val="20"/>
          <w:color w:val="auto"/>
        </w:rPr>
      </w:pPr>
    </w:p>
    <w:p>
      <w:pPr>
        <w:ind w:left="540" w:right="619" w:firstLine="432"/>
        <w:spacing w:after="0" w:line="253" w:lineRule="auto"/>
        <w:rPr>
          <w:sz w:val="20"/>
          <w:szCs w:val="20"/>
          <w:color w:val="auto"/>
        </w:rPr>
      </w:pPr>
      <w:r>
        <w:rPr>
          <w:rFonts w:ascii="Times New Roman" w:cs="Times New Roman" w:eastAsia="Times New Roman" w:hAnsi="Times New Roman"/>
          <w:sz w:val="18"/>
          <w:szCs w:val="18"/>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24"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 xml:space="preserve">Our principal address is 101 Middlesex Turnpike, Suite 6, PMB 326, Burlington, MA 01803. Our telephone number is (617) 896-5243. We maintain a website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The information contained on our website is not, and should not be interpreted to be, a part of this prospectus.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540" w:right="5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Times New Roman" w:cs="Times New Roman" w:eastAsia="Times New Roman" w:hAnsi="Times New Roman"/>
          <w:sz w:val="18"/>
          <w:szCs w:val="18"/>
          <w:i w:val="1"/>
          <w:iCs w:val="1"/>
          <w:color w:val="auto"/>
        </w:rPr>
        <w:t>Agrify “Precision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Elevated™” </w:t>
      </w:r>
      <w:r>
        <w:rPr>
          <w:rFonts w:ascii="Times New Roman" w:cs="Times New Roman" w:eastAsia="Times New Roman" w:hAnsi="Times New Roman"/>
          <w:sz w:val="18"/>
          <w:szCs w:val="18"/>
          <w:color w:val="auto"/>
        </w:rPr>
        <w:t>cultivation solution is vastly differentiated from anything else on the market in that it combines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27"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27"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08"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Times New Roman" w:cs="Times New Roman" w:eastAsia="Times New Roman" w:hAnsi="Times New Roman"/>
          <w:sz w:val="18"/>
          <w:szCs w:val="18"/>
          <w:i w:val="1"/>
          <w:iCs w:val="1"/>
          <w:color w:val="auto"/>
        </w:rPr>
        <w:t>AVFU</w:t>
      </w:r>
      <w:r>
        <w:rPr>
          <w:rFonts w:ascii="Times New Roman" w:cs="Times New Roman" w:eastAsia="Times New Roman" w:hAnsi="Times New Roman"/>
          <w:sz w:val="18"/>
          <w:szCs w:val="18"/>
          <w:color w:val="auto"/>
        </w:rPr>
        <w:t xml:space="preserve">, as well as our proprietary Software as a Service (“SaaS”) product </w:t>
      </w:r>
      <w:r>
        <w:rPr>
          <w:rFonts w:ascii="Times New Roman" w:cs="Times New Roman" w:eastAsia="Times New Roman" w:hAnsi="Times New Roman"/>
          <w:sz w:val="18"/>
          <w:szCs w:val="18"/>
          <w:i w:val="1"/>
          <w:iCs w:val="1"/>
          <w:color w:val="auto"/>
        </w:rPr>
        <w:t>Agrify Insights</w:t>
      </w:r>
      <w:r>
        <w:rPr>
          <w:rFonts w:ascii="Times New Roman" w:cs="Times New Roman" w:eastAsia="Times New Roman" w:hAnsi="Times New Roman"/>
          <w:sz w:val="18"/>
          <w:szCs w:val="18"/>
          <w:color w:val="auto"/>
        </w:rPr>
        <w:t>™. SaaS (also known as subscribeware or rentware) is a software licensing and delivery model wherein software is licensed on a subscription basis and is centrally hosted.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61" w:lineRule="auto"/>
        <w:rPr>
          <w:sz w:val="20"/>
          <w:szCs w:val="20"/>
          <w:color w:val="auto"/>
        </w:rPr>
      </w:pPr>
      <w:r>
        <w:rPr>
          <w:rFonts w:ascii="Times New Roman" w:cs="Times New Roman" w:eastAsia="Times New Roman" w:hAnsi="Times New Roman"/>
          <w:sz w:val="18"/>
          <w:szCs w:val="18"/>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1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99" w:lineRule="exact"/>
        <w:rPr>
          <w:sz w:val="20"/>
          <w:szCs w:val="20"/>
          <w:color w:val="auto"/>
        </w:rPr>
      </w:pPr>
    </w:p>
    <w:p>
      <w:pPr>
        <w:ind w:left="540" w:right="779" w:firstLine="432"/>
        <w:spacing w:after="0" w:line="274" w:lineRule="auto"/>
        <w:rPr>
          <w:sz w:val="20"/>
          <w:szCs w:val="20"/>
          <w:color w:val="auto"/>
        </w:rPr>
      </w:pPr>
      <w:r>
        <w:rPr>
          <w:rFonts w:ascii="Times New Roman" w:cs="Times New Roman" w:eastAsia="Times New Roman" w:hAnsi="Times New Roman"/>
          <w:sz w:val="17"/>
          <w:szCs w:val="17"/>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105"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121" w:lineRule="exact"/>
        <w:rPr>
          <w:sz w:val="20"/>
          <w:szCs w:val="20"/>
          <w:color w:val="auto"/>
        </w:rPr>
      </w:pPr>
    </w:p>
    <w:p>
      <w:pPr>
        <w:ind w:left="540" w:right="619" w:firstLine="432"/>
        <w:spacing w:after="0" w:line="254" w:lineRule="auto"/>
        <w:rPr>
          <w:sz w:val="20"/>
          <w:szCs w:val="20"/>
          <w:color w:val="auto"/>
        </w:rPr>
      </w:pPr>
      <w:r>
        <w:rPr>
          <w:rFonts w:ascii="Times New Roman" w:cs="Times New Roman" w:eastAsia="Times New Roman" w:hAnsi="Times New Roman"/>
          <w:sz w:val="18"/>
          <w:szCs w:val="18"/>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Product: the Agrify “Precision Elevated™” Cultivation Solution</w:t>
      </w:r>
    </w:p>
    <w:p>
      <w:pPr>
        <w:spacing w:after="0" w:line="148" w:lineRule="exact"/>
        <w:rPr>
          <w:sz w:val="20"/>
          <w:szCs w:val="20"/>
          <w:color w:val="auto"/>
        </w:rPr>
      </w:pPr>
    </w:p>
    <w:p>
      <w:pPr>
        <w:ind w:left="540" w:right="619" w:firstLine="432"/>
        <w:spacing w:after="0" w:line="256" w:lineRule="auto"/>
        <w:rPr>
          <w:sz w:val="20"/>
          <w:szCs w:val="20"/>
          <w:color w:val="auto"/>
        </w:rPr>
      </w:pPr>
      <w:r>
        <w:rPr>
          <w:rFonts w:ascii="Times New Roman" w:cs="Times New Roman" w:eastAsia="Times New Roman" w:hAnsi="Times New Roman"/>
          <w:sz w:val="18"/>
          <w:szCs w:val="18"/>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20" w:lineRule="exact"/>
        <w:rPr>
          <w:sz w:val="20"/>
          <w:szCs w:val="20"/>
          <w:color w:val="auto"/>
        </w:rPr>
      </w:pPr>
    </w:p>
    <w:p>
      <w:pPr>
        <w:jc w:val="both"/>
        <w:ind w:left="540" w:right="579" w:firstLine="432"/>
        <w:spacing w:after="0" w:line="281" w:lineRule="auto"/>
        <w:rPr>
          <w:sz w:val="20"/>
          <w:szCs w:val="20"/>
          <w:color w:val="auto"/>
        </w:rPr>
      </w:pPr>
      <w:r>
        <w:rPr>
          <w:rFonts w:ascii="Times New Roman" w:cs="Times New Roman" w:eastAsia="Times New Roman" w:hAnsi="Times New Roman"/>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97"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44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448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759" w:firstLine="432"/>
        <w:spacing w:after="0" w:line="261" w:lineRule="auto"/>
        <w:rPr>
          <w:sz w:val="20"/>
          <w:szCs w:val="20"/>
          <w:color w:val="auto"/>
        </w:rPr>
      </w:pPr>
      <w:r>
        <w:rPr>
          <w:rFonts w:ascii="Times New Roman" w:cs="Times New Roman" w:eastAsia="Times New Roman" w:hAnsi="Times New Roman"/>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Agrify Vertical Farming Unit</w:t>
      </w:r>
    </w:p>
    <w:p>
      <w:pPr>
        <w:spacing w:after="0" w:line="162" w:lineRule="exact"/>
        <w:rPr>
          <w:sz w:val="20"/>
          <w:szCs w:val="20"/>
          <w:color w:val="auto"/>
        </w:rPr>
      </w:pPr>
    </w:p>
    <w:p>
      <w:pPr>
        <w:ind w:left="540" w:right="619" w:firstLine="432"/>
        <w:spacing w:after="0" w:line="253" w:lineRule="auto"/>
        <w:rPr>
          <w:sz w:val="20"/>
          <w:szCs w:val="20"/>
          <w:color w:val="auto"/>
        </w:rPr>
      </w:pPr>
      <w:r>
        <w:rPr>
          <w:rFonts w:ascii="Times New Roman" w:cs="Times New Roman" w:eastAsia="Times New Roman" w:hAnsi="Times New Roman"/>
          <w:sz w:val="18"/>
          <w:szCs w:val="18"/>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Insights™</w:t>
      </w:r>
    </w:p>
    <w:p>
      <w:pPr>
        <w:sectPr>
          <w:pgSz w:w="11900" w:h="16838" w:orient="portrait"/>
          <w:cols w:equalWidth="0" w:num="1">
            <w:col w:w="9019"/>
          </w:cols>
          <w:pgMar w:left="1440" w:top="270"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84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2848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80" w:lineRule="exact"/>
        <w:rPr>
          <w:sz w:val="20"/>
          <w:szCs w:val="20"/>
          <w:color w:val="auto"/>
        </w:rPr>
      </w:pPr>
    </w:p>
    <w:p>
      <w:pPr>
        <w:ind w:left="540" w:right="579" w:firstLine="432"/>
        <w:spacing w:after="0" w:line="253" w:lineRule="auto"/>
        <w:rPr>
          <w:sz w:val="20"/>
          <w:szCs w:val="20"/>
          <w:color w:val="auto"/>
        </w:rPr>
      </w:pPr>
      <w:r>
        <w:rPr>
          <w:rFonts w:ascii="Times New Roman" w:cs="Times New Roman" w:eastAsia="Times New Roman" w:hAnsi="Times New Roman"/>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66" w:lineRule="auto"/>
        <w:rPr>
          <w:sz w:val="20"/>
          <w:szCs w:val="20"/>
          <w:color w:val="auto"/>
        </w:rPr>
      </w:pPr>
      <w:r>
        <w:rPr>
          <w:rFonts w:ascii="Times New Roman" w:cs="Times New Roman" w:eastAsia="Times New Roman" w:hAnsi="Times New Roman"/>
          <w:sz w:val="18"/>
          <w:szCs w:val="18"/>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68" w:lineRule="exact"/>
        <w:rPr>
          <w:sz w:val="20"/>
          <w:szCs w:val="20"/>
          <w:color w:val="auto"/>
        </w:rPr>
      </w:pPr>
    </w:p>
    <w:p>
      <w:pPr>
        <w:ind w:left="540" w:right="599" w:firstLine="432"/>
        <w:spacing w:after="0" w:line="258" w:lineRule="auto"/>
        <w:rPr>
          <w:sz w:val="20"/>
          <w:szCs w:val="20"/>
          <w:color w:val="auto"/>
        </w:rPr>
      </w:pPr>
      <w:r>
        <w:rPr>
          <w:rFonts w:ascii="Times New Roman" w:cs="Times New Roman" w:eastAsia="Times New Roman" w:hAnsi="Times New Roman"/>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62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76224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with Traditional Grow Room</w:t>
      </w:r>
    </w:p>
    <w:p>
      <w:pPr>
        <w:spacing w:after="0" w:line="67" w:lineRule="exact"/>
        <w:rPr>
          <w:sz w:val="20"/>
          <w:szCs w:val="20"/>
          <w:color w:val="auto"/>
        </w:rPr>
      </w:pPr>
    </w:p>
    <w:p>
      <w:pPr>
        <w:ind w:left="540" w:right="127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30" w:lineRule="exact"/>
        <w:rPr>
          <w:sz w:val="20"/>
          <w:szCs w:val="20"/>
          <w:color w:val="auto"/>
        </w:rPr>
      </w:pPr>
    </w:p>
    <w:p>
      <w:pPr>
        <w:ind w:left="940" w:hanging="396"/>
        <w:spacing w:after="0"/>
        <w:tabs>
          <w:tab w:leader="none" w:pos="9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394" w:lineRule="exact"/>
        <w:rPr>
          <w:rFonts w:ascii="Times New Roman" w:cs="Times New Roman" w:eastAsia="Times New Roman" w:hAnsi="Times New Roman"/>
          <w:sz w:val="16"/>
          <w:szCs w:val="16"/>
          <w:i w:val="1"/>
          <w:iCs w:val="1"/>
          <w:color w:val="auto"/>
        </w:rPr>
      </w:pPr>
    </w:p>
    <w:p>
      <w:pPr>
        <w:ind w:left="446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ind w:left="540" w:right="111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77" w:lineRule="exact"/>
        <w:rPr>
          <w:sz w:val="20"/>
          <w:szCs w:val="20"/>
          <w:color w:val="auto"/>
        </w:rPr>
      </w:pPr>
    </w:p>
    <w:p>
      <w:pPr>
        <w:ind w:left="1400" w:right="599" w:hanging="424"/>
        <w:spacing w:after="0" w:line="255"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7" w:lineRule="exact"/>
        <w:rPr>
          <w:rFonts w:ascii="Times New Roman" w:cs="Times New Roman" w:eastAsia="Times New Roman" w:hAnsi="Times New Roman"/>
          <w:sz w:val="18"/>
          <w:szCs w:val="18"/>
          <w:color w:val="auto"/>
        </w:rPr>
      </w:pPr>
    </w:p>
    <w:p>
      <w:pPr>
        <w:ind w:left="1400" w:right="859" w:hanging="424"/>
        <w:spacing w:after="0" w:line="262"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Integrated Proprietary Components. </w:t>
      </w:r>
      <w:r>
        <w:rPr>
          <w:rFonts w:ascii="Times New Roman" w:cs="Times New Roman" w:eastAsia="Times New Roman" w:hAnsi="Times New Roman"/>
          <w:sz w:val="18"/>
          <w:szCs w:val="18"/>
          <w:color w:val="auto"/>
        </w:rPr>
        <w:t>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55"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Proprietary Grow Solutions. </w:t>
      </w:r>
      <w:r>
        <w:rPr>
          <w:rFonts w:ascii="Times New Roman" w:cs="Times New Roman" w:eastAsia="Times New Roman" w:hAnsi="Times New Roman"/>
          <w:sz w:val="18"/>
          <w:szCs w:val="18"/>
          <w:color w:val="auto"/>
        </w:rPr>
        <w:t>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57"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Knowledge and Understanding. </w:t>
      </w:r>
      <w:r>
        <w:rPr>
          <w:rFonts w:ascii="Times New Roman" w:cs="Times New Roman" w:eastAsia="Times New Roman" w:hAnsi="Times New Roman"/>
          <w:sz w:val="18"/>
          <w:szCs w:val="18"/>
          <w:color w:val="auto"/>
        </w:rPr>
        <w:t>We have extensive experience with controlled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4" w:lineRule="exact"/>
        <w:rPr>
          <w:rFonts w:ascii="Times New Roman" w:cs="Times New Roman" w:eastAsia="Times New Roman" w:hAnsi="Times New Roman"/>
          <w:sz w:val="18"/>
          <w:szCs w:val="18"/>
          <w:color w:val="auto"/>
        </w:rPr>
      </w:pPr>
    </w:p>
    <w:p>
      <w:pPr>
        <w:ind w:left="1400" w:right="559" w:hanging="424"/>
        <w:spacing w:after="0" w:line="257"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Business Model. </w:t>
      </w:r>
      <w:r>
        <w:rPr>
          <w:rFonts w:ascii="Times New Roman" w:cs="Times New Roman" w:eastAsia="Times New Roman" w:hAnsi="Times New Roman"/>
          <w:sz w:val="18"/>
          <w:szCs w:val="18"/>
          <w:color w:val="auto"/>
        </w:rPr>
        <w:t>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114" w:lineRule="exact"/>
        <w:rPr>
          <w:rFonts w:ascii="Times New Roman" w:cs="Times New Roman" w:eastAsia="Times New Roman" w:hAnsi="Times New Roman"/>
          <w:sz w:val="18"/>
          <w:szCs w:val="18"/>
          <w:color w:val="auto"/>
        </w:rPr>
      </w:pPr>
    </w:p>
    <w:p>
      <w:pPr>
        <w:ind w:left="1400" w:right="559" w:hanging="424"/>
        <w:spacing w:after="0" w:line="256" w:lineRule="auto"/>
        <w:tabs>
          <w:tab w:leader="none" w:pos="1391"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Strategic Investment from and Deep Integration with Large Asian Manufacturer</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96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0962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579"/>
        <w:spacing w:after="0" w:line="255" w:lineRule="auto"/>
        <w:rPr>
          <w:sz w:val="20"/>
          <w:szCs w:val="20"/>
          <w:color w:val="auto"/>
        </w:rPr>
      </w:pPr>
      <w:r>
        <w:rPr>
          <w:rFonts w:ascii="Times New Roman" w:cs="Times New Roman" w:eastAsia="Times New Roman" w:hAnsi="Times New Roman"/>
          <w:sz w:val="18"/>
          <w:szCs w:val="18"/>
          <w:color w:val="auto"/>
        </w:rPr>
        <w:t>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17" w:lineRule="exact"/>
        <w:rPr>
          <w:sz w:val="20"/>
          <w:szCs w:val="20"/>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Joint Venture with Experienced Consulting and General Contractor of Industrial</w:t>
      </w:r>
    </w:p>
    <w:p>
      <w:pPr>
        <w:spacing w:after="0" w:line="31" w:lineRule="exact"/>
        <w:rPr>
          <w:rFonts w:ascii="Times New Roman" w:cs="Times New Roman" w:eastAsia="Times New Roman" w:hAnsi="Times New Roman"/>
          <w:sz w:val="18"/>
          <w:szCs w:val="18"/>
          <w:color w:val="auto"/>
        </w:rPr>
      </w:pPr>
    </w:p>
    <w:p>
      <w:pPr>
        <w:ind w:left="140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Facilities. </w:t>
      </w:r>
      <w:r>
        <w:rPr>
          <w:rFonts w:ascii="Times New Roman" w:cs="Times New Roman" w:eastAsia="Times New Roman" w:hAnsi="Times New Roman"/>
          <w:sz w:val="18"/>
          <w:szCs w:val="18"/>
          <w:color w:val="auto"/>
        </w:rPr>
        <w:t>We formed a joint venture with Valiant-America in December 2019 recognizing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107" w:lineRule="exact"/>
        <w:rPr>
          <w:rFonts w:ascii="Times New Roman" w:cs="Times New Roman" w:eastAsia="Times New Roman" w:hAnsi="Times New Roman"/>
          <w:sz w:val="18"/>
          <w:szCs w:val="18"/>
          <w:color w:val="auto"/>
        </w:rPr>
      </w:pPr>
    </w:p>
    <w:p>
      <w:pPr>
        <w:ind w:left="1400" w:right="659" w:hanging="424"/>
        <w:spacing w:after="0" w:line="259"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Equipment Financing Solution. </w:t>
      </w:r>
      <w:r>
        <w:rPr>
          <w:rFonts w:ascii="Times New Roman" w:cs="Times New Roman" w:eastAsia="Times New Roman" w:hAnsi="Times New Roman"/>
          <w:sz w:val="18"/>
          <w:szCs w:val="18"/>
          <w:color w:val="auto"/>
        </w:rPr>
        <w:t>Limited access to outside capital is a significant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11" w:lineRule="exact"/>
        <w:rPr>
          <w:rFonts w:ascii="Times New Roman" w:cs="Times New Roman" w:eastAsia="Times New Roman" w:hAnsi="Times New Roman"/>
          <w:sz w:val="18"/>
          <w:szCs w:val="18"/>
          <w:color w:val="auto"/>
        </w:rPr>
      </w:pPr>
    </w:p>
    <w:p>
      <w:pPr>
        <w:ind w:left="1400" w:right="719" w:hanging="424"/>
        <w:spacing w:after="0" w:line="262"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and Proven Management Team. </w:t>
      </w:r>
      <w:r>
        <w:rPr>
          <w:rFonts w:ascii="Times New Roman" w:cs="Times New Roman" w:eastAsia="Times New Roman" w:hAnsi="Times New Roman"/>
          <w:sz w:val="18"/>
          <w:szCs w:val="18"/>
          <w:color w:val="auto"/>
        </w:rPr>
        <w:t>Our leadership team has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48" w:lineRule="exact"/>
        <w:rPr>
          <w:sz w:val="20"/>
          <w:szCs w:val="20"/>
          <w:color w:val="auto"/>
        </w:rPr>
      </w:pPr>
    </w:p>
    <w:p>
      <w:pPr>
        <w:ind w:left="540" w:right="639" w:firstLine="432"/>
        <w:spacing w:after="0" w:line="256" w:lineRule="auto"/>
        <w:rPr>
          <w:sz w:val="20"/>
          <w:szCs w:val="20"/>
          <w:color w:val="auto"/>
        </w:rPr>
      </w:pPr>
      <w:r>
        <w:rPr>
          <w:rFonts w:ascii="Times New Roman" w:cs="Times New Roman" w:eastAsia="Times New Roman" w:hAnsi="Times New Roman"/>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106"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4"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3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362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Additional Market Opportunity</w:t>
      </w:r>
    </w:p>
    <w:p>
      <w:pPr>
        <w:spacing w:after="0" w:line="146"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27"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08"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779"/>
        <w:spacing w:after="0" w:line="266" w:lineRule="auto"/>
        <w:rPr>
          <w:sz w:val="20"/>
          <w:szCs w:val="20"/>
          <w:color w:val="auto"/>
        </w:rPr>
      </w:pPr>
      <w:r>
        <w:rPr>
          <w:rFonts w:ascii="Times New Roman" w:cs="Times New Roman" w:eastAsia="Times New Roman" w:hAnsi="Times New Roman"/>
          <w:sz w:val="18"/>
          <w:szCs w:val="18"/>
          <w:color w:val="auto"/>
        </w:rPr>
        <w:t>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08" w:lineRule="exact"/>
        <w:rPr>
          <w:sz w:val="20"/>
          <w:szCs w:val="20"/>
          <w:color w:val="auto"/>
        </w:rPr>
      </w:pPr>
    </w:p>
    <w:p>
      <w:pPr>
        <w:ind w:left="1400" w:right="61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our rigorous sales process and continue to put a strong infrastructure in place to enable revenue growth;</w:t>
      </w:r>
    </w:p>
    <w:p>
      <w:pPr>
        <w:spacing w:after="0" w:line="80" w:lineRule="exact"/>
        <w:rPr>
          <w:rFonts w:ascii="Times New Roman" w:cs="Times New Roman" w:eastAsia="Times New Roman" w:hAnsi="Times New Roman"/>
          <w:sz w:val="18"/>
          <w:szCs w:val="18"/>
          <w:color w:val="auto"/>
        </w:rPr>
      </w:pPr>
    </w:p>
    <w:p>
      <w:pPr>
        <w:ind w:left="1400" w:right="85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marketing team with our sales force to maximize our industry visibility and create a robust lead generation engine to drive revenue;</w:t>
      </w:r>
    </w:p>
    <w:p>
      <w:pPr>
        <w:spacing w:after="0" w:line="94" w:lineRule="exact"/>
        <w:rPr>
          <w:rFonts w:ascii="Times New Roman" w:cs="Times New Roman" w:eastAsia="Times New Roman" w:hAnsi="Times New Roman"/>
          <w:sz w:val="18"/>
          <w:szCs w:val="18"/>
          <w:color w:val="auto"/>
        </w:rPr>
      </w:pPr>
    </w:p>
    <w:p>
      <w:pPr>
        <w:ind w:left="1400" w:right="699" w:hanging="424"/>
        <w:spacing w:after="0" w:line="258"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15"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protocols, processes, and partnerships for scale-up manufacturing in order to meet the increasing demand for our grow solutions; and</w:t>
      </w:r>
    </w:p>
    <w:p>
      <w:pPr>
        <w:spacing w:after="0" w:line="80"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08" w:lineRule="exact"/>
        <w:rPr>
          <w:sz w:val="20"/>
          <w:szCs w:val="20"/>
          <w:color w:val="auto"/>
        </w:rPr>
      </w:pPr>
    </w:p>
    <w:p>
      <w:pPr>
        <w:ind w:left="1400" w:right="599" w:hanging="424"/>
        <w:spacing w:after="0" w:line="261"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98"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your investment;</w:t>
      </w:r>
    </w:p>
    <w:p>
      <w:pPr>
        <w:spacing w:after="0" w:line="94" w:lineRule="exact"/>
        <w:rPr>
          <w:rFonts w:ascii="Times New Roman" w:cs="Times New Roman" w:eastAsia="Times New Roman" w:hAnsi="Times New Roman"/>
          <w:sz w:val="18"/>
          <w:szCs w:val="18"/>
          <w:color w:val="auto"/>
        </w:rPr>
      </w:pPr>
    </w:p>
    <w:p>
      <w:pPr>
        <w:ind w:left="1400" w:right="89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capital resources will require us to raise additional capital even after this offering, which could result in substantial dilution or significant debt service obligations;</w:t>
      </w:r>
    </w:p>
    <w:p>
      <w:pPr>
        <w:spacing w:after="0" w:line="94" w:lineRule="exact"/>
        <w:rPr>
          <w:rFonts w:ascii="Times New Roman" w:cs="Times New Roman" w:eastAsia="Times New Roman" w:hAnsi="Times New Roman"/>
          <w:sz w:val="18"/>
          <w:szCs w:val="18"/>
          <w:color w:val="auto"/>
        </w:rPr>
      </w:pPr>
    </w:p>
    <w:p>
      <w:pPr>
        <w:ind w:left="1400" w:right="63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the efforts to mitigate its impact may have an adverse effect on our business, liquidity, results of operations, financial condition and price of our securities;</w:t>
      </w:r>
    </w:p>
    <w:p>
      <w:pPr>
        <w:spacing w:after="0" w:line="80" w:lineRule="exact"/>
        <w:rPr>
          <w:rFonts w:ascii="Times New Roman" w:cs="Times New Roman" w:eastAsia="Times New Roman" w:hAnsi="Times New Roman"/>
          <w:sz w:val="18"/>
          <w:szCs w:val="18"/>
          <w:color w:val="auto"/>
        </w:rPr>
      </w:pPr>
    </w:p>
    <w:p>
      <w:pPr>
        <w:ind w:left="1400" w:right="115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clients operating in the cannabis industry, we face many particular and evolving risks associated with that industry;</w:t>
      </w:r>
    </w:p>
    <w:p>
      <w:pPr>
        <w:spacing w:after="0" w:line="94" w:lineRule="exact"/>
        <w:rPr>
          <w:rFonts w:ascii="Times New Roman" w:cs="Times New Roman" w:eastAsia="Times New Roman" w:hAnsi="Times New Roman"/>
          <w:sz w:val="18"/>
          <w:szCs w:val="18"/>
          <w:color w:val="auto"/>
        </w:rPr>
      </w:pPr>
    </w:p>
    <w:p>
      <w:pPr>
        <w:ind w:left="1400" w:right="89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 exposes us to risks associated with the potential loss of one or more of these significant customers which could adversely affect our financial results;</w:t>
      </w:r>
    </w:p>
    <w:p>
      <w:pPr>
        <w:spacing w:after="0" w:line="94" w:lineRule="exact"/>
        <w:rPr>
          <w:rFonts w:ascii="Times New Roman" w:cs="Times New Roman" w:eastAsia="Times New Roman" w:hAnsi="Times New Roman"/>
          <w:sz w:val="18"/>
          <w:szCs w:val="18"/>
          <w:color w:val="auto"/>
        </w:rPr>
      </w:pPr>
    </w:p>
    <w:p>
      <w:pPr>
        <w:ind w:left="1400" w:right="69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 on certain of our products may result in disruptions to our supply chain and business and adversely affect our financial results;</w:t>
      </w:r>
    </w:p>
    <w:p>
      <w:pPr>
        <w:spacing w:after="0" w:line="80"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08"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that could prohibit us from developing or increasing our customer base;</w:t>
      </w:r>
    </w:p>
    <w:p>
      <w:pPr>
        <w:spacing w:after="0" w:line="80" w:lineRule="exact"/>
        <w:rPr>
          <w:rFonts w:ascii="Times New Roman" w:cs="Times New Roman" w:eastAsia="Times New Roman" w:hAnsi="Times New Roman"/>
          <w:sz w:val="18"/>
          <w:szCs w:val="18"/>
          <w:color w:val="auto"/>
        </w:rPr>
      </w:pPr>
    </w:p>
    <w:p>
      <w:pPr>
        <w:ind w:left="1400" w:right="559" w:hanging="424"/>
        <w:spacing w:after="0" w:line="266"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08"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core technology and intellectual property.</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51891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21" w:lineRule="exact"/>
        <w:rPr>
          <w:sz w:val="20"/>
          <w:szCs w:val="20"/>
          <w:color w:val="auto"/>
        </w:rPr>
      </w:pPr>
    </w:p>
    <w:p>
      <w:pPr>
        <w:ind w:left="1400" w:right="135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80" w:lineRule="exact"/>
        <w:rPr>
          <w:rFonts w:ascii="Times New Roman" w:cs="Times New Roman" w:eastAsia="Times New Roman" w:hAnsi="Times New Roman"/>
          <w:sz w:val="18"/>
          <w:szCs w:val="18"/>
          <w:color w:val="auto"/>
        </w:rPr>
      </w:pPr>
    </w:p>
    <w:p>
      <w:pPr>
        <w:ind w:left="1400" w:right="619" w:hanging="424"/>
        <w:spacing w:after="0" w:line="261"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2"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pacing w:after="0" w:line="94" w:lineRule="exact"/>
        <w:rPr>
          <w:rFonts w:ascii="Times New Roman" w:cs="Times New Roman" w:eastAsia="Times New Roman" w:hAnsi="Times New Roman"/>
          <w:sz w:val="18"/>
          <w:szCs w:val="18"/>
          <w:color w:val="auto"/>
        </w:rPr>
      </w:pPr>
    </w:p>
    <w:p>
      <w:pPr>
        <w:jc w:val="both"/>
        <w:ind w:left="1400" w:right="679" w:hanging="424"/>
        <w:spacing w:after="0" w:line="266"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95" w:lineRule="exact"/>
        <w:rPr>
          <w:sz w:val="20"/>
          <w:szCs w:val="20"/>
          <w:color w:val="auto"/>
        </w:rPr>
      </w:pPr>
    </w:p>
    <w:p>
      <w:pPr>
        <w:ind w:left="540" w:right="579" w:firstLine="432"/>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157" w:lineRule="exact"/>
        <w:rPr>
          <w:rFonts w:ascii="Times New Roman" w:cs="Times New Roman" w:eastAsia="Times New Roman" w:hAnsi="Times New Roman"/>
          <w:sz w:val="18"/>
          <w:szCs w:val="18"/>
          <w:color w:val="auto"/>
        </w:rPr>
      </w:pPr>
    </w:p>
    <w:p>
      <w:pPr>
        <w:ind w:left="1400" w:right="779" w:hanging="424"/>
        <w:spacing w:after="0" w:line="282"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 2025.</w:t>
      </w:r>
    </w:p>
    <w:p>
      <w:pPr>
        <w:spacing w:after="0" w:line="144" w:lineRule="exact"/>
        <w:rPr>
          <w:sz w:val="20"/>
          <w:szCs w:val="20"/>
          <w:color w:val="auto"/>
        </w:rPr>
      </w:pPr>
    </w:p>
    <w:p>
      <w:pPr>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08"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1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89109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Common stock being offered by us</w:t>
      </w:r>
    </w:p>
    <w:p>
      <w:pPr>
        <w:spacing w:after="0" w:line="212" w:lineRule="exact"/>
        <w:rPr>
          <w:sz w:val="20"/>
          <w:szCs w:val="20"/>
          <w:color w:val="auto"/>
        </w:rPr>
      </w:pPr>
    </w:p>
    <w:p>
      <w:pPr>
        <w:ind w:left="720" w:right="40" w:hanging="179"/>
        <w:spacing w:after="0" w:line="33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r>
        <w:rPr>
          <w:rFonts w:ascii="Times New Roman" w:cs="Times New Roman" w:eastAsia="Times New Roman" w:hAnsi="Times New Roman"/>
          <w:sz w:val="19"/>
          <w:szCs w:val="19"/>
          <w:color w:val="auto"/>
          <w:vertAlign w:val="superscript"/>
        </w:rPr>
        <w:t>(1)</w:t>
      </w:r>
    </w:p>
    <w:p>
      <w:pPr>
        <w:spacing w:after="0" w:line="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12,281,790 shares</w:t>
      </w:r>
    </w:p>
    <w:p>
      <w:pPr>
        <w:spacing w:after="0" w:line="198" w:lineRule="exact"/>
        <w:rPr>
          <w:sz w:val="20"/>
          <w:szCs w:val="20"/>
          <w:color w:val="auto"/>
        </w:rPr>
      </w:pPr>
    </w:p>
    <w:p>
      <w:pPr>
        <w:ind w:right="679"/>
        <w:spacing w:after="0" w:line="258" w:lineRule="auto"/>
        <w:rPr>
          <w:sz w:val="20"/>
          <w:szCs w:val="20"/>
          <w:color w:val="auto"/>
        </w:rPr>
      </w:pPr>
      <w:r>
        <w:rPr>
          <w:rFonts w:ascii="Times New Roman" w:cs="Times New Roman" w:eastAsia="Times New Roman" w:hAnsi="Times New Roman"/>
          <w:sz w:val="18"/>
          <w:szCs w:val="18"/>
          <w:color w:val="auto"/>
        </w:rPr>
        <w:t>We have granted Maxim Group LLC, the representative of the underwriters (or Maxim Group) an option to purchase up to 750,000 additional shares of common stock from us at the public offering price less the underwriting discount within 45 days from the date of this prospectus to cover over-allotments.</w:t>
      </w:r>
    </w:p>
    <w:p>
      <w:pPr>
        <w:spacing w:after="0" w:line="156" w:lineRule="exact"/>
        <w:rPr>
          <w:sz w:val="20"/>
          <w:szCs w:val="20"/>
          <w:color w:val="auto"/>
        </w:rPr>
      </w:pPr>
    </w:p>
    <w:p>
      <w:pPr>
        <w:sectPr>
          <w:pgSz w:w="11900" w:h="16838" w:orient="portrait"/>
          <w:cols w:equalWidth="0" w:num="2">
            <w:col w:w="3080" w:space="340"/>
            <w:col w:w="5599"/>
          </w:cols>
          <w:pgMar w:left="1440" w:top="270" w:right="1440" w:bottom="1440" w:gutter="0" w:footer="0" w:header="0"/>
          <w:type w:val="continuous"/>
        </w:sect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this offering for research and</w:t>
      </w:r>
    </w:p>
    <w:p>
      <w:pPr>
        <w:spacing w:after="0" w:line="27" w:lineRule="exact"/>
        <w:rPr>
          <w:sz w:val="20"/>
          <w:szCs w:val="20"/>
          <w:color w:val="auto"/>
        </w:rPr>
      </w:pPr>
    </w:p>
    <w:p>
      <w:pPr>
        <w:ind w:left="3420" w:right="719"/>
        <w:spacing w:after="0" w:line="253" w:lineRule="auto"/>
        <w:rPr>
          <w:sz w:val="20"/>
          <w:szCs w:val="20"/>
          <w:color w:val="auto"/>
        </w:rPr>
      </w:pPr>
      <w:r>
        <w:rPr>
          <w:rFonts w:ascii="Times New Roman" w:cs="Times New Roman" w:eastAsia="Times New Roman" w:hAnsi="Times New Roman"/>
          <w:sz w:val="18"/>
          <w:szCs w:val="18"/>
          <w:color w:val="auto"/>
        </w:rPr>
        <w:t>development for future generations of our products and software, sales and marketing activities, hiring of additional personnel, our equipment financing plan to provide limited credit to our customers and working capital and other general corporate purposes. See “Use of Proceeds.”</w:t>
      </w:r>
    </w:p>
    <w:p>
      <w:pPr>
        <w:spacing w:after="0" w:line="160"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Representative’s warrants:</w:t>
      </w:r>
      <w:r>
        <w:rPr>
          <w:sz w:val="20"/>
          <w:szCs w:val="20"/>
          <w:color w:val="auto"/>
        </w:rPr>
        <w:tab/>
      </w:r>
      <w:r>
        <w:rPr>
          <w:rFonts w:ascii="Times New Roman" w:cs="Times New Roman" w:eastAsia="Times New Roman" w:hAnsi="Times New Roman"/>
          <w:sz w:val="17"/>
          <w:szCs w:val="17"/>
          <w:color w:val="auto"/>
        </w:rPr>
        <w:t>Upon the closing of this offering, we will issue to Maxim Group</w:t>
      </w:r>
    </w:p>
    <w:p>
      <w:pPr>
        <w:spacing w:after="0" w:line="27" w:lineRule="exact"/>
        <w:rPr>
          <w:sz w:val="20"/>
          <w:szCs w:val="20"/>
          <w:color w:val="auto"/>
        </w:rPr>
      </w:pPr>
    </w:p>
    <w:p>
      <w:pPr>
        <w:ind w:left="3420" w:right="599"/>
        <w:spacing w:after="0" w:line="251" w:lineRule="auto"/>
        <w:rPr>
          <w:sz w:val="20"/>
          <w:szCs w:val="20"/>
          <w:color w:val="auto"/>
        </w:rPr>
      </w:pPr>
      <w:r>
        <w:rPr>
          <w:rFonts w:ascii="Times New Roman" w:cs="Times New Roman" w:eastAsia="Times New Roman" w:hAnsi="Times New Roman"/>
          <w:sz w:val="18"/>
          <w:szCs w:val="18"/>
          <w:color w:val="auto"/>
        </w:rPr>
        <w:t>compensation warrants (or the Representative’s Warrants) entitling Maxim Group to purchase 5% of the aggregate number of shares of common stock issued in this offering at an exercise price of $9.90 per share (which is equal to 110% of the public offering price). The Representative’s Warrants will be subject to a lock-up for 180 days from the commencement of sales of this offering and will be exercisable commencing 180 days after the effective date, terminate on the five year anniversary of the commencement of sales of this offering and will contain a customary “cashless exercise” customary “piggyback” registration rights.</w:t>
      </w:r>
    </w:p>
    <w:p>
      <w:pPr>
        <w:spacing w:after="0" w:line="166"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Proposed NASDAQ trading symbol</w:t>
        <w:tab/>
        <w:t>Our shares of common stock have been approved for listing on the</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NASDAQ under the symbol “AGFY.”</w:t>
      </w:r>
    </w:p>
    <w:p>
      <w:pPr>
        <w:spacing w:after="0" w:line="180"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7"/>
          <w:szCs w:val="17"/>
          <w:color w:val="auto"/>
        </w:rPr>
        <w:t>We and our directors, officers and holders of one percent (1%) or</w:t>
      </w:r>
    </w:p>
    <w:p>
      <w:pPr>
        <w:spacing w:after="0" w:line="27" w:lineRule="exact"/>
        <w:rPr>
          <w:sz w:val="20"/>
          <w:szCs w:val="20"/>
          <w:color w:val="auto"/>
        </w:rPr>
      </w:pPr>
    </w:p>
    <w:p>
      <w:pPr>
        <w:ind w:left="3420" w:right="559"/>
        <w:spacing w:after="0" w:line="251" w:lineRule="auto"/>
        <w:rPr>
          <w:sz w:val="20"/>
          <w:szCs w:val="20"/>
          <w:color w:val="auto"/>
        </w:rPr>
      </w:pPr>
      <w:r>
        <w:rPr>
          <w:rFonts w:ascii="Times New Roman" w:cs="Times New Roman" w:eastAsia="Times New Roman" w:hAnsi="Times New Roman"/>
          <w:sz w:val="18"/>
          <w:szCs w:val="18"/>
          <w:color w:val="auto"/>
        </w:rPr>
        <w:t>more of our outstanding shares of common stock as of the effective date of the registration statement related to this offering (and all holders of securities exercisable for or convertible into shares of common stock) shall enter into customary “lock-up” agreements pursuant to which such persons and entities shall agree not to offer, issue, sell, contract to sell, encumber, grant any option for the sale of or otherwise dispose of any of our securities for a period of 180 days after the date of this prospectus; 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w:t>
      </w:r>
    </w:p>
    <w:p>
      <w:pPr>
        <w:spacing w:after="0" w:line="161"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b w:val="1"/>
          <w:bCs w:val="1"/>
          <w:color w:val="auto"/>
        </w:rPr>
        <w:t>The securities offered by this prospectus are speculative and</w:t>
      </w:r>
    </w:p>
    <w:p>
      <w:pPr>
        <w:spacing w:after="0" w:line="31" w:lineRule="exact"/>
        <w:rPr>
          <w:sz w:val="20"/>
          <w:szCs w:val="20"/>
          <w:color w:val="auto"/>
        </w:rPr>
      </w:pPr>
    </w:p>
    <w:p>
      <w:pPr>
        <w:ind w:left="3420" w:right="599"/>
        <w:spacing w:after="0" w:line="255" w:lineRule="auto"/>
        <w:rPr>
          <w:sz w:val="20"/>
          <w:szCs w:val="20"/>
          <w:color w:val="auto"/>
        </w:rPr>
      </w:pPr>
      <w:r>
        <w:rPr>
          <w:rFonts w:ascii="Times New Roman" w:cs="Times New Roman" w:eastAsia="Times New Roman" w:hAnsi="Times New Roman"/>
          <w:sz w:val="18"/>
          <w:szCs w:val="18"/>
          <w:b w:val="1"/>
          <w:bCs w:val="1"/>
          <w:color w:val="auto"/>
        </w:rPr>
        <w:t>involve a high degree of risk</w:t>
      </w:r>
      <w:r>
        <w:rPr>
          <w:rFonts w:ascii="Times New Roman" w:cs="Times New Roman" w:eastAsia="Times New Roman" w:hAnsi="Times New Roman"/>
          <w:sz w:val="18"/>
          <w:szCs w:val="18"/>
          <w:color w:val="auto"/>
        </w:rPr>
        <w:t>. Investors purchasing securities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purchase the securities unless they can afford the loss of their entire investment. See “Risk Factors” beginning on page 17.</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hanging="436"/>
        <w:spacing w:after="0"/>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our common stock to be outstanding immediately after this offering excludes:</w:t>
      </w:r>
    </w:p>
    <w:p>
      <w:pPr>
        <w:spacing w:after="0" w:line="59" w:lineRule="exact"/>
        <w:rPr>
          <w:rFonts w:ascii="Times New Roman" w:cs="Times New Roman" w:eastAsia="Times New Roman" w:hAnsi="Times New Roman"/>
          <w:sz w:val="16"/>
          <w:szCs w:val="16"/>
          <w:color w:val="auto"/>
        </w:rPr>
      </w:pPr>
    </w:p>
    <w:p>
      <w:pPr>
        <w:ind w:left="1400" w:right="719" w:hanging="208"/>
        <w:spacing w:after="0" w:line="290" w:lineRule="auto"/>
        <w:tabs>
          <w:tab w:leader="none" w:pos="1362"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3,097,618 shares of common stock issuable upon the exercise of outstanding options at a weighted average exercise price of $3.54 per share;</w:t>
      </w:r>
    </w:p>
    <w:p>
      <w:pPr>
        <w:ind w:left="1400" w:right="839" w:hanging="208"/>
        <w:spacing w:after="0" w:line="281" w:lineRule="auto"/>
        <w:tabs>
          <w:tab w:leader="none" w:pos="1443"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828,173 shares of common stock issuable upon the exercise of outstanding warrants associated with our 2020 convertible promissory notes at a weighted average exercise price of $0.02 per share;</w:t>
      </w:r>
    </w:p>
    <w:p>
      <w:pPr>
        <w:spacing w:after="0" w:line="1" w:lineRule="exact"/>
        <w:rPr>
          <w:rFonts w:ascii="Times New Roman" w:cs="Times New Roman" w:eastAsia="Times New Roman" w:hAnsi="Times New Roman"/>
          <w:sz w:val="16"/>
          <w:szCs w:val="16"/>
          <w:color w:val="auto"/>
        </w:rPr>
      </w:pPr>
    </w:p>
    <w:p>
      <w:pPr>
        <w:ind w:left="1460" w:hanging="268"/>
        <w:spacing w:after="0"/>
        <w:tabs>
          <w:tab w:leader="none" w:pos="14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1,436,114 shares reserved for issuance under our equity incentive plan; and</w:t>
      </w:r>
    </w:p>
    <w:p>
      <w:pPr>
        <w:spacing w:after="0" w:line="59" w:lineRule="exact"/>
        <w:rPr>
          <w:rFonts w:ascii="Times New Roman" w:cs="Times New Roman" w:eastAsia="Times New Roman" w:hAnsi="Times New Roman"/>
          <w:sz w:val="16"/>
          <w:szCs w:val="16"/>
          <w:color w:val="auto"/>
        </w:rPr>
      </w:pPr>
    </w:p>
    <w:p>
      <w:pPr>
        <w:ind w:left="1360" w:hanging="168"/>
        <w:spacing w:after="0"/>
        <w:tabs>
          <w:tab w:leader="none" w:pos="13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250,000 shares of common stock underlying the Representative’s Warrants.</w:t>
      </w:r>
    </w:p>
    <w:p>
      <w:pPr>
        <w:sectPr>
          <w:pgSz w:w="11900" w:h="16838" w:orient="portrait"/>
          <w:cols w:equalWidth="0" w:num="1">
            <w:col w:w="9019"/>
          </w:cols>
          <w:pgMar w:left="1440" w:top="270"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264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1264285"/>
                    </a:xfrm>
                    <a:prstGeom prst="rect">
                      <a:avLst/>
                    </a:prstGeom>
                    <a:noFill/>
                  </pic:spPr>
                </pic:pic>
              </a:graphicData>
            </a:graphic>
          </wp:anchor>
        </w:drawing>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Unless otherwise stated, all information in this prospectus assumes:</w:t>
      </w:r>
    </w:p>
    <w:p>
      <w:pPr>
        <w:spacing w:after="0" w:line="59" w:lineRule="exact"/>
        <w:rPr>
          <w:sz w:val="20"/>
          <w:szCs w:val="20"/>
          <w:color w:val="auto"/>
        </w:rPr>
      </w:pPr>
    </w:p>
    <w:p>
      <w:pPr>
        <w:ind w:left="1400" w:right="619" w:hanging="208"/>
        <w:spacing w:after="0" w:line="281" w:lineRule="auto"/>
        <w:tabs>
          <w:tab w:leader="none" w:pos="136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our outstanding shares of Series A Preferred Stock into 1,373,038 shares of common stock immediately prior to the closing of this offering based on a conversion price of $7.72;</w:t>
      </w:r>
    </w:p>
    <w:p>
      <w:pPr>
        <w:spacing w:after="0" w:line="1" w:lineRule="exact"/>
        <w:rPr>
          <w:rFonts w:ascii="Times New Roman" w:cs="Times New Roman" w:eastAsia="Times New Roman" w:hAnsi="Times New Roman"/>
          <w:sz w:val="16"/>
          <w:szCs w:val="16"/>
          <w:color w:val="auto"/>
        </w:rPr>
      </w:pPr>
    </w:p>
    <w:p>
      <w:pPr>
        <w:ind w:left="1400" w:right="879" w:hanging="208"/>
        <w:spacing w:after="0" w:line="290" w:lineRule="auto"/>
        <w:tabs>
          <w:tab w:leader="none" w:pos="136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our outstanding promissory notes into 1,697,075 shares of common stock immediately prior to the closing of this offering based on a conversion price of $7.72;</w:t>
      </w:r>
    </w:p>
    <w:p>
      <w:pPr>
        <w:ind w:left="1360" w:hanging="168"/>
        <w:spacing w:after="0"/>
        <w:tabs>
          <w:tab w:leader="none" w:pos="1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underwriters’ over-allotment option to purchase additional shares; and</w:t>
      </w:r>
    </w:p>
    <w:p>
      <w:pPr>
        <w:spacing w:after="0" w:line="59" w:lineRule="exact"/>
        <w:rPr>
          <w:rFonts w:ascii="Times New Roman" w:cs="Times New Roman" w:eastAsia="Times New Roman" w:hAnsi="Times New Roman"/>
          <w:sz w:val="16"/>
          <w:szCs w:val="16"/>
          <w:color w:val="auto"/>
        </w:rPr>
      </w:pPr>
    </w:p>
    <w:p>
      <w:pPr>
        <w:ind w:left="1360" w:hanging="168"/>
        <w:spacing w:after="0"/>
        <w:tabs>
          <w:tab w:leader="none" w:pos="1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Representative’s Warrants.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393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3933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10"/>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2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3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used to</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 basic and diluted net loss per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2,326,458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4,163,848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2,883,896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 common share, basic</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3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Pro forma weighted-average common shares</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to compute basic and diluted net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common share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5,209,491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6"/>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right="839"/>
        <w:spacing w:after="0" w:line="286" w:lineRule="auto"/>
        <w:rPr>
          <w:sz w:val="20"/>
          <w:szCs w:val="20"/>
          <w:color w:val="auto"/>
        </w:rPr>
      </w:pPr>
      <w:r>
        <w:rPr>
          <w:rFonts w:ascii="Times New Roman" w:cs="Times New Roman" w:eastAsia="Times New Roman" w:hAnsi="Times New Roman"/>
          <w:sz w:val="18"/>
          <w:szCs w:val="18"/>
          <w:b w:val="1"/>
          <w:bCs w:val="1"/>
          <w:color w:val="auto"/>
        </w:rPr>
        <w:t>Certain Non-GAAP EBITDA and adjusted EBITDA Financial Measurements and Reconciliation to GAAP</w:t>
      </w:r>
    </w:p>
    <w:p>
      <w:pPr>
        <w:spacing w:after="0" w:line="91"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28" w:lineRule="exact"/>
        <w:rPr>
          <w:sz w:val="20"/>
          <w:szCs w:val="20"/>
          <w:color w:val="auto"/>
        </w:rPr>
      </w:pPr>
    </w:p>
    <w:p>
      <w:pPr>
        <w:ind w:left="540" w:right="599" w:firstLine="432"/>
        <w:spacing w:after="0" w:line="253" w:lineRule="auto"/>
        <w:rPr>
          <w:sz w:val="20"/>
          <w:szCs w:val="20"/>
          <w:color w:val="auto"/>
        </w:rPr>
      </w:pPr>
      <w:r>
        <w:rPr>
          <w:rFonts w:ascii="Times New Roman" w:cs="Times New Roman" w:eastAsia="Times New Roman" w:hAnsi="Times New Roman"/>
          <w:sz w:val="18"/>
          <w:szCs w:val="18"/>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11" w:lineRule="exact"/>
        <w:rPr>
          <w:sz w:val="20"/>
          <w:szCs w:val="20"/>
          <w:color w:val="auto"/>
        </w:rPr>
      </w:pPr>
    </w:p>
    <w:p>
      <w:pPr>
        <w:jc w:val="both"/>
        <w:ind w:left="540" w:right="599" w:firstLine="432"/>
        <w:spacing w:after="0" w:line="261" w:lineRule="auto"/>
        <w:rPr>
          <w:sz w:val="20"/>
          <w:szCs w:val="20"/>
          <w:color w:val="auto"/>
        </w:rPr>
      </w:pPr>
      <w:r>
        <w:rPr>
          <w:rFonts w:ascii="Times New Roman" w:cs="Times New Roman" w:eastAsia="Times New Roman" w:hAnsi="Times New Roman"/>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2" w:lineRule="exact"/>
        <w:rPr>
          <w:sz w:val="20"/>
          <w:szCs w:val="20"/>
          <w:color w:val="auto"/>
        </w:rPr>
      </w:pPr>
    </w:p>
    <w:p>
      <w:pPr>
        <w:ind w:left="1400" w:right="659" w:hanging="424"/>
        <w:spacing w:after="0" w:line="282" w:lineRule="auto"/>
        <w:tabs>
          <w:tab w:leader="none" w:pos="1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expenditures, or future requirements, for capital expenditures or contractual commitments;</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w:t>
      </w:r>
    </w:p>
    <w:p>
      <w:pPr>
        <w:spacing w:after="0" w:line="80" w:lineRule="exact"/>
        <w:rPr>
          <w:rFonts w:ascii="Times New Roman" w:cs="Times New Roman" w:eastAsia="Times New Roman" w:hAnsi="Times New Roman"/>
          <w:sz w:val="18"/>
          <w:szCs w:val="18"/>
          <w:color w:val="auto"/>
        </w:rPr>
      </w:pPr>
    </w:p>
    <w:p>
      <w:pPr>
        <w:ind w:left="1400" w:right="1219" w:hanging="424"/>
        <w:spacing w:after="0" w:line="282" w:lineRule="auto"/>
        <w:tabs>
          <w:tab w:leader="none" w:pos="1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expense, or the cash requirements necessary to service interest or principal payments, on our debts;</w:t>
      </w:r>
    </w:p>
    <w:p>
      <w:pPr>
        <w:spacing w:after="0" w:line="94" w:lineRule="exact"/>
        <w:rPr>
          <w:rFonts w:ascii="Times New Roman" w:cs="Times New Roman" w:eastAsia="Times New Roman" w:hAnsi="Times New Roman"/>
          <w:sz w:val="18"/>
          <w:szCs w:val="18"/>
          <w:color w:val="auto"/>
        </w:rPr>
      </w:pPr>
    </w:p>
    <w:p>
      <w:pPr>
        <w:jc w:val="both"/>
        <w:ind w:left="1400" w:right="799" w:hanging="424"/>
        <w:spacing w:after="0" w:line="266" w:lineRule="auto"/>
        <w:tabs>
          <w:tab w:leader="none" w:pos="13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08" w:lineRule="exact"/>
        <w:rPr>
          <w:rFonts w:ascii="Times New Roman" w:cs="Times New Roman" w:eastAsia="Times New Roman" w:hAnsi="Times New Roman"/>
          <w:sz w:val="18"/>
          <w:szCs w:val="18"/>
          <w:color w:val="auto"/>
        </w:rPr>
      </w:pPr>
    </w:p>
    <w:p>
      <w:pPr>
        <w:ind w:left="1400" w:right="719" w:hanging="424"/>
        <w:spacing w:after="0" w:line="282" w:lineRule="auto"/>
        <w:tabs>
          <w:tab w:leader="none" w:pos="1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impact of certain cash charges resulting from matters we consider not to be indicative of our ongoing operations; and</w:t>
      </w:r>
    </w:p>
    <w:p>
      <w:pPr>
        <w:spacing w:after="0" w:line="80" w:lineRule="exact"/>
        <w:rPr>
          <w:rFonts w:ascii="Times New Roman" w:cs="Times New Roman" w:eastAsia="Times New Roman" w:hAnsi="Times New Roman"/>
          <w:sz w:val="18"/>
          <w:szCs w:val="18"/>
          <w:color w:val="auto"/>
        </w:rPr>
      </w:pPr>
    </w:p>
    <w:p>
      <w:pPr>
        <w:ind w:left="1400" w:right="739" w:hanging="424"/>
        <w:spacing w:after="0" w:line="282" w:lineRule="auto"/>
        <w:tabs>
          <w:tab w:leader="none" w:pos="13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EBITDA and Adjusted EBITDA differently than we do, limiting its usefulness as a comparative measure.</w:t>
      </w:r>
    </w:p>
    <w:p>
      <w:pPr>
        <w:spacing w:after="0" w:line="94" w:lineRule="exact"/>
        <w:rPr>
          <w:sz w:val="20"/>
          <w:szCs w:val="20"/>
          <w:color w:val="auto"/>
        </w:rPr>
      </w:pPr>
    </w:p>
    <w:p>
      <w:pPr>
        <w:ind w:left="540" w:right="679" w:firstLine="432"/>
        <w:spacing w:after="0" w:line="258" w:lineRule="auto"/>
        <w:rPr>
          <w:sz w:val="20"/>
          <w:szCs w:val="20"/>
          <w:color w:val="auto"/>
        </w:rPr>
      </w:pPr>
      <w:r>
        <w:rPr>
          <w:rFonts w:ascii="Times New Roman" w:cs="Times New Roman" w:eastAsia="Times New Roman" w:hAnsi="Times New Roman"/>
          <w:sz w:val="18"/>
          <w:szCs w:val="18"/>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2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3827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(1,201,000)</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Pr>
          <w:p>
            <w:pPr>
              <w:spacing w:after="0"/>
              <w:rPr>
                <w:sz w:val="19"/>
                <w:szCs w:val="19"/>
                <w:color w:val="auto"/>
              </w:rPr>
            </w:pPr>
          </w:p>
        </w:tc>
      </w:tr>
      <w:tr>
        <w:trPr>
          <w:trHeight w:val="36"/>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and sale of fixed assets</w:t>
            </w:r>
            <w:r>
              <w:rPr>
                <w:rFonts w:ascii="Times New Roman" w:cs="Times New Roman" w:eastAsia="Times New Roman" w:hAnsi="Times New Roman"/>
                <w:sz w:val="20"/>
                <w:szCs w:val="20"/>
                <w:color w:val="auto"/>
                <w:vertAlign w:val="superscript"/>
              </w:rPr>
              <w:t>(2)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(5,577,000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859" w:hanging="436"/>
        <w:spacing w:after="0" w:line="269" w:lineRule="auto"/>
        <w:tabs>
          <w:tab w:leader="none" w:pos="9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stock options granted during the relevant fiscal year calculated in accordance with FASB ASC Topic 718 (“Compensation — Stock Compensation”).</w:t>
      </w:r>
    </w:p>
    <w:p>
      <w:pPr>
        <w:ind w:left="980" w:right="639" w:hanging="436"/>
        <w:spacing w:after="0" w:line="264" w:lineRule="auto"/>
        <w:tabs>
          <w:tab w:leader="none" w:pos="9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total of $856,000 related to our effort to become publicly listed and $80,000 in legal costs associated with our merger and acquisition activity.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22"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78" w:lineRule="exact"/>
        <w:rPr>
          <w:sz w:val="20"/>
          <w:szCs w:val="20"/>
          <w:color w:val="auto"/>
        </w:rPr>
      </w:pPr>
    </w:p>
    <w:p>
      <w:pPr>
        <w:ind w:left="4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p>
    <w:p>
      <w:pPr>
        <w:spacing w:after="0" w:line="78"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112" w:lineRule="exact"/>
        <w:rPr>
          <w:sz w:val="20"/>
          <w:szCs w:val="20"/>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157"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157" w:lineRule="exact"/>
        <w:rPr>
          <w:rFonts w:ascii="Times New Roman" w:cs="Times New Roman" w:eastAsia="Times New Roman" w:hAnsi="Times New Roman"/>
          <w:sz w:val="18"/>
          <w:szCs w:val="18"/>
          <w:color w:val="auto"/>
        </w:rPr>
      </w:pPr>
    </w:p>
    <w:p>
      <w:pPr>
        <w:ind w:left="1320" w:right="131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OpEx, particularly sales and marketing expenses, related to the maintenance and expansion of our business, operations and infrastructure;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OpEx;</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15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158" w:lineRule="exact"/>
        <w:rPr>
          <w:sz w:val="20"/>
          <w:szCs w:val="20"/>
          <w:color w:val="auto"/>
        </w:rPr>
      </w:pPr>
    </w:p>
    <w:p>
      <w:pPr>
        <w:ind w:left="460" w:right="5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113"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At September 30, 2020, we had a cash balance of approximately $4,958,000 and working capital of approximately $1,994,000.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0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6" w:lineRule="exact"/>
        <w:rPr>
          <w:sz w:val="20"/>
          <w:szCs w:val="20"/>
          <w:color w:val="auto"/>
        </w:rPr>
      </w:pPr>
    </w:p>
    <w:p>
      <w:pPr>
        <w:ind w:left="460" w:right="5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116"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7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83"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9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2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4"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7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Marijuana remains illegal under United States federal law</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Uncertainty of federal enforcement and the need to renew temporary safeguards</w:t>
      </w:r>
    </w:p>
    <w:p>
      <w:pPr>
        <w:spacing w:after="0" w:line="160"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61" w:lineRule="auto"/>
        <w:rPr>
          <w:sz w:val="20"/>
          <w:szCs w:val="20"/>
          <w:color w:val="auto"/>
        </w:rPr>
      </w:pPr>
      <w:r>
        <w:rPr>
          <w:rFonts w:ascii="Times New Roman" w:cs="Times New Roman" w:eastAsia="Times New Roman" w:hAnsi="Times New Roman"/>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Further legislative development beneficial to our operations is not guaranteed</w:t>
      </w:r>
    </w:p>
    <w:p>
      <w:pPr>
        <w:spacing w:after="0" w:line="14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cannabis industry could face strong opposition from other industries</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legality of marijuana could be reversed in one or more states</w:t>
      </w:r>
    </w:p>
    <w:p>
      <w:pPr>
        <w:spacing w:after="0" w:line="160"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Changing legislation and evolving interpretations of law</w:t>
      </w:r>
    </w:p>
    <w:p>
      <w:pPr>
        <w:spacing w:after="0" w:line="146"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Dependence on client licensing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Banking regulations could limit access to banking services</w:t>
      </w:r>
    </w:p>
    <w:p>
      <w:pPr>
        <w:spacing w:after="0" w:line="160"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Insurance risks</w:t>
      </w:r>
    </w:p>
    <w:p>
      <w:pPr>
        <w:spacing w:after="0" w:line="146"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Evolving industry</w:t>
      </w:r>
    </w:p>
    <w:p>
      <w:pPr>
        <w:spacing w:after="0" w:line="160" w:lineRule="exact"/>
        <w:rPr>
          <w:sz w:val="20"/>
          <w:szCs w:val="20"/>
          <w:color w:val="auto"/>
        </w:rPr>
      </w:pPr>
    </w:p>
    <w:p>
      <w:pPr>
        <w:ind w:left="460" w:right="799" w:firstLine="432"/>
        <w:spacing w:after="0" w:line="254"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7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72" w:lineRule="exact"/>
        <w:rPr>
          <w:sz w:val="20"/>
          <w:szCs w:val="20"/>
          <w:color w:val="auto"/>
        </w:rPr>
      </w:pPr>
    </w:p>
    <w:p>
      <w:pPr>
        <w:jc w:val="both"/>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66" w:lineRule="exact"/>
        <w:rPr>
          <w:sz w:val="20"/>
          <w:szCs w:val="20"/>
          <w:color w:val="auto"/>
        </w:rPr>
      </w:pPr>
    </w:p>
    <w:p>
      <w:pPr>
        <w:ind w:left="460" w:right="1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and directors may become subject to conflicts of interests arising out of our relationship with Bluezone and Enozo.</w:t>
      </w:r>
    </w:p>
    <w:p>
      <w:pPr>
        <w:spacing w:after="0" w:line="9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71"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7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ind w:left="460" w:right="5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6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83"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9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7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162"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ectPr>
          <w:pgSz w:w="11900" w:h="16838" w:orient="portrait"/>
          <w:cols w:equalWidth="0" w:num="1">
            <w:col w:w="9019"/>
          </w:cols>
          <w:pgMar w:left="1440" w:top="270"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55" w:lineRule="auto"/>
        <w:rPr>
          <w:sz w:val="20"/>
          <w:szCs w:val="20"/>
          <w:color w:val="auto"/>
        </w:rPr>
      </w:pPr>
      <w:r>
        <w:rPr>
          <w:rFonts w:ascii="Times New Roman" w:cs="Times New Roman" w:eastAsia="Times New Roman" w:hAnsi="Times New Roman"/>
          <w:sz w:val="18"/>
          <w:szCs w:val="18"/>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5"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9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2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have one pending Patent Cooperation Treaty (PCT) application, and we will likely file national applications from this PCT in countries, including the United States.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13"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22" w:lineRule="exact"/>
        <w:rPr>
          <w:sz w:val="20"/>
          <w:szCs w:val="20"/>
          <w:color w:val="auto"/>
        </w:rPr>
      </w:pPr>
    </w:p>
    <w:p>
      <w:pPr>
        <w:ind w:left="1320" w:right="1339" w:hanging="434"/>
        <w:spacing w:after="0" w:line="282"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6"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06"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89" w:lineRule="auto"/>
        <w:tabs>
          <w:tab w:leader="none" w:pos="131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0" w:lineRule="exact"/>
        <w:rPr>
          <w:rFonts w:ascii="Times New Roman" w:cs="Times New Roman" w:eastAsia="Times New Roman" w:hAnsi="Times New Roman"/>
          <w:sz w:val="17"/>
          <w:szCs w:val="17"/>
          <w:color w:val="auto"/>
        </w:rPr>
      </w:pPr>
    </w:p>
    <w:p>
      <w:pPr>
        <w:ind w:left="1320" w:right="919" w:hanging="434"/>
        <w:spacing w:after="0" w:line="282"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94"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98"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80" w:lineRule="exact"/>
        <w:rPr>
          <w:rFonts w:ascii="Times New Roman" w:cs="Times New Roman" w:eastAsia="Times New Roman" w:hAnsi="Times New Roman"/>
          <w:sz w:val="18"/>
          <w:szCs w:val="18"/>
          <w:color w:val="auto"/>
        </w:rPr>
      </w:pPr>
    </w:p>
    <w:p>
      <w:pPr>
        <w:ind w:left="1320" w:right="799" w:hanging="434"/>
        <w:spacing w:after="0" w:line="261" w:lineRule="auto"/>
        <w:tabs>
          <w:tab w:leader="none" w:pos="13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p>
    <w:p>
      <w:pPr>
        <w:spacing w:after="0" w:line="162"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13"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0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83"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p>
    <w:p>
      <w:pPr>
        <w:spacing w:after="0" w:line="162"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5" w:lineRule="exact"/>
        <w:rPr>
          <w:sz w:val="20"/>
          <w:szCs w:val="20"/>
          <w:color w:val="auto"/>
        </w:rPr>
      </w:pPr>
    </w:p>
    <w:p>
      <w:pPr>
        <w:ind w:left="460" w:right="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2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61" w:lineRule="auto"/>
        <w:rPr>
          <w:sz w:val="20"/>
          <w:szCs w:val="20"/>
          <w:color w:val="auto"/>
        </w:rPr>
      </w:pPr>
      <w:r>
        <w:rPr>
          <w:rFonts w:ascii="Times New Roman" w:cs="Times New Roman" w:eastAsia="Times New Roman" w:hAnsi="Times New Roman"/>
          <w:sz w:val="18"/>
          <w:szCs w:val="18"/>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6" w:lineRule="exact"/>
        <w:rPr>
          <w:sz w:val="20"/>
          <w:szCs w:val="20"/>
          <w:color w:val="auto"/>
        </w:rPr>
      </w:pPr>
    </w:p>
    <w:p>
      <w:pPr>
        <w:ind w:left="460" w:right="1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9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the loans will be forgivable in whole or in part.</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11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55"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we may be required to repay the PPP Loan in its entirety and/or be subject to additional penalties and adverse publicity, which could have a material adverse effect on our business, results of operations, and financial condition.</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existing market for our common stock and we do not know if one will develop to provide you with adequate liquidity.</w:t>
      </w:r>
    </w:p>
    <w:p>
      <w:pPr>
        <w:spacing w:after="0" w:line="7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83" w:lineRule="exact"/>
        <w:rPr>
          <w:sz w:val="20"/>
          <w:szCs w:val="20"/>
          <w:color w:val="auto"/>
        </w:rPr>
      </w:pPr>
    </w:p>
    <w:p>
      <w:pPr>
        <w:ind w:left="4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9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88"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9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our executive officers, directors and their affiliates will beneficially own, in the aggregate, approximately 20.6% of our outstanding shares of common stock. In particular, Raymond Chang, our Chairman of the Board and Chief Executive Officer, will beneficially own approximately 10.6%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4" w:lineRule="exact"/>
        <w:rPr>
          <w:sz w:val="20"/>
          <w:szCs w:val="20"/>
          <w:color w:val="auto"/>
        </w:rPr>
      </w:pPr>
    </w:p>
    <w:p>
      <w:pPr>
        <w:ind w:left="460" w:right="9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total of 7,281,790, or 59.3%,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9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January 22, 2021, we will have 12,281,790 shares of common stock outstanding after this offering. Of these shares, the common stock sold in this offering will be freely tradable in the United States, except for any shares purchased by our “affiliates” as defined in Rule 144 under the Securities Act of 1933. The holders of approximately 6,489,379 shares of outstanding common stock have agreed with the underwriters, subject to certain exceptions, not to dispose of or hedge any of their common stock during the 180-day period beginning on the date of this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 of Shares and % of Total</w:t>
            </w: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564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5,000,000, or 40.7%</w:t>
            </w:r>
          </w:p>
        </w:tc>
        <w:tc>
          <w:tcPr>
            <w:tcW w:w="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0" w:type="dxa"/>
            <w:vAlign w:val="bottom"/>
          </w:tcPr>
          <w:p>
            <w:pPr>
              <w:spacing w:after="0"/>
              <w:rPr>
                <w:sz w:val="1"/>
                <w:szCs w:val="1"/>
                <w:color w:val="auto"/>
              </w:rPr>
            </w:pPr>
          </w:p>
        </w:tc>
      </w:tr>
      <w:tr>
        <w:trPr>
          <w:trHeight w:val="38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6,489,379, or 52.8%</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180 days after the date of this prospectus (which period may be reduced to a</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minimum of 90 days if we meet certain stock price milestones) due to</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contractual obligations and lock-up agreements between the holders of these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and the underwriters. However, the underwriters can waive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provisions of these lock-up agreements and allow these stockholders to sell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their shares at any time, provided their respective six-month holding periods</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under Rule 144 have expired.</w:t>
            </w:r>
          </w:p>
        </w:tc>
        <w:tc>
          <w:tcPr>
            <w:tcW w:w="0" w:type="dxa"/>
            <w:vAlign w:val="bottom"/>
          </w:tcPr>
          <w:p>
            <w:pPr>
              <w:spacing w:after="0"/>
              <w:rPr>
                <w:sz w:val="1"/>
                <w:szCs w:val="1"/>
                <w:color w:val="auto"/>
              </w:rPr>
            </w:pPr>
          </w:p>
        </w:tc>
      </w:tr>
      <w:tr>
        <w:trPr>
          <w:trHeight w:val="38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7,281,790, or 59.3%</w:t>
            </w: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From time to time after the date 180 days after the date of this prospectus</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upon expiration of their respective six-month holding periods in the U.S.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addition, we may file a registration statement to register the approximately 4,533,732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20"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5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07"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02" w:lineRule="exact"/>
        <w:rPr>
          <w:sz w:val="20"/>
          <w:szCs w:val="20"/>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58"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6"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7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anticipated initial public offering price of our common stock is substantially higher than the net tangible book value per share of our outstanding common stock immediately after this offering. Therefore, if you purchase our common stock in this offering, you will incur immediate dilution of $5.07 in the net tangible book value per share from the price you paid. In addition, following this offering, purchasers in the offering will have contributed 59.7% of the total consideration paid by our stockholders to purchase shares of common stock, in exchange for acquiring approximately 40.7% of our total outstanding shares as of January 22, 2021 after giving effect to this offering. The exercise of outstanding stock options will result in further dilution.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5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9"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28"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04"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9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112" w:lineRule="exact"/>
        <w:rPr>
          <w:sz w:val="20"/>
          <w:szCs w:val="20"/>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quarantines;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and</w:t>
      </w:r>
    </w:p>
    <w:p>
      <w:pPr>
        <w:spacing w:after="0" w:line="157" w:lineRule="exact"/>
        <w:rPr>
          <w:rFonts w:ascii="Times New Roman" w:cs="Times New Roman" w:eastAsia="Times New Roman" w:hAnsi="Times New Roman"/>
          <w:sz w:val="18"/>
          <w:szCs w:val="18"/>
          <w:color w:val="auto"/>
        </w:rPr>
      </w:pPr>
    </w:p>
    <w:p>
      <w:pPr>
        <w:jc w:val="right"/>
        <w:ind w:left="4420" w:right="4399" w:hanging="3534"/>
        <w:spacing w:after="0" w:line="528" w:lineRule="auto"/>
        <w:tabs>
          <w:tab w:leader="none" w:pos="13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gatherings of people in public places.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-147955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77" w:lineRule="auto"/>
        <w:rPr>
          <w:sz w:val="20"/>
          <w:szCs w:val="20"/>
          <w:color w:val="auto"/>
        </w:rPr>
      </w:pPr>
      <w:r>
        <w:rPr>
          <w:rFonts w:ascii="Times New Roman" w:cs="Times New Roman" w:eastAsia="Times New Roman" w:hAnsi="Times New Roman"/>
          <w:sz w:val="17"/>
          <w:szCs w:val="17"/>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0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1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63" w:lineRule="exact"/>
        <w:rPr>
          <w:sz w:val="20"/>
          <w:szCs w:val="20"/>
          <w:color w:val="auto"/>
        </w:rPr>
      </w:pPr>
    </w:p>
    <w:p>
      <w:pPr>
        <w:ind w:left="4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economic downturn, particularly in light of the COVID-19 pandemic, could adversely affect our business.</w:t>
      </w:r>
    </w:p>
    <w:p>
      <w:pPr>
        <w:spacing w:after="0" w:line="7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739"/>
        <w:spacing w:after="0" w:line="266" w:lineRule="auto"/>
        <w:rPr>
          <w:sz w:val="20"/>
          <w:szCs w:val="20"/>
          <w:color w:val="auto"/>
        </w:rPr>
      </w:pPr>
      <w:r>
        <w:rPr>
          <w:rFonts w:ascii="Times New Roman" w:cs="Times New Roman" w:eastAsia="Times New Roman" w:hAnsi="Times New Roman"/>
          <w:sz w:val="18"/>
          <w:szCs w:val="18"/>
          <w:color w:val="auto"/>
        </w:rPr>
        <w:t>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58" w:lineRule="exact"/>
        <w:rPr>
          <w:sz w:val="20"/>
          <w:szCs w:val="20"/>
          <w:color w:val="auto"/>
        </w:rPr>
      </w:pPr>
    </w:p>
    <w:p>
      <w:pPr>
        <w:ind w:left="4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6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81" w:lineRule="exact"/>
        <w:rPr>
          <w:sz w:val="20"/>
          <w:szCs w:val="20"/>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157"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 after this offering;</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or elsewhere.</w:t>
      </w:r>
    </w:p>
    <w:p>
      <w:pPr>
        <w:spacing w:after="0" w:line="158"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continuing listing requirements of the NASDAQ Capital Market could result in a de-listing of our securities.</w:t>
      </w:r>
    </w:p>
    <w:p>
      <w:pPr>
        <w:spacing w:after="0" w:line="7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84" w:lineRule="exact"/>
        <w:rPr>
          <w:sz w:val="20"/>
          <w:szCs w:val="20"/>
          <w:color w:val="auto"/>
        </w:rPr>
      </w:pPr>
    </w:p>
    <w:p>
      <w:pPr>
        <w:ind w:left="4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91"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1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6" w:lineRule="exact"/>
        <w:rPr>
          <w:sz w:val="20"/>
          <w:szCs w:val="20"/>
          <w:color w:val="auto"/>
        </w:rPr>
      </w:pPr>
    </w:p>
    <w:p>
      <w:pPr>
        <w:ind w:left="460" w:right="5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16" w:lineRule="exact"/>
        <w:rPr>
          <w:sz w:val="20"/>
          <w:szCs w:val="20"/>
          <w:color w:val="auto"/>
        </w:rPr>
      </w:pPr>
    </w:p>
    <w:p>
      <w:pPr>
        <w:ind w:left="460" w:right="759" w:firstLine="432"/>
        <w:spacing w:after="0" w:line="256"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0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4" w:lineRule="exact"/>
        <w:rPr>
          <w:sz w:val="20"/>
          <w:szCs w:val="20"/>
          <w:color w:val="auto"/>
        </w:rPr>
      </w:pPr>
    </w:p>
    <w:p>
      <w:pPr>
        <w:ind w:left="4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p>
    <w:p>
      <w:pPr>
        <w:spacing w:after="0" w:line="78"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spacing w:after="0" w:line="261" w:lineRule="auto"/>
        <w:rPr>
          <w:sz w:val="20"/>
          <w:szCs w:val="20"/>
          <w:color w:val="auto"/>
        </w:rPr>
      </w:pPr>
      <w:r>
        <w:rPr>
          <w:rFonts w:ascii="Times New Roman" w:cs="Times New Roman" w:eastAsia="Times New Roman" w:hAnsi="Times New Roman"/>
          <w:sz w:val="18"/>
          <w:szCs w:val="18"/>
          <w:color w:val="auto"/>
        </w:rPr>
        <w:t>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9" w:lineRule="exact"/>
        <w:rPr>
          <w:sz w:val="20"/>
          <w:szCs w:val="20"/>
          <w:color w:val="auto"/>
        </w:rPr>
      </w:pPr>
    </w:p>
    <w:p>
      <w:pPr>
        <w:ind w:left="4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0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3"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7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 integration of complementary businesses and technologies;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157"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0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0"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22"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symbols, but we will assert, to the fullest extent under applicable law, our rights to our copyrights, trade names and trademarks. All other trademarks are the property of their respective owners.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$40,050,000, based on an assumed initial public offering price of $9.00 per share, which is the midpoint of the price range set forth on the cover of this prospectus, and after deducting the underwriting discounts and commissions, including an underwriting discount of 8.0% (without taking into account an underwriting discount of 3.5% of the public offering price as applied to shares sold to certain investors), and estimated offering expenses payable by us. If the underwriters exercise their option to purchase additional shares, we estimate that we will receive an additional $6,210,000 in net proceeds.</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$9.00 would increase (decrease) the net proceeds to us from this offering by $4,600,000.</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the following purposes:</w:t>
      </w:r>
    </w:p>
    <w:p>
      <w:pPr>
        <w:spacing w:after="0" w:line="144" w:lineRule="exact"/>
        <w:rPr>
          <w:sz w:val="20"/>
          <w:szCs w:val="20"/>
          <w:color w:val="auto"/>
        </w:rPr>
      </w:pPr>
    </w:p>
    <w:p>
      <w:pPr>
        <w:ind w:left="1320" w:right="479" w:hanging="434"/>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million on research and development for future generations of our products and software;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$6.0 million on sales and marketing activities;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million hire additional personnel;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million capital investment in research, development, and testing equipment;</w:t>
      </w:r>
    </w:p>
    <w:p>
      <w:pPr>
        <w:spacing w:after="0" w:line="157" w:lineRule="exact"/>
        <w:rPr>
          <w:rFonts w:ascii="Times New Roman" w:cs="Times New Roman" w:eastAsia="Times New Roman" w:hAnsi="Times New Roman"/>
          <w:sz w:val="18"/>
          <w:szCs w:val="18"/>
          <w:color w:val="auto"/>
        </w:rPr>
      </w:pPr>
    </w:p>
    <w:p>
      <w:pPr>
        <w:ind w:left="1320" w:right="919" w:hanging="434"/>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million for our equipment financing plan to provide limited credit to our customers;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general corporate purposes.</w:t>
      </w:r>
    </w:p>
    <w:p>
      <w:pPr>
        <w:spacing w:after="0" w:line="14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foregoing expected use of net proceeds from this offering represents our intentions based upon our current plans and business conditions.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w:t>
      </w:r>
    </w:p>
    <w:p>
      <w:pPr>
        <w:spacing w:after="0" w:line="120"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Pending specific utilization of the net proceeds as described above, we intend to invest the net proceeds of the offering in short-term investment grade and U.S. government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33" w:lineRule="exact"/>
        <w:rPr>
          <w:sz w:val="20"/>
          <w:szCs w:val="20"/>
          <w:color w:val="auto"/>
        </w:rPr>
      </w:pPr>
    </w:p>
    <w:p>
      <w:pPr>
        <w:ind w:left="460" w:right="5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2020:</w:t>
      </w:r>
    </w:p>
    <w:p>
      <w:pPr>
        <w:spacing w:after="0" w:line="144"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conversion of our outstanding shares of Series A Preferred Stock into 1,373,038 shares of common stock immediately prior to the closing of this offering based on a conversion price of $7.72;</w:t>
      </w:r>
    </w:p>
    <w:p>
      <w:pPr>
        <w:spacing w:after="0" w:line="81" w:lineRule="exact"/>
        <w:rPr>
          <w:rFonts w:ascii="Times New Roman" w:cs="Times New Roman" w:eastAsia="Times New Roman" w:hAnsi="Times New Roman"/>
          <w:sz w:val="18"/>
          <w:szCs w:val="18"/>
          <w:color w:val="auto"/>
        </w:rPr>
      </w:pPr>
    </w:p>
    <w:p>
      <w:pPr>
        <w:jc w:val="both"/>
        <w:ind w:left="1320" w:right="899" w:hanging="434"/>
        <w:spacing w:after="0" w:line="266"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conversion of our outstanding promissory notes into 1,697,075 shares of common stock immediately prior to the closing of this offering based on a conversion price of $7.72;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58"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(i) the sale of 5,000,000 shares of common stock by us in this offering at the initial public offering price of $9.00 per share, which is the midpoint of the estimated offering price range set forth on the cover page of this prospectus, and after deducting the estimated underwriting discounts and commissions and estimated offering expenses payable by us.</w:t>
      </w:r>
    </w:p>
    <w:p>
      <w:pPr>
        <w:spacing w:after="0" w:line="89"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12"/>
        </w:trPr>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left="134"/>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8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r>
      <w:tr>
        <w:trPr>
          <w:trHeight w:val="180"/>
        </w:trPr>
        <w:tc>
          <w:tcPr>
            <w:tcW w:w="4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48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47"/>
        </w:trPr>
        <w:tc>
          <w:tcPr>
            <w:tcW w:w="48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4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 authorized;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100,000 shares issued and outstanding, actual;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 shares issued and outstanding, pro forma and pro forma as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4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 shares authorized;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4,211,677 shares issued and outstanding, actual; 7,281,790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pro forma; 12,281,790 shares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5"/>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pro forma as adjusted</w:t>
            </w:r>
            <w:r>
              <w:rPr>
                <w:rFonts w:ascii="Times New Roman" w:cs="Times New Roman" w:eastAsia="Times New Roman" w:hAnsi="Times New Roman"/>
                <w:sz w:val="20"/>
                <w:szCs w:val="20"/>
                <w:color w:val="auto"/>
                <w:vertAlign w:val="superscript"/>
              </w:rPr>
              <w:t>(1)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22,170</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63,565</w:t>
            </w: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(13,455)</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(13,455)</w:t>
            </w: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8"/>
        </w:trPr>
        <w:tc>
          <w:tcPr>
            <w:tcW w:w="4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Indebtedness, including long-term debt, notes payable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5,356</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9,550</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9,550</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50,950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our common stock outstanding set forth in the table above excludes:</w:t>
      </w:r>
    </w:p>
    <w:p>
      <w:pPr>
        <w:spacing w:after="0" w:line="131" w:lineRule="exact"/>
        <w:rPr>
          <w:sz w:val="20"/>
          <w:szCs w:val="20"/>
          <w:color w:val="auto"/>
        </w:rPr>
      </w:pPr>
    </w:p>
    <w:p>
      <w:pPr>
        <w:ind w:left="1320" w:right="599" w:hanging="434"/>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3,097,618 shares of common stock issuable upon the exercise of outstanding options at a weighted average exercise price of $3.54 per share;</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1,436,114 shares reserved for issuance under our equity incentive plan;</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828,173 shares of common stock issuable upon the exercise of outstanding warrants associated with our 2020 convertible promissory notes at a weighted average exercise price of $0.02 per share; and</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shares reserved for issuance under the Representative’s Warrant.</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6" w:lineRule="exact"/>
        <w:rPr>
          <w:sz w:val="20"/>
          <w:szCs w:val="20"/>
          <w:color w:val="auto"/>
        </w:rPr>
      </w:pPr>
    </w:p>
    <w:p>
      <w:pPr>
        <w:ind w:left="460" w:right="5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08" w:lineRule="exact"/>
        <w:rPr>
          <w:sz w:val="20"/>
          <w:szCs w:val="20"/>
          <w:color w:val="auto"/>
        </w:rPr>
      </w:pPr>
    </w:p>
    <w:p>
      <w:pPr>
        <w:ind w:left="460" w:right="519" w:firstLine="432"/>
        <w:spacing w:after="0" w:line="274" w:lineRule="auto"/>
        <w:rPr>
          <w:sz w:val="20"/>
          <w:szCs w:val="20"/>
          <w:color w:val="auto"/>
        </w:rPr>
      </w:pPr>
      <w:r>
        <w:rPr>
          <w:rFonts w:ascii="Times New Roman" w:cs="Times New Roman" w:eastAsia="Times New Roman" w:hAnsi="Times New Roman"/>
          <w:sz w:val="17"/>
          <w:szCs w:val="17"/>
          <w:color w:val="auto"/>
        </w:rPr>
        <w:t>“Net tangible book value” is total assets minus the sum of liabilities and intangible assets. “Net tangible book value per share” is net tangible book value divided by the total number of shares outstanding on September 30, 2020. After giving pro forma effect to the conversion of our outstanding shares of Series A Preferred Stock and outstanding convertible promissory notes into an aggregate of 3,070,113 shares of common stock immediately prior to the consummation of this offering based on a conversion price of $7.72, our pro forma net tangible book value on September 30, 2020 was approximately $8,161,000, or $1.12 per share.</w:t>
      </w:r>
    </w:p>
    <w:p>
      <w:pPr>
        <w:spacing w:after="0" w:line="105"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After giving effect to our issuance and sale of shares of common stock in this offering at an assumed initial public offering price of $9.00 per share, the mid-point of the estimated price range shown on the cover of this prospectus, after deducting the estimated underwriting discounts and offering expenses payable by us, the pro forma as adjusted net tangible book value as of September 30, 2020 would have been $48,211,000, or $3.93 per share. This represents an immediate increase in pro forma net tangible book value of $2.81 per share to our existing stockholders and an immediate dilution in pro forma net tangible book value of $5.07 per share to investors purchasing shares of common stock in this offering at the assumed public offering price.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illustrates this dilution:</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50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the offering</w:t>
            </w:r>
          </w:p>
        </w:tc>
        <w:tc>
          <w:tcPr>
            <w:tcW w:w="5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4"/>
                <w:szCs w:val="24"/>
                <w:color w:val="auto"/>
              </w:rPr>
            </w:pPr>
          </w:p>
        </w:tc>
      </w:tr>
      <w:tr>
        <w:trPr>
          <w:trHeight w:val="178"/>
        </w:trPr>
        <w:tc>
          <w:tcPr>
            <w:tcW w:w="68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2020 after the</w:t>
            </w:r>
          </w:p>
        </w:tc>
        <w:tc>
          <w:tcPr>
            <w:tcW w:w="5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5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the offering</w:t>
            </w: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$9.00 per share would increase (decrease) the pro forma net tangible book value by $4,600,000, the pro forma net tangible book value per share after this offering by $0.48 per share and the dilution in pro forma net tangible book value per share to investors in this offering by $0.52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$4.28 per share, representing an immediate increase to existing stockholders of $0.35 per share and an immediate dilution of $4.72 per share to new investors. If any shares are issued in connection with outstanding options, you will experience further dilution.</w:t>
      </w:r>
    </w:p>
    <w:p>
      <w:pPr>
        <w:spacing w:after="0" w:line="12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presents, on a pro forma basis as of September 30,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 average price per share paid or to be paid to us at the public offering price of $9.00 per share, the midpoint of the price range set forth on the cover page of this prospectus, before deducting estimated underwriting discounts and commissions and estimated offering expenses: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880" w:type="dxa"/>
            <w:vAlign w:val="bottom"/>
          </w:tcPr>
          <w:p>
            <w:pPr>
              <w:spacing w:after="0"/>
              <w:rPr>
                <w:sz w:val="17"/>
                <w:szCs w:val="17"/>
                <w:color w:val="auto"/>
              </w:rPr>
            </w:pPr>
          </w:p>
        </w:tc>
        <w:tc>
          <w:tcPr>
            <w:tcW w:w="242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7,281,790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30,327,738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12,281,790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75,327,738</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Assuming the underwriters’ option to purchase additional shares is exercised in full, sales in this offering will reduce the percentage of shares held by existing stockholders to 55.9% and will increase the number of shares held by our new investors to 5,750,000 shares, or 44.1%, assuming no purchases of our common stock by existing stockholders in this offering.</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our common stock outstanding set forth in the table above excludes:</w:t>
      </w:r>
    </w:p>
    <w:p>
      <w:pPr>
        <w:spacing w:after="0" w:line="144" w:lineRule="exact"/>
        <w:rPr>
          <w:sz w:val="20"/>
          <w:szCs w:val="20"/>
          <w:color w:val="auto"/>
        </w:rPr>
      </w:pPr>
    </w:p>
    <w:p>
      <w:pPr>
        <w:ind w:left="1320" w:right="599" w:hanging="434"/>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3,097,618 shares of common stock issuable upon the exercise of outstanding options at a weighted average exercise price of $3.54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1,436,114 shares reserved for issuance under our equity incentive plan;</w:t>
      </w:r>
    </w:p>
    <w:p>
      <w:pPr>
        <w:spacing w:after="0" w:line="157"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828,173 shares of common stock issuable upon the exercise of outstanding warrants associated with our 2020 convertible promissory notes at a weighted average exercise price of $0.02 per share;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shares reserved for issuance under the Representative’s Warrant.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0" w:type="dxa"/>
            <w:vAlign w:val="bottom"/>
          </w:tcPr>
          <w:p>
            <w:pPr>
              <w:spacing w:after="0"/>
              <w:rPr>
                <w:sz w:val="17"/>
                <w:szCs w:val="17"/>
                <w:color w:val="auto"/>
              </w:rPr>
            </w:pPr>
          </w:p>
        </w:tc>
        <w:tc>
          <w:tcPr>
            <w:tcW w:w="2380" w:type="dxa"/>
            <w:vAlign w:val="bottom"/>
            <w:gridSpan w:val="6"/>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238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4,088,000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1,769,000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3120" w:type="dxa"/>
            <w:vAlign w:val="bottom"/>
            <w:tcBorders>
              <w:bottom w:val="single" w:sz="8" w:color="CCEEFF"/>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vMerge w:val="continue"/>
          </w:tcPr>
          <w:p>
            <w:pPr>
              <w:spacing w:after="0"/>
              <w:rPr>
                <w:sz w:val="23"/>
                <w:szCs w:val="23"/>
                <w:color w:val="auto"/>
              </w:rPr>
            </w:pPr>
          </w:p>
        </w:tc>
        <w:tc>
          <w:tcPr>
            <w:tcW w:w="2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CEEFF"/>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used to</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 basic and diluted net loss per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3,068,458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2,326,458</w:t>
            </w: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4,163,848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2,883,896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3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Pro forma weighted-average common</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to compute basic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5,209,491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61"/>
              <w:spacing w:after="0" w:line="14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4,032,000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5" w:lineRule="exact"/>
        <w:rPr>
          <w:sz w:val="20"/>
          <w:szCs w:val="20"/>
          <w:color w:val="auto"/>
        </w:rPr>
      </w:pPr>
    </w:p>
    <w:p>
      <w:pPr>
        <w:ind w:left="460" w:right="5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Times New Roman" w:cs="Times New Roman" w:eastAsia="Times New Roman" w:hAnsi="Times New Roman"/>
          <w:sz w:val="18"/>
          <w:szCs w:val="18"/>
          <w:i w:val="1"/>
          <w:iCs w:val="1"/>
          <w:color w:val="auto"/>
        </w:rPr>
        <w:t>Agrify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Precision Elevated</w:t>
      </w:r>
      <w:r>
        <w:rPr>
          <w:rFonts w:ascii="Times New Roman" w:cs="Times New Roman" w:eastAsia="Times New Roman" w:hAnsi="Times New Roman"/>
          <w:sz w:val="18"/>
          <w:szCs w:val="18"/>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7"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6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pacing w:after="0" w:line="11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subject to adjustment.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In addition, pursuant to its terms, all outstanding shares of Series A Preferred Stock will automatically convert immediately prior to the closing of this offering into 1,373,038 shares of common stock based on a conversion price of $7.72. Accordingly, such shares of Series A Preferred Stock will no longer be outstanding following this offering.</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w:t>
      </w:r>
    </w:p>
    <w:p>
      <w:pPr>
        <w:spacing w:after="0" w:line="135" w:lineRule="exact"/>
        <w:rPr>
          <w:sz w:val="20"/>
          <w:szCs w:val="20"/>
          <w:color w:val="auto"/>
        </w:rPr>
      </w:pPr>
    </w:p>
    <w:p>
      <w:pPr>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111"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111"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81"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Purchase Prices: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50165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 stock consideration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234315</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528" w:hanging="528"/>
        <w:spacing w:after="0"/>
        <w:tabs>
          <w:tab w:leader="none" w:pos="5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1,140,000</w:t>
      </w:r>
    </w:p>
    <w:p>
      <w:pPr>
        <w:spacing w:after="0" w:line="76" w:lineRule="exact"/>
        <w:rPr>
          <w:rFonts w:ascii="Times New Roman" w:cs="Times New Roman" w:eastAsia="Times New Roman" w:hAnsi="Times New Roman"/>
          <w:sz w:val="18"/>
          <w:szCs w:val="18"/>
          <w:color w:val="auto"/>
        </w:rPr>
      </w:pPr>
    </w:p>
    <w:p>
      <w:pPr>
        <w:ind w:left="5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1,356,000</w:t>
      </w:r>
    </w:p>
    <w:p>
      <w:pPr>
        <w:spacing w:after="0" w:line="9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207,000</w:t>
      </w:r>
    </w:p>
    <w:p>
      <w:pPr>
        <w:spacing w:after="0" w:line="73" w:lineRule="exact"/>
        <w:rPr>
          <w:sz w:val="20"/>
          <w:szCs w:val="20"/>
          <w:color w:val="auto"/>
        </w:rPr>
      </w:pPr>
    </w:p>
    <w:p>
      <w:pPr>
        <w:ind w:left="528" w:hanging="528"/>
        <w:spacing w:after="0"/>
        <w:tabs>
          <w:tab w:leader="none" w:pos="52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2,703,000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1" w:lineRule="exact"/>
        <w:rPr>
          <w:rFonts w:ascii="Times New Roman" w:cs="Times New Roman" w:eastAsia="Times New Roman" w:hAnsi="Times New Roman"/>
          <w:sz w:val="18"/>
          <w:szCs w:val="18"/>
          <w:b w:val="1"/>
          <w:bCs w:val="1"/>
          <w:color w:val="auto"/>
        </w:rPr>
      </w:pPr>
    </w:p>
    <w:p>
      <w:pPr>
        <w:ind w:left="64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-513715</wp:posOffset>
            </wp:positionV>
            <wp:extent cx="78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Brand rights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Brand rights and Customer relationships were assigned estimated useful lives of ten years and nine years, respectively, the weighted average of which is approximately 9.5 years.</w:t>
      </w:r>
    </w:p>
    <w:p>
      <w:pPr>
        <w:spacing w:after="0" w:line="8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TriGrow included in our condensed consolidated statement of operations from the acquisition date of January 22, 2020 to September 30, 2020 was $4,000,000.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Harbor Mountain Holdings, LLC</w:t>
      </w:r>
    </w:p>
    <w:p>
      <w:pPr>
        <w:spacing w:after="0" w:line="162"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21"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net receivable owed to Agrify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HMH included in our condensed consolidated statement of operations from the acquisition date of July 22, 2020 to September 30, 2020 was $0.</w:t>
      </w:r>
    </w:p>
    <w:p>
      <w:pPr>
        <w:spacing w:after="0" w:line="94"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The following pro forma financial information summarizes the combined results of operations for us, TriGrow and HMH, as though the acquisition of TriGrow and HMH occurred on January 1, 2019.</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7,766,000</w:t>
            </w:r>
          </w:p>
        </w:tc>
        <w:tc>
          <w:tcPr>
            <w:tcW w:w="28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2,266,000</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9,720,000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0"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coronavirus pandemic (“COVID-19”)</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6"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spacing w:after="0" w:line="266" w:lineRule="auto"/>
        <w:rPr>
          <w:sz w:val="20"/>
          <w:szCs w:val="20"/>
          <w:color w:val="auto"/>
        </w:rPr>
      </w:pPr>
      <w:r>
        <w:rPr>
          <w:rFonts w:ascii="Times New Roman" w:cs="Times New Roman" w:eastAsia="Times New Roman" w:hAnsi="Times New Roman"/>
          <w:sz w:val="18"/>
          <w:szCs w:val="18"/>
          <w:color w:val="auto"/>
        </w:rPr>
        <w:t>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 under the Coronavirus Aid, Relief, and Economic Security Act</w:t>
      </w:r>
    </w:p>
    <w:p>
      <w:pPr>
        <w:spacing w:after="0" w:line="162"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20"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and Warrants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07"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20"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10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 total of $5,800,000 of Notes and warrants to purchase 580,000 shares of common stock were subscribed. Through September 30, 2020, the aggregate relative fair value of the warrants of $1,362,000 was recorded as debt discount at issuance and is being amortized over the term of the respective Notes.</w:t>
      </w:r>
    </w:p>
    <w:p>
      <w:pPr>
        <w:spacing w:after="0" w:line="99" w:lineRule="exact"/>
        <w:rPr>
          <w:sz w:val="20"/>
          <w:szCs w:val="20"/>
          <w:color w:val="auto"/>
        </w:rPr>
      </w:pPr>
    </w:p>
    <w:p>
      <w:pPr>
        <w:ind w:left="460" w:right="679"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2"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6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02"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85"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8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equipment and services, which are generally capable of being distinct and accounted for as separate performance obligations.</w:t>
      </w:r>
    </w:p>
    <w:p>
      <w:pPr>
        <w:spacing w:after="0" w:line="81"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83"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We have elected to treat shipping and handling activities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We receive payment from customers based on specified terms that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20"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95"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94" w:lineRule="exact"/>
        <w:rPr>
          <w:sz w:val="20"/>
          <w:szCs w:val="20"/>
          <w:color w:val="auto"/>
        </w:rPr>
      </w:pPr>
    </w:p>
    <w:p>
      <w:pPr>
        <w:ind w:left="1320" w:right="699" w:hanging="434"/>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94"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80"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59"/>
        <w:spacing w:after="0" w:line="258" w:lineRule="auto"/>
        <w:rPr>
          <w:sz w:val="20"/>
          <w:szCs w:val="20"/>
          <w:color w:val="auto"/>
        </w:rPr>
      </w:pPr>
      <w:r>
        <w:rPr>
          <w:rFonts w:ascii="Times New Roman" w:cs="Times New Roman" w:eastAsia="Times New Roman" w:hAnsi="Times New Roman"/>
          <w:sz w:val="18"/>
          <w:szCs w:val="18"/>
          <w:color w:val="auto"/>
        </w:rPr>
        <w:t>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16" w:lineRule="exact"/>
        <w:rPr>
          <w:sz w:val="20"/>
          <w:szCs w:val="20"/>
          <w:color w:val="auto"/>
        </w:rPr>
      </w:pPr>
    </w:p>
    <w:p>
      <w:pPr>
        <w:ind w:left="460" w:right="879" w:firstLine="432"/>
        <w:spacing w:after="0" w:line="277" w:lineRule="auto"/>
        <w:rPr>
          <w:sz w:val="20"/>
          <w:szCs w:val="20"/>
          <w:color w:val="auto"/>
        </w:rPr>
      </w:pPr>
      <w:r>
        <w:rPr>
          <w:rFonts w:ascii="Times New Roman" w:cs="Times New Roman" w:eastAsia="Times New Roman" w:hAnsi="Times New Roman"/>
          <w:sz w:val="17"/>
          <w:szCs w:val="17"/>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2"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2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11"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common stock</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1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2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99"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162"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2,425,000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50165</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attributable to non-controlling interest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400"/>
        <w:spacing w:after="0"/>
        <w:tabs>
          <w:tab w:leader="none" w:pos="1820" w:val="left"/>
        </w:tabs>
        <w:rPr>
          <w:sz w:val="20"/>
          <w:szCs w:val="20"/>
          <w:color w:val="auto"/>
        </w:rPr>
      </w:pPr>
      <w:r>
        <w:rPr>
          <w:rFonts w:ascii="Times New Roman" w:cs="Times New Roman" w:eastAsia="Times New Roman" w:hAnsi="Times New Roman"/>
          <w:sz w:val="18"/>
          <w:szCs w:val="18"/>
          <w:color w:val="auto"/>
        </w:rPr>
        <w:t>2,392,000</w:t>
      </w:r>
      <w:r>
        <w:rPr>
          <w:sz w:val="20"/>
          <w:szCs w:val="20"/>
          <w:color w:val="auto"/>
        </w:rPr>
        <w:tab/>
      </w:r>
      <w:r>
        <w:rPr>
          <w:rFonts w:ascii="Times New Roman" w:cs="Times New Roman" w:eastAsia="Times New Roman" w:hAnsi="Times New Roman"/>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6,940,000</w:t>
      </w:r>
      <w:r>
        <w:rPr>
          <w:sz w:val="20"/>
          <w:szCs w:val="20"/>
          <w:color w:val="auto"/>
        </w:rPr>
        <w:tab/>
      </w:r>
      <w:r>
        <w:rPr>
          <w:rFonts w:ascii="Times New Roman" w:cs="Times New Roman" w:eastAsia="Times New Roman" w:hAnsi="Times New Roman"/>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9,332,000</w:t>
      </w:r>
      <w:r>
        <w:rPr>
          <w:sz w:val="20"/>
          <w:szCs w:val="20"/>
          <w:color w:val="auto"/>
        </w:rPr>
        <w:tab/>
      </w:r>
      <w:r>
        <w:rPr>
          <w:rFonts w:ascii="Times New Roman" w:cs="Times New Roman" w:eastAsia="Times New Roman" w:hAnsi="Times New Roman"/>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Times New Roman" w:cs="Times New Roman" w:eastAsia="Times New Roman" w:hAnsi="Times New Roman"/>
          <w:sz w:val="18"/>
          <w:szCs w:val="18"/>
          <w:color w:val="auto"/>
        </w:rPr>
        <w:t>8,472,000</w:t>
      </w:r>
      <w:r>
        <w:rPr>
          <w:sz w:val="20"/>
          <w:szCs w:val="20"/>
          <w:color w:val="auto"/>
        </w:rPr>
        <w:tab/>
      </w:r>
      <w:r>
        <w:rPr>
          <w:rFonts w:ascii="Times New Roman" w:cs="Times New Roman" w:eastAsia="Times New Roman" w:hAnsi="Times New Roman"/>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Times New Roman" w:cs="Times New Roman" w:eastAsia="Times New Roman" w:hAnsi="Times New Roman"/>
          <w:sz w:val="18"/>
          <w:szCs w:val="18"/>
          <w:color w:val="auto"/>
        </w:rPr>
        <w:t>139,000</w:t>
      </w:r>
      <w:r>
        <w:rPr>
          <w:sz w:val="20"/>
          <w:szCs w:val="20"/>
          <w:color w:val="auto"/>
        </w:rPr>
        <w:tab/>
      </w:r>
      <w:r>
        <w:rPr>
          <w:rFonts w:ascii="Times New Roman" w:cs="Times New Roman" w:eastAsia="Times New Roman" w:hAnsi="Times New Roman"/>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Times New Roman" w:cs="Times New Roman" w:eastAsia="Times New Roman" w:hAnsi="Times New Roman"/>
          <w:sz w:val="18"/>
          <w:szCs w:val="18"/>
          <w:color w:val="auto"/>
        </w:rPr>
        <w:t>8,611,000</w:t>
      </w:r>
      <w:r>
        <w:rPr>
          <w:sz w:val="20"/>
          <w:szCs w:val="20"/>
          <w:color w:val="auto"/>
        </w:rPr>
        <w:tab/>
      </w:r>
      <w:r>
        <w:rPr>
          <w:rFonts w:ascii="Times New Roman" w:cs="Times New Roman" w:eastAsia="Times New Roman" w:hAnsi="Times New Roman"/>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Times New Roman" w:cs="Times New Roman" w:eastAsia="Times New Roman" w:hAnsi="Times New Roman"/>
          <w:sz w:val="18"/>
          <w:szCs w:val="18"/>
          <w:color w:val="auto"/>
        </w:rPr>
        <w:t>49,000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8,562,000 $</w:t>
      </w:r>
      <w:r>
        <w:rPr>
          <w:sz w:val="20"/>
          <w:szCs w:val="20"/>
          <w:color w:val="auto"/>
        </w:rPr>
        <w:tab/>
      </w:r>
      <w:r>
        <w:rPr>
          <w:rFonts w:ascii="Times New Roman" w:cs="Times New Roman" w:eastAsia="Times New Roman" w:hAnsi="Times New Roman"/>
          <w:sz w:val="18"/>
          <w:szCs w:val="18"/>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20"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revenue for the nine months ended September 30, 2020 and 2019:</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2,406,000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7,734,000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0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Cost of goods sold include direct cost of parts and outsourced assembly and installation services that are necessary for delivery of our products.</w:t>
      </w:r>
    </w:p>
    <w:p>
      <w:pPr>
        <w:spacing w:after="0" w:line="94"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cost of revenue for the nine months ended September 30, 2020 and 2019:</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6,874,000</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108"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 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costs incurred for the development of Agrify Insight and next generation VFUs, which includes:</w:t>
      </w:r>
    </w:p>
    <w:p>
      <w:pPr>
        <w:spacing w:after="0" w:line="81" w:lineRule="exact"/>
        <w:rPr>
          <w:sz w:val="20"/>
          <w:szCs w:val="20"/>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subcontractor under agreements to provide engineering work related to the development of our next generation VFUs;</w:t>
      </w:r>
    </w:p>
    <w:p>
      <w:pPr>
        <w:spacing w:after="0" w:line="94"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8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121" w:lineRule="exact"/>
        <w:rPr>
          <w:sz w:val="20"/>
          <w:szCs w:val="20"/>
          <w:color w:val="auto"/>
        </w:rPr>
      </w:pPr>
    </w:p>
    <w:p>
      <w:pPr>
        <w:ind w:left="460" w:right="719" w:firstLine="432"/>
        <w:spacing w:after="0" w:line="256" w:lineRule="auto"/>
        <w:rPr>
          <w:sz w:val="20"/>
          <w:szCs w:val="20"/>
          <w:color w:val="auto"/>
        </w:rPr>
      </w:pPr>
      <w:r>
        <w:rPr>
          <w:rFonts w:ascii="Times New Roman" w:cs="Times New Roman" w:eastAsia="Times New Roman" w:hAnsi="Times New Roman"/>
          <w:sz w:val="18"/>
          <w:szCs w:val="18"/>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9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spacing w:after="0" w:line="261" w:lineRule="auto"/>
        <w:rPr>
          <w:sz w:val="20"/>
          <w:szCs w:val="20"/>
          <w:color w:val="auto"/>
        </w:rPr>
      </w:pPr>
      <w:r>
        <w:rPr>
          <w:rFonts w:ascii="Times New Roman" w:cs="Times New Roman" w:eastAsia="Times New Roman" w:hAnsi="Times New Roman"/>
          <w:sz w:val="18"/>
          <w:szCs w:val="18"/>
          <w:color w:val="auto"/>
        </w:rPr>
        <w:t>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granted stock options to officers, directors and employees which have several vesting conditions, including an event-based vesting acceleration (defined as a change in control, including an initial public offering). A change in control, including the consummation of this offering, would trigger a significant event-based stock compensation charge in the quarter during which this offering is completed. If this offering is consummated during the fourth quarter of 2020, the estimated share-based compensation cost for stock options granted as of September 30, 2020 would be approximately $1,000,000.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Interest expense was $139,000 for the nine months ended September 30, 2020 compared to $3,000 for the nine months ended September 30, 2019, reflecting an increase of $136,000.</w:t>
      </w:r>
    </w:p>
    <w:p>
      <w:pPr>
        <w:spacing w:after="0" w:line="81"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62" w:lineRule="exact"/>
        <w:rPr>
          <w:sz w:val="20"/>
          <w:szCs w:val="20"/>
          <w:color w:val="auto"/>
        </w:rPr>
      </w:pPr>
    </w:p>
    <w:p>
      <w:pPr>
        <w:ind w:left="460" w:right="739" w:firstLine="432"/>
        <w:spacing w:after="0" w:line="253"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2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2019 and 2018</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2019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2018:</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8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1,769,000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4,333,000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1,547,000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222,000</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2,737,000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1,238,000</w:t>
            </w:r>
          </w:p>
        </w:tc>
        <w:tc>
          <w:tcPr>
            <w:tcW w:w="0" w:type="dxa"/>
            <w:vAlign w:val="bottom"/>
          </w:tcPr>
          <w:p>
            <w:pPr>
              <w:spacing w:after="0"/>
              <w:rPr>
                <w:sz w:val="1"/>
                <w:szCs w:val="1"/>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net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20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40" w:type="dxa"/>
            <w:vAlign w:val="bottom"/>
            <w:vMerge w:val="continue"/>
          </w:tcPr>
          <w:p>
            <w:pPr>
              <w:spacing w:after="0"/>
              <w:rPr>
                <w:sz w:val="21"/>
                <w:szCs w:val="21"/>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2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 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costs incurred for the development of Agrify Insight and next generation AVFUs, which includes:</w:t>
      </w:r>
    </w:p>
    <w:p>
      <w:pPr>
        <w:spacing w:after="0" w:line="81"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13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subcontractor under agreements to provide engineering work related to the development of our next generation AVFUs;</w:t>
      </w:r>
    </w:p>
    <w:p>
      <w:pPr>
        <w:spacing w:after="0" w:line="6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94"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Other income consisted primarily of interest income charged to our customers for late payments and bank fees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net loss for the year ended December 31, 2019 was $(3,042,000) compared with a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$(1,014,000) for the year ended December 31, 2018. The net loss is influenced by the matters discussed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sections of the Management Discussion and Analysis.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raise additional capital and implement our business plan until we generate sufficient cash from operating activities to support our investment and financing needs. Since our inception, we have been funded by revenues from operations and investments in our company.</w:t>
      </w:r>
    </w:p>
    <w:p>
      <w:pPr>
        <w:spacing w:after="0" w:line="85"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As of September 30, 2020, we had $4,958,000 of cash. We believe that our cash, cash resulting from the issuance of our 2020 convertible promissory notes, cash resulting from the public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0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3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Cashflow</w:t>
      </w:r>
    </w:p>
    <w:p>
      <w:pPr>
        <w:spacing w:after="0" w:line="135"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6"/>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(10,723,000)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16,670,000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Operating Activities</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124"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102" w:lineRule="exact"/>
        <w:rPr>
          <w:sz w:val="20"/>
          <w:szCs w:val="20"/>
          <w:color w:val="auto"/>
        </w:rPr>
      </w:pPr>
    </w:p>
    <w:p>
      <w:pPr>
        <w:ind w:left="460" w:right="79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9"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Investing Activities</w:t>
      </w:r>
    </w:p>
    <w:p>
      <w:pPr>
        <w:spacing w:after="0" w:line="162"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0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investment activities in the year ended December 31,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Financing Activities</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99" w:lineRule="exact"/>
        <w:rPr>
          <w:sz w:val="20"/>
          <w:szCs w:val="20"/>
          <w:color w:val="auto"/>
        </w:rPr>
      </w:pPr>
    </w:p>
    <w:p>
      <w:pPr>
        <w:jc w:val="both"/>
        <w:ind w:left="460" w:right="109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financing activities in the year ended December 31,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September 30, 2020, our contractual obligations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6"/>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78"/>
        </w:trPr>
        <w:tc>
          <w:tcPr>
            <w:tcW w:w="2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5"/>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460" w:right="539" w:firstLine="432"/>
        <w:spacing w:after="0" w:line="271" w:lineRule="auto"/>
        <w:rPr>
          <w:sz w:val="20"/>
          <w:szCs w:val="20"/>
          <w:color w:val="auto"/>
        </w:rPr>
      </w:pPr>
      <w:r>
        <w:rPr>
          <w:rFonts w:ascii="Times New Roman" w:cs="Times New Roman" w:eastAsia="Times New Roman" w:hAnsi="Times New Roman"/>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Times New Roman" w:cs="Times New Roman" w:eastAsia="Times New Roman" w:hAnsi="Times New Roman"/>
          <w:sz w:val="17"/>
          <w:szCs w:val="17"/>
          <w:i w:val="1"/>
          <w:iCs w:val="1"/>
          <w:color w:val="auto"/>
        </w:rPr>
        <w:t>Agrify “Precision Elevated™”</w:t>
      </w:r>
      <w:r>
        <w:rPr>
          <w:rFonts w:ascii="Times New Roman" w:cs="Times New Roman" w:eastAsia="Times New Roman" w:hAnsi="Times New Roman"/>
          <w:sz w:val="17"/>
          <w:szCs w:val="17"/>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06"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Times New Roman" w:cs="Times New Roman" w:eastAsia="Times New Roman" w:hAnsi="Times New Roman"/>
          <w:sz w:val="18"/>
          <w:szCs w:val="18"/>
          <w:i w:val="1"/>
          <w:iCs w:val="1"/>
          <w:color w:val="auto"/>
        </w:rPr>
        <w:t>Agrify Vertical Farming Unit (AVFU)</w:t>
      </w:r>
      <w:r>
        <w:rPr>
          <w:rFonts w:ascii="Times New Roman" w:cs="Times New Roman" w:eastAsia="Times New Roman" w:hAnsi="Times New Roman"/>
          <w:sz w:val="18"/>
          <w:szCs w:val="18"/>
          <w:color w:val="auto"/>
        </w:rPr>
        <w:t xml:space="preserve">, as well as our proprietary SaaS product, </w:t>
      </w:r>
      <w:r>
        <w:rPr>
          <w:rFonts w:ascii="Times New Roman" w:cs="Times New Roman" w:eastAsia="Times New Roman" w:hAnsi="Times New Roman"/>
          <w:sz w:val="18"/>
          <w:szCs w:val="18"/>
          <w:i w:val="1"/>
          <w:iCs w:val="1"/>
          <w:color w:val="auto"/>
        </w:rPr>
        <w:t>Agrify Insights™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743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121285</wp:posOffset>
            </wp:positionV>
            <wp:extent cx="2811780" cy="2297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8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8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8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50" w:lineRule="exact"/>
        <w:rPr>
          <w:sz w:val="20"/>
          <w:szCs w:val="20"/>
          <w:color w:val="auto"/>
        </w:rPr>
      </w:pPr>
    </w:p>
    <w:p>
      <w:pPr>
        <w:ind w:left="1320" w:right="519" w:hanging="434"/>
        <w:spacing w:after="0" w:line="255" w:lineRule="auto"/>
        <w:tabs>
          <w:tab w:leader="none" w:pos="13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76" w:lineRule="exact"/>
        <w:rPr>
          <w:rFonts w:ascii="Times New Roman" w:cs="Times New Roman" w:eastAsia="Times New Roman" w:hAnsi="Times New Roman"/>
          <w:sz w:val="18"/>
          <w:szCs w:val="18"/>
          <w:color w:val="auto"/>
        </w:rPr>
      </w:pPr>
    </w:p>
    <w:p>
      <w:pPr>
        <w:ind w:left="1320" w:right="559" w:hanging="434"/>
        <w:spacing w:after="0" w:line="262" w:lineRule="auto"/>
        <w:tabs>
          <w:tab w:leader="none" w:pos="1311"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Integrated Proprietary Components. </w:t>
      </w:r>
      <w:r>
        <w:rPr>
          <w:rFonts w:ascii="Times New Roman" w:cs="Times New Roman" w:eastAsia="Times New Roman" w:hAnsi="Times New Roman"/>
          <w:sz w:val="18"/>
          <w:szCs w:val="18"/>
          <w:color w:val="auto"/>
        </w:rPr>
        <w:t>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1320" w:right="479" w:hanging="434"/>
        <w:spacing w:after="0" w:line="255" w:lineRule="auto"/>
        <w:tabs>
          <w:tab w:leader="none" w:pos="1311"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Proprietary Grow Solutions. </w:t>
      </w:r>
      <w:r>
        <w:rPr>
          <w:rFonts w:ascii="Times New Roman" w:cs="Times New Roman" w:eastAsia="Times New Roman" w:hAnsi="Times New Roman"/>
          <w:sz w:val="18"/>
          <w:szCs w:val="18"/>
          <w:color w:val="auto"/>
        </w:rPr>
        <w:t>While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90" w:lineRule="exact"/>
        <w:rPr>
          <w:rFonts w:ascii="Times New Roman" w:cs="Times New Roman" w:eastAsia="Times New Roman" w:hAnsi="Times New Roman"/>
          <w:sz w:val="18"/>
          <w:szCs w:val="18"/>
          <w:b w:val="1"/>
          <w:bCs w:val="1"/>
          <w:i w:val="1"/>
          <w:iCs w:val="1"/>
          <w:color w:val="auto"/>
        </w:rPr>
      </w:pPr>
    </w:p>
    <w:p>
      <w:pPr>
        <w:ind w:left="1320" w:right="479" w:hanging="434"/>
        <w:spacing w:after="0" w:line="257"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Knowledge and Understanding. </w:t>
      </w:r>
      <w:r>
        <w:rPr>
          <w:rFonts w:ascii="Times New Roman" w:cs="Times New Roman" w:eastAsia="Times New Roman" w:hAnsi="Times New Roman"/>
          <w:sz w:val="18"/>
          <w:szCs w:val="18"/>
          <w:color w:val="auto"/>
        </w:rPr>
        <w:t>We have extensive experience with controlled agriculture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01" w:lineRule="exact"/>
        <w:rPr>
          <w:rFonts w:ascii="Times New Roman" w:cs="Times New Roman" w:eastAsia="Times New Roman" w:hAnsi="Times New Roman"/>
          <w:sz w:val="18"/>
          <w:szCs w:val="18"/>
          <w:color w:val="auto"/>
        </w:rPr>
      </w:pPr>
    </w:p>
    <w:p>
      <w:pPr>
        <w:ind w:left="1320" w:right="639" w:hanging="434"/>
        <w:spacing w:after="0" w:line="257"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Business Model. </w:t>
      </w:r>
      <w:r>
        <w:rPr>
          <w:rFonts w:ascii="Times New Roman" w:cs="Times New Roman" w:eastAsia="Times New Roman" w:hAnsi="Times New Roman"/>
          <w:sz w:val="18"/>
          <w:szCs w:val="18"/>
          <w:color w:val="auto"/>
        </w:rPr>
        <w:t>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87" w:lineRule="exact"/>
        <w:rPr>
          <w:rFonts w:ascii="Times New Roman" w:cs="Times New Roman" w:eastAsia="Times New Roman" w:hAnsi="Times New Roman"/>
          <w:sz w:val="18"/>
          <w:szCs w:val="18"/>
          <w:color w:val="auto"/>
        </w:rPr>
      </w:pPr>
    </w:p>
    <w:p>
      <w:pPr>
        <w:ind w:left="1320" w:right="499" w:hanging="434"/>
        <w:spacing w:after="0" w:line="253"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Investment from and Deep Integration with Large Asian Manufacturer.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90" w:lineRule="exact"/>
        <w:rPr>
          <w:rFonts w:ascii="Times New Roman" w:cs="Times New Roman" w:eastAsia="Times New Roman" w:hAnsi="Times New Roman"/>
          <w:sz w:val="18"/>
          <w:szCs w:val="18"/>
          <w:color w:val="auto"/>
        </w:rPr>
      </w:pPr>
    </w:p>
    <w:p>
      <w:pPr>
        <w:ind w:left="1320" w:right="499" w:hanging="434"/>
        <w:spacing w:after="0" w:line="254"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Joint Venture with Experienced Consulting and General Contractor of Industrial Facilities.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101" w:lineRule="exact"/>
        <w:rPr>
          <w:rFonts w:ascii="Times New Roman" w:cs="Times New Roman" w:eastAsia="Times New Roman" w:hAnsi="Times New Roman"/>
          <w:sz w:val="18"/>
          <w:szCs w:val="18"/>
          <w:color w:val="auto"/>
        </w:rPr>
      </w:pPr>
    </w:p>
    <w:p>
      <w:pPr>
        <w:ind w:left="1320" w:right="519" w:hanging="434"/>
        <w:spacing w:after="0" w:line="259"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Equipment Financing Solution. </w:t>
      </w:r>
      <w:r>
        <w:rPr>
          <w:rFonts w:ascii="Times New Roman" w:cs="Times New Roman" w:eastAsia="Times New Roman" w:hAnsi="Times New Roman"/>
          <w:sz w:val="18"/>
          <w:szCs w:val="18"/>
          <w:color w:val="auto"/>
        </w:rPr>
        <w:t>Limited access to outside capital is a significant issue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98" w:lineRule="exact"/>
        <w:rPr>
          <w:rFonts w:ascii="Times New Roman" w:cs="Times New Roman" w:eastAsia="Times New Roman" w:hAnsi="Times New Roman"/>
          <w:sz w:val="18"/>
          <w:szCs w:val="18"/>
          <w:color w:val="auto"/>
        </w:rPr>
      </w:pPr>
    </w:p>
    <w:p>
      <w:pPr>
        <w:ind w:left="1320" w:right="839" w:hanging="434"/>
        <w:spacing w:after="0" w:line="262" w:lineRule="auto"/>
        <w:tabs>
          <w:tab w:leader="none" w:pos="1311"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and Proven Management Team. </w:t>
      </w:r>
      <w:r>
        <w:rPr>
          <w:rFonts w:ascii="Times New Roman" w:cs="Times New Roman" w:eastAsia="Times New Roman" w:hAnsi="Times New Roman"/>
          <w:sz w:val="18"/>
          <w:szCs w:val="18"/>
          <w:color w:val="auto"/>
        </w:rPr>
        <w:t>Our leadership team has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10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7"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0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106"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7"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Well-Established Crop Market Opportunities</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1500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9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Cannabis Market Opportunity</w:t>
      </w:r>
    </w:p>
    <w:p>
      <w:pPr>
        <w:spacing w:after="0" w:line="146"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27"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Outdoor cannabis has the lowest initial CapEx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02"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0"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9" w:lineRule="exact"/>
        <w:rPr>
          <w:sz w:val="20"/>
          <w:szCs w:val="20"/>
          <w:color w:val="auto"/>
        </w:rPr>
      </w:pPr>
    </w:p>
    <w:p>
      <w:pPr>
        <w:jc w:val="both"/>
        <w:ind w:left="460" w:right="659" w:firstLine="432"/>
        <w:spacing w:after="0" w:line="281" w:lineRule="auto"/>
        <w:rPr>
          <w:sz w:val="20"/>
          <w:szCs w:val="20"/>
          <w:color w:val="auto"/>
        </w:rPr>
      </w:pPr>
      <w:r>
        <w:rPr>
          <w:rFonts w:ascii="Times New Roman" w:cs="Times New Roman" w:eastAsia="Times New Roman" w:hAnsi="Times New Roman"/>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74" w:lineRule="auto"/>
        <w:rPr>
          <w:sz w:val="20"/>
          <w:szCs w:val="20"/>
          <w:color w:val="auto"/>
        </w:rPr>
      </w:pPr>
      <w:r>
        <w:rPr>
          <w:rFonts w:ascii="Times New Roman" w:cs="Times New Roman" w:eastAsia="Times New Roman" w:hAnsi="Times New Roman"/>
          <w:sz w:val="17"/>
          <w:szCs w:val="17"/>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65"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Core Bundled Solution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Agrify Vertical Farming Unit (AVFU)</w:t>
      </w:r>
    </w:p>
    <w:p>
      <w:pPr>
        <w:spacing w:after="0" w:line="16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102235</wp:posOffset>
            </wp:positionV>
            <wp:extent cx="4834890" cy="3188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AVFU</w:t>
      </w:r>
    </w:p>
    <w:p>
      <w:pPr>
        <w:spacing w:after="0" w:line="14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104" w:lineRule="exact"/>
        <w:rPr>
          <w:sz w:val="20"/>
          <w:szCs w:val="20"/>
          <w:color w:val="auto"/>
        </w:rPr>
      </w:pPr>
    </w:p>
    <w:p>
      <w:pPr>
        <w:ind w:left="1320" w:right="499" w:hanging="434"/>
        <w:spacing w:after="0" w:line="268"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Floor Space Utilization. </w:t>
      </w:r>
      <w:r>
        <w:rPr>
          <w:rFonts w:ascii="Times New Roman" w:cs="Times New Roman" w:eastAsia="Times New Roman" w:hAnsi="Times New Roman"/>
          <w:sz w:val="18"/>
          <w:szCs w:val="18"/>
          <w:color w:val="auto"/>
        </w:rPr>
        <w:t>Each AVFU provides two grow rows. Our design introduces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open-room facility design approach to maximize available cultivation floor print while offering superior risk mitigation via individual compartmentalized cultivation chambers.</w:t>
      </w:r>
    </w:p>
    <w:p>
      <w:pPr>
        <w:spacing w:after="0" w:line="103" w:lineRule="exact"/>
        <w:rPr>
          <w:rFonts w:ascii="Times New Roman" w:cs="Times New Roman" w:eastAsia="Times New Roman" w:hAnsi="Times New Roman"/>
          <w:sz w:val="18"/>
          <w:szCs w:val="18"/>
          <w:color w:val="auto"/>
        </w:rPr>
      </w:pPr>
    </w:p>
    <w:p>
      <w:pPr>
        <w:ind w:left="1320" w:right="639" w:hanging="434"/>
        <w:spacing w:after="0" w:line="259" w:lineRule="auto"/>
        <w:tabs>
          <w:tab w:leader="none" w:pos="1311"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AVFU has an environmental control unit (ECU)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519" w:hanging="434"/>
        <w:spacing w:after="0" w:line="268" w:lineRule="auto"/>
        <w:tabs>
          <w:tab w:leader="none" w:pos="1311"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AVFU is designed with proper loading to stack up to 3 units tall,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sextupling production volume over the same footprint. Each unit is designed to easily integrate with a mezzanine catwalk system.</w:t>
      </w:r>
    </w:p>
    <w:p>
      <w:pPr>
        <w:spacing w:after="0" w:line="103" w:lineRule="exact"/>
        <w:rPr>
          <w:rFonts w:ascii="Times New Roman" w:cs="Times New Roman" w:eastAsia="Times New Roman" w:hAnsi="Times New Roman"/>
          <w:sz w:val="18"/>
          <w:szCs w:val="18"/>
          <w:b w:val="1"/>
          <w:bCs w:val="1"/>
          <w:i w:val="1"/>
          <w:iCs w:val="1"/>
          <w:color w:val="auto"/>
        </w:rPr>
      </w:pPr>
    </w:p>
    <w:p>
      <w:pPr>
        <w:ind w:left="1320" w:right="519" w:hanging="434"/>
        <w:spacing w:after="0" w:line="257"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AVFU has a motorized curtain on both sides of the unit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62"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AVFU’s working area is 8 feet tall, allowing easy access to both rows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74930</wp:posOffset>
            </wp:positionV>
            <wp:extent cx="2794635" cy="3351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Stacked AVFUs</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08" w:lineRule="exact"/>
        <w:rPr>
          <w:sz w:val="20"/>
          <w:szCs w:val="20"/>
          <w:color w:val="auto"/>
        </w:rPr>
      </w:pPr>
    </w:p>
    <w:p>
      <w:pPr>
        <w:jc w:val="both"/>
        <w:ind w:left="460" w:right="539" w:firstLine="432"/>
        <w:spacing w:after="0" w:line="281" w:lineRule="auto"/>
        <w:rPr>
          <w:sz w:val="20"/>
          <w:szCs w:val="20"/>
          <w:color w:val="auto"/>
        </w:rPr>
      </w:pPr>
      <w:r>
        <w:rPr>
          <w:rFonts w:ascii="Times New Roman" w:cs="Times New Roman" w:eastAsia="Times New Roman" w:hAnsi="Times New Roman"/>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3780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4989195" cy="3651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45720</wp:posOffset>
            </wp:positionV>
            <wp:extent cx="4800600" cy="2871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205"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16" w:lineRule="exact"/>
        <w:rPr>
          <w:sz w:val="20"/>
          <w:szCs w:val="20"/>
          <w:color w:val="auto"/>
        </w:rPr>
      </w:pPr>
    </w:p>
    <w:p>
      <w:pPr>
        <w:jc w:val="both"/>
        <w:ind w:left="460" w:right="579" w:firstLine="432"/>
        <w:spacing w:after="0" w:line="257" w:lineRule="auto"/>
        <w:rPr>
          <w:sz w:val="20"/>
          <w:szCs w:val="20"/>
          <w:color w:val="auto"/>
        </w:rPr>
      </w:pPr>
      <w:r>
        <w:rPr>
          <w:rFonts w:ascii="Times New Roman" w:cs="Times New Roman" w:eastAsia="Times New Roman" w:hAnsi="Times New Roman"/>
          <w:sz w:val="18"/>
          <w:szCs w:val="18"/>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1" w:lineRule="exact"/>
        <w:rPr>
          <w:sz w:val="20"/>
          <w:szCs w:val="20"/>
          <w:color w:val="auto"/>
        </w:rPr>
      </w:pPr>
    </w:p>
    <w:p>
      <w:pPr>
        <w:ind w:left="460" w:right="499"/>
        <w:spacing w:after="0" w:line="251" w:lineRule="auto"/>
        <w:rPr>
          <w:sz w:val="20"/>
          <w:szCs w:val="20"/>
          <w:color w:val="auto"/>
        </w:rPr>
      </w:pPr>
      <w:r>
        <w:rPr>
          <w:rFonts w:ascii="Times New Roman" w:cs="Times New Roman" w:eastAsia="Times New Roman" w:hAnsi="Times New Roman"/>
          <w:sz w:val="18"/>
          <w:szCs w:val="18"/>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32486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4989195" cy="3660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45720</wp:posOffset>
            </wp:positionV>
            <wp:extent cx="4800600" cy="28803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205"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5143500" cy="3111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80645</wp:posOffset>
            </wp:positionV>
            <wp:extent cx="2023110" cy="2125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4-Tier Agrify Integrated Grow Rack</w:t>
      </w:r>
    </w:p>
    <w:p>
      <w:pPr>
        <w:spacing w:after="0" w:line="162"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21"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AVFU unit level;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Plant Level Optimization</w:t>
      </w:r>
    </w:p>
    <w:p>
      <w:pPr>
        <w:spacing w:after="0" w:line="16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20"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Individual AVFU Level Optimization</w:t>
      </w:r>
    </w:p>
    <w:p>
      <w:pPr>
        <w:spacing w:after="0" w:line="146" w:lineRule="exact"/>
        <w:rPr>
          <w:sz w:val="20"/>
          <w:szCs w:val="20"/>
          <w:color w:val="auto"/>
        </w:rPr>
      </w:pPr>
    </w:p>
    <w:p>
      <w:pPr>
        <w:ind w:left="460" w:right="999" w:firstLine="432"/>
        <w:spacing w:after="0" w:line="312" w:lineRule="auto"/>
        <w:rPr>
          <w:sz w:val="20"/>
          <w:szCs w:val="20"/>
          <w:color w:val="auto"/>
        </w:rPr>
      </w:pPr>
      <w:r>
        <w:rPr>
          <w:rFonts w:ascii="Times New Roman" w:cs="Times New Roman" w:eastAsia="Times New Roman" w:hAnsi="Times New Roman"/>
          <w:sz w:val="17"/>
          <w:szCs w:val="17"/>
          <w:color w:val="auto"/>
        </w:rPr>
        <w:t>Our AVFU hardware provides cultivation environmental control within the growth chamber. This hardware and its component valves, motors and sensors are directed and controlled by Agrify Insights™.</w:t>
      </w:r>
    </w:p>
    <w:p>
      <w:pPr>
        <w:spacing w:after="0" w:line="68" w:lineRule="exact"/>
        <w:rPr>
          <w:sz w:val="20"/>
          <w:szCs w:val="20"/>
          <w:color w:val="auto"/>
        </w:rPr>
      </w:pPr>
    </w:p>
    <w:p>
      <w:pPr>
        <w:ind w:left="1320" w:right="679" w:hanging="434"/>
        <w:spacing w:after="0" w:line="268"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 and Control Agrify Hardware. </w:t>
      </w:r>
      <w:r>
        <w:rPr>
          <w:rFonts w:ascii="Times New Roman" w:cs="Times New Roman" w:eastAsia="Times New Roman" w:hAnsi="Times New Roman"/>
          <w:sz w:val="18"/>
          <w:szCs w:val="18"/>
          <w:color w:val="auto"/>
        </w:rPr>
        <w:t>Agrify Insights™ can either automatically or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our hardware. For example, the water-chilled fan coil can keep temperature in a range accurate to 1.5 degrees Fahrenheit.</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54"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146"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04" w:lineRule="exact"/>
        <w:rPr>
          <w:sz w:val="20"/>
          <w:szCs w:val="20"/>
          <w:color w:val="auto"/>
        </w:rPr>
      </w:pPr>
    </w:p>
    <w:p>
      <w:pPr>
        <w:ind w:left="1320" w:right="499" w:hanging="434"/>
        <w:spacing w:after="0" w:line="257" w:lineRule="auto"/>
        <w:tabs>
          <w:tab w:leader="none" w:pos="1311"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499" w:hanging="434"/>
        <w:spacing w:after="0" w:line="262" w:lineRule="auto"/>
        <w:tabs>
          <w:tab w:leader="none" w:pos="1311"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Workforce Management. </w:t>
      </w:r>
      <w:r>
        <w:rPr>
          <w:rFonts w:ascii="Times New Roman" w:cs="Times New Roman" w:eastAsia="Times New Roman" w:hAnsi="Times New Roman"/>
          <w:sz w:val="18"/>
          <w:szCs w:val="18"/>
          <w:color w:val="auto"/>
        </w:rPr>
        <w:t>Agrify Insights™ includes a workforce planning feature to assign tasks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08" w:lineRule="exact"/>
        <w:rPr>
          <w:rFonts w:ascii="Times New Roman" w:cs="Times New Roman" w:eastAsia="Times New Roman" w:hAnsi="Times New Roman"/>
          <w:sz w:val="18"/>
          <w:szCs w:val="18"/>
          <w:b w:val="1"/>
          <w:bCs w:val="1"/>
          <w:i w:val="1"/>
          <w:iCs w:val="1"/>
          <w:color w:val="auto"/>
        </w:rPr>
      </w:pPr>
    </w:p>
    <w:p>
      <w:pPr>
        <w:ind w:left="1320" w:right="579" w:hanging="434"/>
        <w:spacing w:after="0" w:line="262" w:lineRule="auto"/>
        <w:tabs>
          <w:tab w:leader="none" w:pos="1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Automatic Notification System. </w:t>
      </w:r>
      <w:r>
        <w:rPr>
          <w:rFonts w:ascii="Times New Roman" w:cs="Times New Roman" w:eastAsia="Times New Roman" w:hAnsi="Times New Roman"/>
          <w:sz w:val="18"/>
          <w:szCs w:val="18"/>
          <w:color w:val="auto"/>
        </w:rPr>
        <w:t>Users can select to subscribe to anomalous events, and users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08" w:lineRule="exact"/>
        <w:rPr>
          <w:rFonts w:ascii="Times New Roman" w:cs="Times New Roman" w:eastAsia="Times New Roman" w:hAnsi="Times New Roman"/>
          <w:sz w:val="18"/>
          <w:szCs w:val="18"/>
          <w:color w:val="auto"/>
        </w:rPr>
      </w:pPr>
    </w:p>
    <w:p>
      <w:pPr>
        <w:ind w:left="1320" w:right="659" w:hanging="434"/>
        <w:spacing w:after="0" w:line="286" w:lineRule="auto"/>
        <w:tabs>
          <w:tab w:leader="none" w:pos="1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tasks are contained, tracked and monitored within Agrify Insights™.</w:t>
      </w:r>
    </w:p>
    <w:p>
      <w:pPr>
        <w:spacing w:after="0" w:line="73" w:lineRule="exact"/>
        <w:rPr>
          <w:rFonts w:ascii="Times New Roman" w:cs="Times New Roman" w:eastAsia="Times New Roman" w:hAnsi="Times New Roman"/>
          <w:sz w:val="18"/>
          <w:szCs w:val="18"/>
          <w:color w:val="auto"/>
        </w:rPr>
      </w:pPr>
    </w:p>
    <w:p>
      <w:pPr>
        <w:ind w:left="1320" w:right="679" w:hanging="434"/>
        <w:spacing w:after="0" w:line="268" w:lineRule="auto"/>
        <w:tabs>
          <w:tab w:leader="none" w:pos="1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connects with the water chilled HVAC system and ambient lighting system, providing our customers a central piece of software for facility management.</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16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04" w:lineRule="exact"/>
        <w:rPr>
          <w:sz w:val="20"/>
          <w:szCs w:val="20"/>
          <w:color w:val="auto"/>
        </w:rPr>
      </w:pPr>
    </w:p>
    <w:p>
      <w:pPr>
        <w:ind w:left="1320" w:right="559" w:hanging="434"/>
        <w:spacing w:after="0" w:line="262"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95" w:lineRule="exact"/>
        <w:rPr>
          <w:rFonts w:ascii="Times New Roman" w:cs="Times New Roman" w:eastAsia="Times New Roman" w:hAnsi="Times New Roman"/>
          <w:sz w:val="18"/>
          <w:szCs w:val="18"/>
          <w:color w:val="auto"/>
        </w:rPr>
      </w:pPr>
    </w:p>
    <w:p>
      <w:pPr>
        <w:ind w:left="1320" w:right="479" w:hanging="434"/>
        <w:spacing w:after="0" w:line="291" w:lineRule="auto"/>
        <w:tabs>
          <w:tab w:leader="none" w:pos="13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Online SOPs and Safety Datasheets. </w:t>
      </w:r>
      <w:r>
        <w:rPr>
          <w:rFonts w:ascii="Times New Roman" w:cs="Times New Roman" w:eastAsia="Times New Roman" w:hAnsi="Times New Roman"/>
          <w:sz w:val="17"/>
          <w:szCs w:val="17"/>
          <w:color w:val="auto"/>
        </w:rPr>
        <w:t>Agrify Insights™ hosts digital copies of our included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Standard Operating Procedures and datasheets, or users can upload their own via our content management system, ensuring that the most recent version of SOPs and forms are available to users.</w:t>
      </w:r>
    </w:p>
    <w:p>
      <w:pPr>
        <w:spacing w:after="0" w:line="85" w:lineRule="exact"/>
        <w:rPr>
          <w:rFonts w:ascii="Times New Roman" w:cs="Times New Roman" w:eastAsia="Times New Roman" w:hAnsi="Times New Roman"/>
          <w:sz w:val="17"/>
          <w:szCs w:val="17"/>
          <w:color w:val="auto"/>
        </w:rPr>
      </w:pPr>
    </w:p>
    <w:p>
      <w:pPr>
        <w:ind w:left="1320" w:right="579" w:hanging="434"/>
        <w:spacing w:after="0" w:line="257"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Roles-Based Dashboards. </w:t>
      </w:r>
      <w:r>
        <w:rPr>
          <w:rFonts w:ascii="Times New Roman" w:cs="Times New Roman" w:eastAsia="Times New Roman" w:hAnsi="Times New Roman"/>
          <w:sz w:val="18"/>
          <w:szCs w:val="18"/>
          <w:color w:val="auto"/>
        </w:rPr>
        <w:t>Ability to obtain access to information specifically suited to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14" w:lineRule="exact"/>
        <w:rPr>
          <w:rFonts w:ascii="Times New Roman" w:cs="Times New Roman" w:eastAsia="Times New Roman" w:hAnsi="Times New Roman"/>
          <w:sz w:val="18"/>
          <w:szCs w:val="18"/>
          <w:color w:val="auto"/>
        </w:rPr>
      </w:pPr>
    </w:p>
    <w:p>
      <w:pPr>
        <w:ind w:left="1320" w:right="459" w:hanging="434"/>
        <w:spacing w:after="0" w:line="262"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Collection. </w:t>
      </w:r>
      <w:r>
        <w:rPr>
          <w:rFonts w:ascii="Times New Roman" w:cs="Times New Roman" w:eastAsia="Times New Roman" w:hAnsi="Times New Roman"/>
          <w:sz w:val="18"/>
          <w:szCs w:val="18"/>
          <w:color w:val="auto"/>
        </w:rPr>
        <w:t>Agrify Insights™ is a centralized repository for all data relating to the cultivation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95" w:lineRule="exact"/>
        <w:rPr>
          <w:rFonts w:ascii="Times New Roman" w:cs="Times New Roman" w:eastAsia="Times New Roman" w:hAnsi="Times New Roman"/>
          <w:sz w:val="18"/>
          <w:szCs w:val="18"/>
          <w:color w:val="auto"/>
        </w:rPr>
      </w:pPr>
    </w:p>
    <w:p>
      <w:pPr>
        <w:ind w:left="1320" w:right="639" w:hanging="434"/>
        <w:spacing w:after="0" w:line="268"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commenced working to integrate Agrify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Metrc, a leading seed-to-sale integration, enabling customers to do regulatory reporting through the software. The integration is expected to be completed before the end of 2020.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Product Offerings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Bluezone Model 420 — Air Cleaning System</w:t>
      </w:r>
    </w:p>
    <w:p>
      <w:pPr>
        <w:spacing w:after="0" w:line="160"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102870</wp:posOffset>
            </wp:positionV>
            <wp:extent cx="2245995" cy="1748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Bluezone Model 420</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10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Enozo — Pesticide-Free Surface Protection</w:t>
      </w:r>
    </w:p>
    <w:p>
      <w:pPr>
        <w:spacing w:after="0" w:line="13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79375</wp:posOffset>
            </wp:positionV>
            <wp:extent cx="1200150" cy="1654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Enozo Spray Bottle</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Horticultural Lights</w:t>
      </w:r>
    </w:p>
    <w:p>
      <w:pPr>
        <w:spacing w:after="0" w:line="16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0"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Agrify-Valiant Joint Venture</w:t>
      </w:r>
    </w:p>
    <w:p>
      <w:pPr>
        <w:spacing w:after="0" w:line="14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1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Equipment Financing</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58" w:lineRule="auto"/>
        <w:rPr>
          <w:sz w:val="20"/>
          <w:szCs w:val="20"/>
          <w:color w:val="auto"/>
        </w:rPr>
      </w:pPr>
      <w:r>
        <w:rPr>
          <w:rFonts w:ascii="Times New Roman" w:cs="Times New Roman" w:eastAsia="Times New Roman" w:hAnsi="Times New Roman"/>
          <w:sz w:val="18"/>
          <w:szCs w:val="18"/>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102" w:lineRule="exact"/>
        <w:rPr>
          <w:sz w:val="20"/>
          <w:szCs w:val="20"/>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Semi-Integrated Vertical Cultivation Systems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Sprout AI</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Aeroponic Systems </w:t>
      </w:r>
      <w:r>
        <w:rPr>
          <w:rFonts w:ascii="Times New Roman" w:cs="Times New Roman" w:eastAsia="Times New Roman" w:hAnsi="Times New Roman"/>
          <w:sz w:val="18"/>
          <w:szCs w:val="18"/>
          <w:color w:val="auto"/>
        </w:rPr>
        <w:t>— AEssenceGrows and Thrive Growing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Horticultural Lighting </w:t>
      </w:r>
      <w:r>
        <w:rPr>
          <w:rFonts w:ascii="Times New Roman" w:cs="Times New Roman" w:eastAsia="Times New Roman" w:hAnsi="Times New Roman"/>
          <w:sz w:val="18"/>
          <w:szCs w:val="18"/>
          <w:color w:val="auto"/>
        </w:rPr>
        <w:t>— Gavita, Fluence, VividGro, and Heliospectra</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 Threat Mitigation Solutions </w:t>
      </w:r>
      <w:r>
        <w:rPr>
          <w:rFonts w:ascii="Times New Roman" w:cs="Times New Roman" w:eastAsia="Times New Roman" w:hAnsi="Times New Roman"/>
          <w:sz w:val="18"/>
          <w:szCs w:val="18"/>
          <w:color w:val="auto"/>
        </w:rPr>
        <w:t>— Element Air and Tersano</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Monitoring Software </w:t>
      </w:r>
      <w:r>
        <w:rPr>
          <w:rFonts w:ascii="Times New Roman" w:cs="Times New Roman" w:eastAsia="Times New Roman" w:hAnsi="Times New Roman"/>
          <w:sz w:val="18"/>
          <w:szCs w:val="18"/>
          <w:color w:val="auto"/>
        </w:rPr>
        <w:t>— Grownetics and Trym</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Cultivation Software </w:t>
      </w:r>
      <w:r>
        <w:rPr>
          <w:rFonts w:ascii="Times New Roman" w:cs="Times New Roman" w:eastAsia="Times New Roman" w:hAnsi="Times New Roman"/>
          <w:sz w:val="18"/>
          <w:szCs w:val="18"/>
          <w:color w:val="auto"/>
        </w:rPr>
        <w:t>— Quantum Leaf and Flourish</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 Cultivation Racking Systems </w:t>
      </w:r>
      <w:r>
        <w:rPr>
          <w:rFonts w:ascii="Times New Roman" w:cs="Times New Roman" w:eastAsia="Times New Roman" w:hAnsi="Times New Roman"/>
          <w:sz w:val="18"/>
          <w:szCs w:val="18"/>
          <w:color w:val="auto"/>
        </w:rPr>
        <w:t>— Pipp Horticulture and Montel</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0"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Rigorous Sales Process and Strong Infrastructure in Place to Enable Revenue Growth</w:t>
      </w:r>
    </w:p>
    <w:p>
      <w:pPr>
        <w:spacing w:after="0" w:line="16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15"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2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Marketing Team Aligned with Sales Force to Maximize Our Industry Visibility to Drive Revenue</w:t>
      </w:r>
    </w:p>
    <w:p>
      <w:pPr>
        <w:spacing w:after="0" w:line="146"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10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Direct Marketing</w:t>
      </w:r>
    </w:p>
    <w:p>
      <w:pPr>
        <w:spacing w:after="0" w:line="160" w:lineRule="exact"/>
        <w:rPr>
          <w:sz w:val="20"/>
          <w:szCs w:val="20"/>
          <w:color w:val="auto"/>
        </w:rPr>
      </w:pPr>
    </w:p>
    <w:p>
      <w:pPr>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Social Media and Thought Leadership</w:t>
      </w:r>
    </w:p>
    <w:p>
      <w:pPr>
        <w:spacing w:after="0" w:line="146"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Trade Shows</w:t>
      </w:r>
    </w:p>
    <w:p>
      <w:pPr>
        <w:spacing w:after="0" w:line="14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3857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Paid Advertising</w:t>
      </w:r>
    </w:p>
    <w:p>
      <w:pPr>
        <w:spacing w:after="0" w:line="146" w:lineRule="exact"/>
        <w:rPr>
          <w:sz w:val="20"/>
          <w:szCs w:val="20"/>
          <w:color w:val="auto"/>
        </w:rPr>
      </w:pPr>
    </w:p>
    <w:p>
      <w:pPr>
        <w:ind w:left="460" w:right="639" w:firstLine="432"/>
        <w:spacing w:after="0" w:line="277" w:lineRule="auto"/>
        <w:rPr>
          <w:sz w:val="20"/>
          <w:szCs w:val="20"/>
          <w:color w:val="auto"/>
        </w:rPr>
      </w:pPr>
      <w:r>
        <w:rPr>
          <w:rFonts w:ascii="Times New Roman" w:cs="Times New Roman" w:eastAsia="Times New Roman" w:hAnsi="Times New Roman"/>
          <w:sz w:val="17"/>
          <w:szCs w:val="17"/>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Public Relations Campaigns</w:t>
      </w:r>
    </w:p>
    <w:p>
      <w:pPr>
        <w:spacing w:after="0" w:line="16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Joint Venture with Valiant-America</w:t>
      </w:r>
    </w:p>
    <w:p>
      <w:pPr>
        <w:spacing w:after="0" w:line="14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12"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108" w:lineRule="exact"/>
        <w:rPr>
          <w:sz w:val="20"/>
          <w:szCs w:val="20"/>
          <w:color w:val="auto"/>
        </w:rPr>
      </w:pPr>
    </w:p>
    <w:p>
      <w:pPr>
        <w:ind w:left="460" w:right="699" w:firstLine="432"/>
        <w:spacing w:after="0" w:line="256" w:lineRule="auto"/>
        <w:rPr>
          <w:sz w:val="20"/>
          <w:szCs w:val="20"/>
          <w:color w:val="auto"/>
        </w:rPr>
      </w:pPr>
      <w:r>
        <w:rPr>
          <w:rFonts w:ascii="Times New Roman" w:cs="Times New Roman" w:eastAsia="Times New Roman" w:hAnsi="Times New Roman"/>
          <w:sz w:val="18"/>
          <w:szCs w:val="18"/>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Scale-Up Manufacturing Capabilities in Order to Meet the Increasing Demand for Our Grow Solutions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16"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27"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supply agreement with Mack provides us with several key benefits, including:</w:t>
      </w:r>
    </w:p>
    <w:p>
      <w:pPr>
        <w:spacing w:after="0" w:line="156" w:lineRule="exact"/>
        <w:rPr>
          <w:sz w:val="20"/>
          <w:szCs w:val="20"/>
          <w:color w:val="auto"/>
        </w:rPr>
      </w:pPr>
    </w:p>
    <w:p>
      <w:pPr>
        <w:ind w:left="1320" w:right="779" w:hanging="434"/>
        <w:spacing w:after="0" w:line="267" w:lineRule="auto"/>
        <w:tabs>
          <w:tab w:leader="none" w:pos="13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Scaling: </w:t>
      </w:r>
      <w:r>
        <w:rPr>
          <w:rFonts w:ascii="Times New Roman" w:cs="Times New Roman" w:eastAsia="Times New Roman" w:hAnsi="Times New Roman"/>
          <w:sz w:val="18"/>
          <w:szCs w:val="18"/>
          <w:color w:val="auto"/>
        </w:rPr>
        <w:t>We can scale to customer orders, as Mack has agreed to maintain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stock of AVFUs in inventory and allow us to store additional inventory pending customer deliveries; and</w:t>
      </w:r>
    </w:p>
    <w:p>
      <w:pPr>
        <w:spacing w:after="0" w:line="105" w:lineRule="exact"/>
        <w:rPr>
          <w:rFonts w:ascii="Times New Roman" w:cs="Times New Roman" w:eastAsia="Times New Roman" w:hAnsi="Times New Roman"/>
          <w:sz w:val="18"/>
          <w:szCs w:val="18"/>
          <w:color w:val="auto"/>
        </w:rPr>
      </w:pPr>
    </w:p>
    <w:p>
      <w:pPr>
        <w:ind w:left="1320" w:right="699" w:hanging="434"/>
        <w:spacing w:after="0" w:line="281" w:lineRule="auto"/>
        <w:tabs>
          <w:tab w:leader="none" w:pos="1311" w:val="left"/>
        </w:tabs>
        <w:numPr>
          <w:ilvl w:val="0"/>
          <w:numId w:val="4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Long-Term Efficiencies: </w:t>
      </w:r>
      <w:r>
        <w:rPr>
          <w:rFonts w:ascii="Times New Roman" w:cs="Times New Roman" w:eastAsia="Times New Roman" w:hAnsi="Times New Roman"/>
          <w:sz w:val="17"/>
          <w:szCs w:val="17"/>
          <w:color w:val="auto"/>
        </w:rPr>
        <w:t>Under a strategic partner governance structure, we intend to meet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ectPr>
          <w:pgSz w:w="11900" w:h="16838" w:orient="portrait"/>
          <w:cols w:equalWidth="0" w:num="1">
            <w:col w:w="9019"/>
          </w:cols>
          <w:pgMar w:left="1440" w:top="270"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anticipate that this key strategic relationship with Mack will grow with our continued and expanding need for additional AVFUs.</w:t>
      </w:r>
    </w:p>
    <w:p>
      <w:pPr>
        <w:spacing w:after="0" w:line="94" w:lineRule="exact"/>
        <w:rPr>
          <w:sz w:val="20"/>
          <w:szCs w:val="20"/>
          <w:color w:val="auto"/>
        </w:rPr>
      </w:pPr>
    </w:p>
    <w:p>
      <w:pPr>
        <w:jc w:val="both"/>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60"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filed United States provisional patent application 62/830,770 on April 8, 2019 titled “Device for Light Limiting Current” that serves as the priority document for our April 6, 2020 filing of PCT application PCT/US2020/026878. This application is directed to, among other things, a current limiting device coupled with a light emitting diode driver.</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Trademarks and Copyrights</w:t>
      </w:r>
    </w:p>
    <w:p>
      <w:pPr>
        <w:spacing w:after="0" w:line="133"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or our subsidiaries, have two pending United States trademark applications for AGRIFY, Ser. Nos. 90/341,939 and 88/610,595, a pending application for TRIGROW, Ser. No. 88/192,358, and a pending application for the Leaf Design, Ser. No. 90/341,952. In addition, we recognize common-law trademark rights AGRIFY INSIGHTS and AGRINAMICS for different software as a service products.</w:t>
      </w:r>
    </w:p>
    <w:p>
      <w:pPr>
        <w:spacing w:after="0" w:line="99"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85" w:lineRule="exact"/>
        <w:rPr>
          <w:sz w:val="20"/>
          <w:szCs w:val="20"/>
          <w:color w:val="auto"/>
        </w:rPr>
      </w:pPr>
    </w:p>
    <w:p>
      <w:pPr>
        <w:ind w:left="460" w:right="89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89" w:lineRule="exact"/>
        <w:rPr>
          <w:sz w:val="20"/>
          <w:szCs w:val="20"/>
          <w:color w:val="auto"/>
        </w:rPr>
      </w:pPr>
    </w:p>
    <w:p>
      <w:pPr>
        <w:ind w:left="460" w:right="819" w:firstLine="432"/>
        <w:spacing w:after="0" w:line="258" w:lineRule="auto"/>
        <w:rPr>
          <w:sz w:val="20"/>
          <w:szCs w:val="20"/>
          <w:color w:val="auto"/>
        </w:rPr>
      </w:pPr>
      <w:r>
        <w:rPr>
          <w:rFonts w:ascii="Times New Roman" w:cs="Times New Roman" w:eastAsia="Times New Roman" w:hAnsi="Times New Roman"/>
          <w:sz w:val="18"/>
          <w:szCs w:val="18"/>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Employees and Human Capital Resources</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93"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We do not believe these claims have any merit and intend to vigorously defend against these claims (see note 17, Commitments and Contingencies, to our unaudited condensed consolidated financial statements as of September 30,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35"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8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85"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key employees and directors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Niv Krikov</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Guichao 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 Kressy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460" w:right="499" w:firstLine="432"/>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Chang. </w:t>
      </w:r>
      <w:r>
        <w:rPr>
          <w:rFonts w:ascii="Times New Roman" w:cs="Times New Roman" w:eastAsia="Times New Roman" w:hAnsi="Times New Roman"/>
          <w:sz w:val="18"/>
          <w:szCs w:val="18"/>
          <w:color w:val="auto"/>
        </w:rPr>
        <w:t>Mr. Chang has served as our president, chief executive officer and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3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Niv Krikov. </w:t>
      </w:r>
      <w:r>
        <w:rPr>
          <w:rFonts w:ascii="Times New Roman" w:cs="Times New Roman" w:eastAsia="Times New Roman" w:hAnsi="Times New Roman"/>
          <w:sz w:val="18"/>
          <w:szCs w:val="18"/>
          <w:color w:val="auto"/>
        </w:rPr>
        <w:t>Mr. Krikov has served as our chief financial officer since January 20,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109"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Robert Harrison</w:t>
      </w:r>
      <w:r>
        <w:rPr>
          <w:rFonts w:ascii="Times New Roman" w:cs="Times New Roman" w:eastAsia="Times New Roman" w:hAnsi="Times New Roman"/>
          <w:sz w:val="18"/>
          <w:szCs w:val="18"/>
          <w:color w:val="auto"/>
        </w:rPr>
        <w:t>. Mr. Harrison has served as our chief operating officer since July 21,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999"/>
        <w:spacing w:after="0" w:line="266" w:lineRule="auto"/>
        <w:rPr>
          <w:sz w:val="20"/>
          <w:szCs w:val="20"/>
          <w:color w:val="auto"/>
        </w:rPr>
      </w:pPr>
      <w:r>
        <w:rPr>
          <w:rFonts w:ascii="Times New Roman" w:cs="Times New Roman" w:eastAsia="Times New Roman" w:hAnsi="Times New Roman"/>
          <w:sz w:val="18"/>
          <w:szCs w:val="18"/>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104"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Guichao Hua. </w:t>
      </w:r>
      <w:r>
        <w:rPr>
          <w:rFonts w:ascii="Times New Roman" w:cs="Times New Roman" w:eastAsia="Times New Roman" w:hAnsi="Times New Roman"/>
          <w:sz w:val="18"/>
          <w:szCs w:val="18"/>
          <w:color w:val="auto"/>
        </w:rPr>
        <w:t>Mr. Hua has served as a member of our board of directors since June 15, 2019. Mr. Hua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16"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Thomas Massie</w:t>
      </w:r>
      <w:r>
        <w:rPr>
          <w:rFonts w:ascii="Times New Roman" w:cs="Times New Roman" w:eastAsia="Times New Roman" w:hAnsi="Times New Roman"/>
          <w:sz w:val="18"/>
          <w:szCs w:val="18"/>
          <w:color w:val="auto"/>
        </w:rPr>
        <w:t>. Mr. Massie has served as a member of our board of directors since June 24,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10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Krishnan Varier. </w:t>
      </w:r>
      <w:r>
        <w:rPr>
          <w:rFonts w:ascii="Times New Roman" w:cs="Times New Roman" w:eastAsia="Times New Roman" w:hAnsi="Times New Roman"/>
          <w:sz w:val="18"/>
          <w:szCs w:val="18"/>
          <w:color w:val="auto"/>
        </w:rPr>
        <w:t>Mr. Varier has served as a member of our board of directors since June 24,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27"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Mahoney. </w:t>
      </w:r>
      <w:r>
        <w:rPr>
          <w:rFonts w:ascii="Times New Roman" w:cs="Times New Roman" w:eastAsia="Times New Roman" w:hAnsi="Times New Roman"/>
          <w:sz w:val="18"/>
          <w:szCs w:val="18"/>
          <w:color w:val="auto"/>
        </w:rPr>
        <w:t>Mr. Mahoney has served as a member of our board of directors since December 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23"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Oakes. </w:t>
      </w:r>
      <w:r>
        <w:rPr>
          <w:rFonts w:ascii="Times New Roman" w:cs="Times New Roman" w:eastAsia="Times New Roman" w:hAnsi="Times New Roman"/>
          <w:sz w:val="18"/>
          <w:szCs w:val="18"/>
          <w:color w:val="auto"/>
        </w:rPr>
        <w:t>Mr. Oakes has served as a member of our board of directors since December 17,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20" w:lineRule="exact"/>
        <w:rPr>
          <w:sz w:val="20"/>
          <w:szCs w:val="20"/>
          <w:color w:val="auto"/>
        </w:rPr>
      </w:pPr>
    </w:p>
    <w:p>
      <w:pPr>
        <w:ind w:left="460" w:right="719" w:firstLine="43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S. Kressy. </w:t>
      </w:r>
      <w:r>
        <w:rPr>
          <w:rFonts w:ascii="Times New Roman" w:cs="Times New Roman" w:eastAsia="Times New Roman" w:hAnsi="Times New Roman"/>
          <w:sz w:val="18"/>
          <w:szCs w:val="18"/>
          <w:color w:val="auto"/>
        </w:rPr>
        <w:t>Mr. Kressy has served as a member of our board of directors since December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Since 2015, Mr. Kressy has served as senior lecturer and founding director of the MIT Integrated</w:t>
      </w:r>
    </w:p>
    <w:p>
      <w:pPr>
        <w:spacing w:after="0" w:line="1" w:lineRule="exact"/>
        <w:rPr>
          <w:sz w:val="20"/>
          <w:szCs w:val="20"/>
          <w:color w:val="auto"/>
        </w:rPr>
      </w:pPr>
    </w:p>
    <w:p>
      <w:pPr>
        <w:ind w:left="460" w:right="499"/>
        <w:spacing w:after="0" w:line="251" w:lineRule="auto"/>
        <w:rPr>
          <w:sz w:val="20"/>
          <w:szCs w:val="20"/>
          <w:color w:val="auto"/>
        </w:rPr>
      </w:pPr>
      <w:r>
        <w:rPr>
          <w:rFonts w:ascii="Times New Roman" w:cs="Times New Roman" w:eastAsia="Times New Roman" w:hAnsi="Times New Roman"/>
          <w:sz w:val="18"/>
          <w:szCs w:val="18"/>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94"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80" w:lineRule="exact"/>
        <w:rPr>
          <w:rFonts w:ascii="Times New Roman" w:cs="Times New Roman" w:eastAsia="Times New Roman" w:hAnsi="Times New Roman"/>
          <w:sz w:val="18"/>
          <w:szCs w:val="18"/>
          <w:color w:val="auto"/>
        </w:rPr>
      </w:pPr>
    </w:p>
    <w:p>
      <w:pPr>
        <w:ind w:left="1320" w:right="117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8"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80"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9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and/or anonymous submission of concerns regarding accounting, internal controls or auditing matters;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employee compensation goals, policies, plans and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directors and executive officers;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executive officers;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Thomas Massie, Timothy Mahoney and Timothy Oakes, with Mr. Mahoney serving as the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6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83"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5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6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8"/>
                <w:szCs w:val="18"/>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4"/>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Raymond Chang</w:t>
            </w: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153,800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245,079</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34,472</w:t>
            </w:r>
            <w:r>
              <w:rPr>
                <w:rFonts w:ascii="Times New Roman" w:cs="Times New Roman" w:eastAsia="Times New Roman" w:hAnsi="Times New Roman"/>
                <w:sz w:val="21"/>
                <w:szCs w:val="21"/>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433,351</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86,345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13,848</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Matthew Liotta</w:t>
            </w:r>
            <w:r>
              <w:rPr>
                <w:rFonts w:ascii="Times New Roman" w:cs="Times New Roman" w:eastAsia="Times New Roman" w:hAnsi="Times New Roman"/>
                <w:sz w:val="16"/>
                <w:szCs w:val="16"/>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161,774</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34,472</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287,010</w:t>
            </w:r>
          </w:p>
        </w:tc>
        <w:tc>
          <w:tcPr>
            <w:tcW w:w="0" w:type="dxa"/>
            <w:vAlign w:val="bottom"/>
          </w:tcPr>
          <w:p>
            <w:pPr>
              <w:spacing w:after="0"/>
              <w:rPr>
                <w:sz w:val="1"/>
                <w:szCs w:val="1"/>
                <w:color w:val="auto"/>
              </w:rPr>
            </w:pPr>
          </w:p>
        </w:tc>
      </w:tr>
      <w:tr>
        <w:trPr>
          <w:trHeight w:val="205"/>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Former Chief</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87,019</w:t>
            </w:r>
          </w:p>
        </w:tc>
        <w:tc>
          <w:tcPr>
            <w:tcW w:w="1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16,534</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140,514</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244,067</w:t>
            </w:r>
          </w:p>
        </w:tc>
        <w:tc>
          <w:tcPr>
            <w:tcW w:w="0" w:type="dxa"/>
            <w:vAlign w:val="bottom"/>
          </w:tcPr>
          <w:p>
            <w:pPr>
              <w:spacing w:after="0"/>
              <w:rPr>
                <w:sz w:val="1"/>
                <w:szCs w:val="1"/>
                <w:color w:val="auto"/>
              </w:rPr>
            </w:pPr>
          </w:p>
        </w:tc>
      </w:tr>
      <w:tr>
        <w:trPr>
          <w:trHeight w:val="27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6"/>
              </w:rPr>
              <w:t>Technology Officer</w:t>
            </w:r>
            <w:r>
              <w:rPr>
                <w:rFonts w:ascii="Times New Roman" w:cs="Times New Roman" w:eastAsia="Times New Roman" w:hAnsi="Times New Roman"/>
                <w:sz w:val="21"/>
                <w:szCs w:val="21"/>
                <w:color w:val="auto"/>
                <w:w w:val="96"/>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Niv Krikov</w:t>
            </w: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133,712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31,599</w:t>
            </w:r>
            <w:r>
              <w:rPr>
                <w:rFonts w:ascii="Times New Roman" w:cs="Times New Roman" w:eastAsia="Times New Roman" w:hAnsi="Times New Roman"/>
                <w:sz w:val="21"/>
                <w:szCs w:val="21"/>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206,087</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Financial Officer</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1"/>
        </w:trPr>
        <w:tc>
          <w:tcPr>
            <w:tcW w:w="1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89"/>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94,112</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15,643</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24,418</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134,173</w:t>
            </w:r>
          </w:p>
        </w:tc>
        <w:tc>
          <w:tcPr>
            <w:tcW w:w="0" w:type="dxa"/>
            <w:vAlign w:val="bottom"/>
          </w:tcPr>
          <w:p>
            <w:pPr>
              <w:spacing w:after="0"/>
              <w:rPr>
                <w:sz w:val="1"/>
                <w:szCs w:val="1"/>
                <w:color w:val="auto"/>
              </w:rPr>
            </w:pPr>
          </w:p>
        </w:tc>
      </w:tr>
      <w:tr>
        <w:trPr>
          <w:trHeight w:val="212"/>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Chief Operating Officer</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919" w:hanging="426"/>
        <w:spacing w:after="0" w:line="267"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 of health plan premiums as per our policy.</w:t>
      </w:r>
    </w:p>
    <w:p>
      <w:pPr>
        <w:spacing w:after="0" w:line="18" w:lineRule="exact"/>
        <w:rPr>
          <w:rFonts w:ascii="Times New Roman" w:cs="Times New Roman" w:eastAsia="Times New Roman" w:hAnsi="Times New Roman"/>
          <w:sz w:val="16"/>
          <w:szCs w:val="16"/>
          <w:color w:val="auto"/>
        </w:rPr>
      </w:pPr>
    </w:p>
    <w:p>
      <w:pPr>
        <w:ind w:left="880" w:right="53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ind w:left="880" w:hanging="426"/>
        <w:spacing w:after="0"/>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 of health plan premiums as per our policy.</w:t>
      </w:r>
    </w:p>
    <w:p>
      <w:pPr>
        <w:spacing w:after="0" w:line="18" w:lineRule="exact"/>
        <w:rPr>
          <w:rFonts w:ascii="Times New Roman" w:cs="Times New Roman" w:eastAsia="Times New Roman" w:hAnsi="Times New Roman"/>
          <w:sz w:val="16"/>
          <w:szCs w:val="16"/>
          <w:color w:val="auto"/>
        </w:rPr>
      </w:pPr>
    </w:p>
    <w:p>
      <w:pPr>
        <w:jc w:val="both"/>
        <w:ind w:left="880" w:right="519" w:hanging="426"/>
        <w:spacing w:after="0" w:line="276"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Raymond Chang</w:t>
      </w:r>
    </w:p>
    <w:p>
      <w:pPr>
        <w:spacing w:after="0" w:line="14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21"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Niv Krikov</w:t>
      </w:r>
    </w:p>
    <w:p>
      <w:pPr>
        <w:spacing w:after="0" w:line="14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Robert Harrison</w:t>
      </w:r>
    </w:p>
    <w:p>
      <w:pPr>
        <w:spacing w:after="0" w:line="160"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On April 15, 2020, we and Mr. Harrison entered into an employment agreement pursuant to which Mr. Harrison agreed to be our Director of Project Management. Pursuant to this agreement, Mr. Harrison is paid an annual gross salary of $125,000. On July 21, 2020, Mr. Harrison was appointed to be our Chief Operating Officer. Mr. Harrison’s employment is on an “at will” basis and the agreement may be terminated by either party at any time and for any reason.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Former Chief Technology Officer</w:t>
      </w:r>
    </w:p>
    <w:p>
      <w:pPr>
        <w:spacing w:after="0" w:line="160"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Mr. Liotta accepted a temporary salary reduction of 35% as of April 1, 2020.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Incentive Awards At Fiscal Year-End</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620" w:type="dxa"/>
            <w:vAlign w:val="bottom"/>
            <w:gridSpan w:val="2"/>
            <w:vMerge w:val="continue"/>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8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118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Raymond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3"/>
              <w:spacing w:after="0" w:line="181" w:lineRule="exact"/>
              <w:rPr>
                <w:sz w:val="20"/>
                <w:szCs w:val="20"/>
                <w:color w:val="auto"/>
              </w:rPr>
            </w:pPr>
            <w:r>
              <w:rPr>
                <w:rFonts w:ascii="Times New Roman" w:cs="Times New Roman" w:eastAsia="Times New Roman" w:hAnsi="Times New Roman"/>
                <w:sz w:val="16"/>
                <w:szCs w:val="16"/>
                <w:color w:val="auto"/>
              </w:rPr>
              <w:t>108,017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229,698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May 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44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Chang</w:t>
            </w:r>
            <w:r>
              <w:rPr>
                <w:rFonts w:ascii="Times New Roman" w:cs="Times New Roman" w:eastAsia="Times New Roman" w:hAnsi="Times New Roman"/>
                <w:sz w:val="21"/>
                <w:szCs w:val="21"/>
                <w:b w:val="1"/>
                <w:bCs w:val="1"/>
                <w:color w:val="auto"/>
                <w:vertAlign w:val="superscript"/>
              </w:rPr>
              <w:t>(1)</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14,267</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July 20,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264,823</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19,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6"/>
                <w:szCs w:val="16"/>
                <w:b w:val="1"/>
                <w:bCs w:val="1"/>
                <w:color w:val="auto"/>
              </w:rPr>
              <w:t>Niv Krikov</w:t>
            </w:r>
            <w:r>
              <w:rPr>
                <w:rFonts w:ascii="Times New Roman" w:cs="Times New Roman" w:eastAsia="Times New Roman" w:hAnsi="Times New Roman"/>
                <w:sz w:val="21"/>
                <w:szCs w:val="21"/>
                <w:b w:val="1"/>
                <w:bCs w:val="1"/>
                <w:color w:val="auto"/>
                <w:vertAlign w:val="superscript"/>
              </w:rPr>
              <w:t>(2)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147,410</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23,282</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July 20,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137,711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19,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Robert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Harrison</w:t>
            </w:r>
            <w:r>
              <w:rPr>
                <w:rFonts w:ascii="Times New Roman" w:cs="Times New Roman" w:eastAsia="Times New Roman" w:hAnsi="Times New Roman"/>
                <w:sz w:val="21"/>
                <w:szCs w:val="21"/>
                <w:b w:val="1"/>
                <w:bCs w:val="1"/>
                <w:color w:val="auto"/>
                <w:vertAlign w:val="superscript"/>
              </w:rPr>
              <w:t>(3)</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71,944</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July 20,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19,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Matthew</w:t>
            </w: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54,011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141,651</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Liotta</w:t>
            </w:r>
            <w:r>
              <w:rPr>
                <w:rFonts w:ascii="Times New Roman" w:cs="Times New Roman" w:eastAsia="Times New Roman" w:hAnsi="Times New Roman"/>
                <w:sz w:val="21"/>
                <w:szCs w:val="21"/>
                <w:b w:val="1"/>
                <w:bCs w:val="1"/>
                <w:color w:val="auto"/>
                <w:vertAlign w:val="superscript"/>
              </w:rPr>
              <w:t>(4)</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4"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9, 2019, Mr. Chang was granted options to purchase 150,103 shares of our common stock under our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our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9" w:lineRule="exact"/>
        <w:rPr>
          <w:rFonts w:ascii="Times New Roman" w:cs="Times New Roman" w:eastAsia="Times New Roman" w:hAnsi="Times New Roman"/>
          <w:sz w:val="16"/>
          <w:szCs w:val="16"/>
          <w:color w:val="auto"/>
        </w:rPr>
      </w:pPr>
    </w:p>
    <w:p>
      <w:pPr>
        <w:ind w:left="880" w:right="479" w:hanging="426"/>
        <w:spacing w:after="0" w:line="266"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6, 2020, Mr. Krikov was granted stock options to purchase 147,410 shares of common stock under our 2019 Stock Option Plan (the “2019 Plan”) at an exercise price per share of $2.28 and expiring 10 years from the date of grant. 25% of the options vest 12 months following issuance and the balance vests in 36 equal monthly installments thereafter. On July 20, 2020, Mr. Krikov was granted stock options to purchase 23,282 shares of common stock under our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our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0" w:right="1440" w:bottom="96"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6"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right="519" w:hanging="426"/>
        <w:spacing w:after="0" w:line="262"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6, 2020, Mr. Harrison was granted stock options to purchase 13,401 shares of common stock under our 2019 Plan at an exercise price per share of $2.28. 25% of the options vest 12 months following issuance and the balance vests in 36 equal monthly installments thereafter. On July 20, 2020, Mr. Harrison was granted stock options to purchase 71,944 shares of common stock under our 2019 Plan at an exercise price per share of $2.28. 25% of the options vest 12 months following issuance and the balance vests in 36 equal monthly installments thereafter. On October 19, 2020, Mr. Harrison was granted stock options to purchase 68,856 shares of common stock under our</w:t>
      </w:r>
    </w:p>
    <w:p>
      <w:pPr>
        <w:spacing w:after="0" w:line="3" w:lineRule="exact"/>
        <w:rPr>
          <w:rFonts w:ascii="Times New Roman" w:cs="Times New Roman" w:eastAsia="Times New Roman" w:hAnsi="Times New Roman"/>
          <w:sz w:val="16"/>
          <w:szCs w:val="16"/>
          <w:color w:val="auto"/>
        </w:rPr>
      </w:pPr>
    </w:p>
    <w:p>
      <w:pPr>
        <w:ind w:left="880" w:right="479"/>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178" w:lineRule="exact"/>
        <w:rPr>
          <w:rFonts w:ascii="Times New Roman" w:cs="Times New Roman" w:eastAsia="Times New Roman" w:hAnsi="Times New Roman"/>
          <w:sz w:val="16"/>
          <w:szCs w:val="16"/>
          <w:color w:val="auto"/>
        </w:rPr>
      </w:pPr>
    </w:p>
    <w:p>
      <w:pPr>
        <w:ind w:left="880" w:right="519" w:hanging="426"/>
        <w:spacing w:after="0" w:line="266"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26, 2019, Mr. Liotta was granted options to purchase 75,054 shares of our common stock under our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our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2" w:lineRule="exact"/>
        <w:rPr>
          <w:sz w:val="20"/>
          <w:szCs w:val="20"/>
          <w:color w:val="auto"/>
        </w:rPr>
      </w:pPr>
    </w:p>
    <w:p>
      <w:pPr>
        <w:ind w:left="460" w:right="579" w:firstLine="432"/>
        <w:spacing w:after="0" w:line="252" w:lineRule="auto"/>
        <w:rPr>
          <w:sz w:val="20"/>
          <w:szCs w:val="20"/>
          <w:color w:val="auto"/>
        </w:rPr>
      </w:pPr>
      <w:r>
        <w:rPr>
          <w:rFonts w:ascii="Times New Roman" w:cs="Times New Roman" w:eastAsia="Times New Roman" w:hAnsi="Times New Roman"/>
          <w:sz w:val="18"/>
          <w:szCs w:val="18"/>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4"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Hua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0"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Mahoney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Oakes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6"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On December 21, 2020, Mr. Kressy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6"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2019 Stock Option Plan</w:t>
      </w:r>
    </w:p>
    <w:p>
      <w:pPr>
        <w:spacing w:after="0" w:line="16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4, 2019, we adopted and approved the 2019 Stock Option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there are no shares available to be granted under the 2019 Plan. On or prior to the consummation of this offering, we intend to cancel the 2019 Plan and convert these stock options to the 2020 Plan, as more fully described below. Under the 2019 Stock Option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2020 Omnibus Equity Incentive Plan</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114" w:lineRule="exact"/>
        <w:rPr>
          <w:sz w:val="20"/>
          <w:szCs w:val="20"/>
          <w:color w:val="auto"/>
        </w:rPr>
      </w:pPr>
    </w:p>
    <w:p>
      <w:pPr>
        <w:ind w:left="460" w:right="61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2020 Plan is administered by the board, and upon consummation of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administered by the compensation committee of the board, which shall consist of three members of the board, 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under the plan with respect to his or her own award.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28"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Grant of Awards; Shares Available for Awards</w:t>
      </w:r>
      <w:r>
        <w:rPr>
          <w:rFonts w:ascii="Times New Roman" w:cs="Times New Roman" w:eastAsia="Times New Roman" w:hAnsi="Times New Roman"/>
          <w:sz w:val="18"/>
          <w:szCs w:val="18"/>
          <w:color w:val="auto"/>
        </w:rPr>
        <w:t>. The 2020 Plan provides for the grant of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1,580,474 shares, plus any reserved shares of common stock not issued or subject to outstanding awards granted under our 2019 Stock Plan (the “Prior Plan”). As of the date of this prospectus, we have granted an aggregate of 3,097,618 options to various officers, directors, employees and consultants under the 2020 Plan. No more than 1,580,474 shares of common stock in the aggregate may be issued under the 2020 Plan in connection with incentive stock options. Shares shall be deemed to have been issued under the 2020 Plan solely to the extent actually issued and delivered pursuant to an award. If any award granted under the Prior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133"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9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2020 Plan provides for either “incentive stock options” (“ISOs”), which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SAR entitles the participant, upon exercise, to receive an amount,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59"/>
        <w:spacing w:after="0" w:line="254" w:lineRule="auto"/>
        <w:rPr>
          <w:sz w:val="20"/>
          <w:szCs w:val="20"/>
          <w:color w:val="auto"/>
        </w:rPr>
      </w:pPr>
      <w:r>
        <w:rPr>
          <w:rFonts w:ascii="Times New Roman" w:cs="Times New Roman" w:eastAsia="Times New Roman" w:hAnsi="Times New Roman"/>
          <w:sz w:val="18"/>
          <w:szCs w:val="18"/>
          <w:color w:val="auto"/>
        </w:rPr>
        <w:t>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22" w:lineRule="exact"/>
        <w:rPr>
          <w:sz w:val="20"/>
          <w:szCs w:val="20"/>
          <w:color w:val="auto"/>
        </w:rPr>
      </w:pPr>
    </w:p>
    <w:p>
      <w:pPr>
        <w:ind w:left="460" w:right="499"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Performance Shares and Performance Unit Awards</w:t>
      </w:r>
      <w:r>
        <w:rPr>
          <w:rFonts w:ascii="Times New Roman" w:cs="Times New Roman" w:eastAsia="Times New Roman" w:hAnsi="Times New Roman"/>
          <w:sz w:val="17"/>
          <w:szCs w:val="17"/>
          <w:color w:val="auto"/>
        </w:rPr>
        <w:t>. Performance share and performance unit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day of the third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7"/>
          <w:szCs w:val="17"/>
          <w:color w:val="auto"/>
        </w:rPr>
        <w:t>) calendar month next following the end of the Company’s fiscal year to which such performance goals and objectives relate, unless otherwise structured to comply with Code Section 409A.</w:t>
      </w:r>
    </w:p>
    <w:p>
      <w:pPr>
        <w:spacing w:after="0" w:line="111"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Distribution Equivalent Right Awards</w:t>
      </w:r>
      <w:r>
        <w:rPr>
          <w:rFonts w:ascii="Times New Roman" w:cs="Times New Roman" w:eastAsia="Times New Roman" w:hAnsi="Times New Roman"/>
          <w:sz w:val="18"/>
          <w:szCs w:val="18"/>
          <w:color w:val="auto"/>
        </w:rPr>
        <w:t>. A distribution equivalent right award entitles the participant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1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A restricted stock award is a grant or sale of common stock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22" w:lineRule="exact"/>
        <w:rPr>
          <w:sz w:val="20"/>
          <w:szCs w:val="20"/>
          <w:color w:val="auto"/>
        </w:rPr>
      </w:pPr>
    </w:p>
    <w:p>
      <w:pPr>
        <w:ind w:left="460" w:right="519" w:firstLine="432"/>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 restricted stock unit award provides for a grant of shares or a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An unrestricted stock award is a grant or sale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2"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Change-in-Control Provisions</w:t>
      </w:r>
      <w:r>
        <w:rPr>
          <w:rFonts w:ascii="Times New Roman" w:cs="Times New Roman" w:eastAsia="Times New Roman" w:hAnsi="Times New Roman"/>
          <w:sz w:val="18"/>
          <w:szCs w:val="18"/>
          <w:color w:val="auto"/>
        </w:rPr>
        <w:t>. The compensation committee may, in its sole discretion, at the time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12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compensation committee may adopt, amend and rescind rules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16" w:lineRule="exact"/>
        <w:rPr>
          <w:sz w:val="20"/>
          <w:szCs w:val="20"/>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and Warrant Purchase Agreement with NXT3J Capital, LLC</w:t>
      </w:r>
    </w:p>
    <w:p>
      <w:pPr>
        <w:spacing w:after="0" w:line="16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The convertible promissory note matures one year from the date of issuance and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48"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68" w:lineRule="exact"/>
        <w:rPr>
          <w:sz w:val="20"/>
          <w:szCs w:val="20"/>
          <w:color w:val="auto"/>
        </w:rPr>
      </w:pPr>
    </w:p>
    <w:p>
      <w:pPr>
        <w:ind w:left="1320" w:right="739" w:hanging="434"/>
        <w:spacing w:after="0" w:line="282" w:lineRule="auto"/>
        <w:tabs>
          <w:tab w:leader="none" w:pos="13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own beneficially more than 5% of our common stock;</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24"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calculations of beneficial ownership in this table are based on (i) 4,211,677 shares of common stock outstanding prior to the offering, without giving effect to the conversion of outstanding shares of Series A Preferred Stock and convertible promissory notes, and (ii) 12,281,790 shares of common stock outstanding following the closing of the offering.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Total</w:t>
            </w:r>
          </w:p>
        </w:tc>
      </w:tr>
      <w:tr>
        <w:trPr>
          <w:trHeight w:val="203"/>
        </w:trPr>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Voting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Voting Power</w:t>
            </w:r>
          </w:p>
        </w:tc>
      </w:tr>
      <w:tr>
        <w:trPr>
          <w:trHeight w:val="203"/>
        </w:trPr>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Power Prior to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 This</w:t>
            </w:r>
          </w:p>
        </w:tc>
      </w:tr>
      <w:tr>
        <w:trPr>
          <w:trHeight w:val="212"/>
        </w:trPr>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7"/>
                <w:szCs w:val="7"/>
                <w:b w:val="1"/>
                <w:bCs w:val="1"/>
                <w:color w:val="auto"/>
              </w:rPr>
              <w:t>(1)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r>
      <w:tr>
        <w:trPr>
          <w:trHeight w:val="47"/>
        </w:trPr>
        <w:tc>
          <w:tcPr>
            <w:tcW w:w="128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96"/>
        </w:trPr>
        <w:tc>
          <w:tcPr>
            <w:tcW w:w="432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Officers and Directors: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24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1,385,108</w:t>
            </w:r>
            <w:r>
              <w:rPr>
                <w:rFonts w:ascii="Times New Roman" w:cs="Times New Roman" w:eastAsia="Times New Roman" w:hAnsi="Times New Roman"/>
                <w:sz w:val="8"/>
                <w:szCs w:val="8"/>
                <w:color w:val="auto"/>
              </w:rPr>
              <w:t>(2)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0"/>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700,669</w:t>
            </w:r>
            <w:r>
              <w:rPr>
                <w:rFonts w:ascii="Times New Roman" w:cs="Times New Roman" w:eastAsia="Times New Roman" w:hAnsi="Times New Roman"/>
                <w:sz w:val="8"/>
                <w:szCs w:val="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111,254</w:t>
            </w:r>
            <w:r>
              <w:rPr>
                <w:rFonts w:ascii="Times New Roman" w:cs="Times New Roman" w:eastAsia="Times New Roman" w:hAnsi="Times New Roman"/>
                <w:sz w:val="8"/>
                <w:szCs w:val="8"/>
                <w:color w:val="auto"/>
              </w:rPr>
              <w:t>(12)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41,120</w:t>
            </w:r>
            <w:r>
              <w:rPr>
                <w:rFonts w:ascii="Times New Roman" w:cs="Times New Roman" w:eastAsia="Times New Roman" w:hAnsi="Times New Roman"/>
                <w:sz w:val="17"/>
                <w:szCs w:val="17"/>
                <w:color w:val="auto"/>
                <w:vertAlign w:val="subscript"/>
              </w:rPr>
              <w:t>(3)</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Niv Krikov</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328,996</w:t>
            </w:r>
            <w:r>
              <w:rPr>
                <w:rFonts w:ascii="Times New Roman" w:cs="Times New Roman" w:eastAsia="Times New Roman" w:hAnsi="Times New Roman"/>
                <w:sz w:val="8"/>
                <w:szCs w:val="8"/>
                <w:color w:val="auto"/>
              </w:rPr>
              <w:t>(13)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Harrison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154,201</w:t>
            </w:r>
            <w:r>
              <w:rPr>
                <w:rFonts w:ascii="Times New Roman" w:cs="Times New Roman" w:eastAsia="Times New Roman" w:hAnsi="Times New Roman"/>
                <w:sz w:val="8"/>
                <w:szCs w:val="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Timothy Oakes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41,120</w:t>
            </w:r>
            <w:r>
              <w:rPr>
                <w:rFonts w:ascii="Times New Roman" w:cs="Times New Roman" w:eastAsia="Times New Roman" w:hAnsi="Times New Roman"/>
                <w:sz w:val="8"/>
                <w:szCs w:val="8"/>
                <w:color w:val="auto"/>
              </w:rPr>
              <w:t>(3)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41,120</w:t>
            </w:r>
            <w:r>
              <w:rPr>
                <w:rFonts w:ascii="Times New Roman" w:cs="Times New Roman" w:eastAsia="Times New Roman" w:hAnsi="Times New Roman"/>
                <w:sz w:val="8"/>
                <w:szCs w:val="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Matthew S. Kressy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r>
              <w:rPr>
                <w:rFonts w:ascii="Times New Roman" w:cs="Times New Roman" w:eastAsia="Times New Roman" w:hAnsi="Times New Roman"/>
                <w:sz w:val="8"/>
                <w:szCs w:val="8"/>
                <w:color w:val="auto"/>
              </w:rPr>
              <w:t>(3)</w:t>
            </w:r>
          </w:p>
        </w:tc>
        <w:tc>
          <w:tcPr>
            <w:tcW w:w="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2,825,715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83"/>
        </w:trPr>
        <w:tc>
          <w:tcPr>
            <w:tcW w:w="12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2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5% shareholders: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24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 Chen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1,052,207</w:t>
            </w:r>
            <w:r>
              <w:rPr>
                <w:rFonts w:ascii="Times New Roman" w:cs="Times New Roman" w:eastAsia="Times New Roman" w:hAnsi="Times New Roman"/>
                <w:sz w:val="8"/>
                <w:szCs w:val="8"/>
                <w:color w:val="auto"/>
              </w:rPr>
              <w:t>(6)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Matthew Liotta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254,628</w:t>
            </w:r>
            <w:r>
              <w:rPr>
                <w:rFonts w:ascii="Times New Roman" w:cs="Times New Roman" w:eastAsia="Times New Roman" w:hAnsi="Times New Roman"/>
                <w:sz w:val="8"/>
                <w:szCs w:val="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Dennis Liotta</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869,769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Win-Light Global Co., Ltd.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662,714</w:t>
            </w:r>
            <w:r>
              <w:rPr>
                <w:rFonts w:ascii="Times New Roman" w:cs="Times New Roman" w:eastAsia="Times New Roman" w:hAnsi="Times New Roman"/>
                <w:sz w:val="8"/>
                <w:szCs w:val="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Jesan Capital Company Limited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786,856</w:t>
            </w:r>
            <w:r>
              <w:rPr>
                <w:rFonts w:ascii="Times New Roman" w:cs="Times New Roman" w:eastAsia="Times New Roman" w:hAnsi="Times New Roman"/>
                <w:sz w:val="8"/>
                <w:szCs w:val="8"/>
                <w:color w:val="auto"/>
              </w:rPr>
              <w:t>(8)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0"/>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 Chen</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297,878</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Hoop Ventures LLC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284,074</w:t>
            </w:r>
            <w:r>
              <w:rPr>
                <w:rFonts w:ascii="Times New Roman" w:cs="Times New Roman" w:eastAsia="Times New Roman" w:hAnsi="Times New Roman"/>
                <w:sz w:val="8"/>
                <w:szCs w:val="8"/>
                <w:color w:val="auto"/>
              </w:rPr>
              <w:t>(9)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
        </w:trPr>
        <w:tc>
          <w:tcPr>
            <w:tcW w:w="12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Glory Holding Limited (BVI)</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273,372</w:t>
            </w:r>
            <w:r>
              <w:rPr>
                <w:rFonts w:ascii="Times New Roman" w:cs="Times New Roman" w:eastAsia="Times New Roman" w:hAnsi="Times New Roman"/>
                <w:sz w:val="8"/>
                <w:szCs w:val="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Golden Success HK Limited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289,150</w:t>
            </w:r>
            <w:r>
              <w:rPr>
                <w:rFonts w:ascii="Times New Roman" w:cs="Times New Roman" w:eastAsia="Times New Roman" w:hAnsi="Times New Roman"/>
                <w:sz w:val="8"/>
                <w:szCs w:val="8"/>
                <w:color w:val="auto"/>
              </w:rPr>
              <w:t>(11)</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1"/>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8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Less than 1%.</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63"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right="599" w:hanging="426"/>
        <w:spacing w:after="0" w:line="260"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address of such individual is c/o Agrify Corporation, 101 Middlesex Turnpike, Suite 6, PMB 326, Burlington, MA 01803.</w:t>
      </w:r>
    </w:p>
    <w:p>
      <w:pPr>
        <w:ind w:left="880" w:right="499" w:hanging="426"/>
        <w:spacing w:after="0" w:line="264"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616,805 shares of common stock, (ii) 342,179 shares of common stock held by RTC3 2020 Irrevocable Family Trust, of which Raymond Chang retains the authority to remove the independent trustee,</w:t>
      </w:r>
    </w:p>
    <w:p>
      <w:pPr>
        <w:ind w:left="880" w:right="479" w:firstLine="6"/>
        <w:spacing w:after="0" w:line="264" w:lineRule="auto"/>
        <w:tabs>
          <w:tab w:leader="none" w:pos="1163"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129,548 shares of common stock issuable upon conversion of a $1,000,000 2020 convertible promissory note (at an assumed conversion price of $7.72) issued to RTC3 2020 Irrevocable Family Trust, (iv) 129,548 shares of common stock issuable upon conversion of a $1,000,000 2020 convertible promissory note (at an assumed conversion price of $7.72) issued to NXT3J Capital, LLC, an entity controlled by Mr. Chang, (v) warrants to purchase 126,438 shares of common stock associated with our 2020 convertible promissory notes held by RTC3 2020 Irrevocable Family Trust (of which 63,219 was transferred from NXT3J Capital, LLC to RTC3 2020 Irrevocable Family Trust), and (vi) options to purchase 40,590 shares of common stock held by Mr. Chang’s son, Raymond Chang Jr.</w:t>
      </w:r>
    </w:p>
    <w:p>
      <w:pPr>
        <w:ind w:left="880" w:hanging="42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underlying options.</w:t>
      </w:r>
    </w:p>
    <w:p>
      <w:pPr>
        <w:spacing w:after="0" w:line="18" w:lineRule="exact"/>
        <w:rPr>
          <w:rFonts w:ascii="Times New Roman" w:cs="Times New Roman" w:eastAsia="Times New Roman" w:hAnsi="Times New Roman"/>
          <w:sz w:val="16"/>
          <w:szCs w:val="16"/>
          <w:color w:val="auto"/>
        </w:rPr>
      </w:pPr>
    </w:p>
    <w:p>
      <w:pPr>
        <w:ind w:left="880" w:right="599" w:hanging="426"/>
        <w:spacing w:after="0" w:line="264"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195,662 shares of common stock underlying options and (ii) 58,966 shares of common stock underlying options granted to his spouse, Jennifer Liotta.</w:t>
      </w:r>
    </w:p>
    <w:p>
      <w:pPr>
        <w:ind w:left="880" w:right="479" w:hanging="426"/>
        <w:spacing w:after="0" w:line="264"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542,636 shares of common stock issuable upon conversion of our Series A Preferred Stock (at an assumed conversion price of $7.72) held by Inventronics, of which Mr. Hua shares voting and dispositive control, and</w:t>
      </w:r>
    </w:p>
    <w:p>
      <w:pPr>
        <w:ind w:left="1120" w:hanging="234"/>
        <w:spacing w:after="0"/>
        <w:tabs>
          <w:tab w:leader="none" w:pos="11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to purchase 41,120 shares of common stock.</w:t>
      </w:r>
    </w:p>
    <w:p>
      <w:pPr>
        <w:spacing w:after="0" w:line="18" w:lineRule="exact"/>
        <w:rPr>
          <w:rFonts w:ascii="Times New Roman" w:cs="Times New Roman" w:eastAsia="Times New Roman" w:hAnsi="Times New Roman"/>
          <w:sz w:val="16"/>
          <w:szCs w:val="16"/>
          <w:color w:val="auto"/>
        </w:rPr>
      </w:pPr>
    </w:p>
    <w:p>
      <w:pPr>
        <w:ind w:left="880" w:right="659" w:hanging="426"/>
        <w:spacing w:after="0" w:line="264"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233,824 shares of common stock held by R&amp;T Trust, of which Li Chen is the trustee and holds voting and dispositive power over such shares. The address of R&amp;T Trust is 18 Walker Drive, Princeton, NJ.</w:t>
      </w:r>
    </w:p>
    <w:p>
      <w:pPr>
        <w:ind w:left="880" w:right="619" w:hanging="426"/>
        <w:spacing w:after="0" w:line="264"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277,181 shares of common stock issuable upon conversion of our Series A Preferred Stock (at an assumed conversion price of $7.72), (ii) 259,095 shares of common stock issuable upon conversion of a $2,000,000 convertible promissory note (at an assumed conversion price of $7.72) and (iii) warrants to purchase 126,438 shares of common stock associated with our 2020 convertible promissory notes. Zhu Yue-Mei holds voting and dispositive power over the shares held by Win-Light Global Co., Ltd. The address of Win-Light Global Co., Ltd. Is Unit 8, 3/F Qwomar Trading Center, Blackburne Road, Road Town, Tortola, BVI VG1110.</w:t>
      </w:r>
    </w:p>
    <w:p>
      <w:pPr>
        <w:ind w:left="880" w:right="559" w:hanging="426"/>
        <w:spacing w:after="0" w:line="264"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247,110 shares of common stock and (ii) 362,732 shares of common stock issuable upon conversion of a $2,800,000 convertible promissory note (at an assumed conversion price of $7.72) and (iii)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ind w:left="880" w:right="799" w:hanging="426"/>
        <w:spacing w:after="0" w:line="254"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Nicholas Cooper holds voting and dispositive power over the shares held by Hoop Ventures LLC. The address of Hoop Ventures LLC is 15400 SE 44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Place, Bellevue, WA, 98006.</w:t>
      </w:r>
    </w:p>
    <w:p>
      <w:pPr>
        <w:spacing w:after="0" w:line="1" w:lineRule="exact"/>
        <w:rPr>
          <w:rFonts w:ascii="Times New Roman" w:cs="Times New Roman" w:eastAsia="Times New Roman" w:hAnsi="Times New Roman"/>
          <w:sz w:val="16"/>
          <w:szCs w:val="16"/>
          <w:color w:val="auto"/>
        </w:rPr>
      </w:pPr>
    </w:p>
    <w:p>
      <w:pPr>
        <w:ind w:left="880" w:right="579" w:hanging="426"/>
        <w:spacing w:after="0" w:line="261"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129,548 shares of common stock issuable upon conversion of a $1,000,000 convertible promissory note (at an assumed conversion price of $7.72) and (iii) warrants to purchase 63,219 shares of common stock associated with our 2020 convertible promissory notes. Monhan Wu holds voting and dispositive power over the shares held by Advanced Glory Holding Limited (BVI). The address of Advanced Glory Holding Limited (BVI) is 5F-1, No.135, Sec.2, Xinyi Rd., Zhongzheng Dist., Taipei City 100, Taiwan.</w:t>
      </w:r>
    </w:p>
    <w:p>
      <w:pPr>
        <w:spacing w:after="0" w:line="1" w:lineRule="exact"/>
        <w:rPr>
          <w:rFonts w:ascii="Times New Roman" w:cs="Times New Roman" w:eastAsia="Times New Roman" w:hAnsi="Times New Roman"/>
          <w:sz w:val="16"/>
          <w:szCs w:val="16"/>
          <w:color w:val="auto"/>
        </w:rPr>
      </w:pPr>
    </w:p>
    <w:p>
      <w:pPr>
        <w:ind w:left="880" w:right="519" w:hanging="426"/>
        <w:spacing w:after="0" w:line="264" w:lineRule="auto"/>
        <w:tabs>
          <w:tab w:leader="none" w:pos="87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194,321 shares of common stock issuable upon conversion of a $1,500,000 convertible promissory note (at an assumed conversion price of $7.72) and (iii) warrants to purchase 94,829 shares of common stock associated with our 2020 convertible promissory notes. FanYou Lin holds voting and dispositive power over the shares held by Golden Success HK Limited. The address of Golden Success HK Limited is Construction Bank Shenzen Branch Guo Hui Sub-Branch 1/F, A Tower, International Commercial Building, Fu Hua 1ED, Fu Tian District, Shenzen, China.</w:t>
      </w:r>
    </w:p>
    <w:p>
      <w:pPr>
        <w:ind w:left="880" w:right="679" w:hanging="426"/>
        <w:spacing w:after="0" w:line="264"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20,593 shares of common stock held by Alana Tobin, Mr. Massie’s spouse, and (ii) options to purchase 90,661 shares of common stock.</w:t>
      </w:r>
    </w:p>
    <w:p>
      <w:pPr>
        <w:ind w:left="880" w:hanging="426"/>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20,593 shares of common stock and (ii) options to purchase 308,403 shares of common stock.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there were 4,211,677 shares of common stock outstanding, warrants to purchase 828,173 shares of our common stock associated with our 2020 convertible promissory notes and 3,097,618 shares of common stock subject to outstanding options. An additional 3,070,113 shares of common stock will be issued immediately prior to the closing of this offering upon the conversion of outstanding shares of Series A Preferred Stock and outstanding convertible promissory notes based on a conversion price of $7.72.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2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There are currently 100,000 shares of Series A Preferred Stock outstanding. Such shares will automatically convert into 1,373,038 shares of common stock upon the consummation of this offering based on a conversion price of $7.72.</w:t>
      </w:r>
    </w:p>
    <w:p>
      <w:pPr>
        <w:spacing w:after="0" w:line="10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have outstanding options to purchase 3,097,618 shares of our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have outstanding warrants to purchase 828,173 shares of our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6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shares of common stock have been approved for listing on the NASDAQ Capital Market under the symbol “AGFY.”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were 4,211,677 shares of common stock outstanding, which were held by approximately 42 record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46" w:lineRule="exact"/>
        <w:rPr>
          <w:sz w:val="20"/>
          <w:szCs w:val="20"/>
          <w:color w:val="auto"/>
        </w:rPr>
      </w:pPr>
    </w:p>
    <w:p>
      <w:pPr>
        <w:jc w:val="both"/>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20"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20"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519" w:firstLine="432"/>
        <w:spacing w:after="0" w:line="251"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11"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81" w:lineRule="exact"/>
        <w:rPr>
          <w:sz w:val="20"/>
          <w:szCs w:val="20"/>
          <w:color w:val="auto"/>
        </w:rPr>
      </w:pPr>
    </w:p>
    <w:p>
      <w:pPr>
        <w:ind w:left="460" w:right="739" w:firstLine="432"/>
        <w:spacing w:after="0" w:line="258"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133"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8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11"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date an acquiring person has acquired a controlling interest, that is, crossing any of the three thresholds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such occurrence.</w:t>
      </w:r>
    </w:p>
    <w:p>
      <w:pPr>
        <w:spacing w:after="0" w:line="9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Based upon the number of shares outstanding as of January 22, 2021, upon the closing of this offering, we will have outstanding an aggregate of 12,281,790 shares of common stock, assuming no exercise of the underwriters’ over-allotment option and no exercise of outstanding options, after giving effect to the conversion of all outstanding shares of our Series A Preferred Stock and convertible promissory notes into 3,070,113 shares of common stock immediately prior to the closing of this offering based on a conversion price of $7.72.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22" w:lineRule="exact"/>
        <w:rPr>
          <w:sz w:val="20"/>
          <w:szCs w:val="20"/>
          <w:color w:val="auto"/>
        </w:rPr>
      </w:pPr>
    </w:p>
    <w:p>
      <w:pPr>
        <w:ind w:left="1300" w:hanging="41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will be eligible for sale in the public market on the date of this prospectus; and</w:t>
      </w:r>
    </w:p>
    <w:p>
      <w:pPr>
        <w:spacing w:after="0" w:line="144" w:lineRule="exact"/>
        <w:rPr>
          <w:rFonts w:ascii="Times New Roman" w:cs="Times New Roman" w:eastAsia="Times New Roman" w:hAnsi="Times New Roman"/>
          <w:sz w:val="18"/>
          <w:szCs w:val="18"/>
          <w:color w:val="auto"/>
        </w:rPr>
      </w:pPr>
    </w:p>
    <w:p>
      <w:pPr>
        <w:ind w:left="1320" w:right="599" w:hanging="434"/>
        <w:spacing w:after="0" w:line="261" w:lineRule="auto"/>
        <w:tabs>
          <w:tab w:leader="none" w:pos="131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6,489,379 shares will be eligible for sale in the public market upon expiration of lock-up agreements 181 days after the date of this prospectus (which period may be reduced to a minimum of 90 days if we meet certain stock price milestones), subject in certain circumstances to the volume, manner of sale and other limitations of Rule 144 and Rule 701.</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of January 22, 2021, of the 3,097,618 shares of common stock issuable upon exercise of outstanding options, approximately 1,681,651 shares will be vested and eligible for sale 181 days after the date of this prospectus.</w:t>
      </w:r>
    </w:p>
    <w:p>
      <w:pPr>
        <w:spacing w:after="0" w:line="10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20" w:right="539" w:hanging="434"/>
        <w:spacing w:after="0" w:line="266" w:lineRule="auto"/>
        <w:tabs>
          <w:tab w:leader="none" w:pos="13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122,818 shares immediately after the closing of this offering based on the number of shares of common stock outstanding as of January 22, 2021.</w:t>
      </w:r>
    </w:p>
    <w:p>
      <w:pPr>
        <w:spacing w:after="0" w:line="108" w:lineRule="exact"/>
        <w:rPr>
          <w:rFonts w:ascii="Times New Roman" w:cs="Times New Roman" w:eastAsia="Times New Roman" w:hAnsi="Times New Roman"/>
          <w:sz w:val="18"/>
          <w:szCs w:val="18"/>
          <w:color w:val="auto"/>
        </w:rPr>
      </w:pPr>
    </w:p>
    <w:p>
      <w:pPr>
        <w:ind w:left="1320" w:right="679" w:hanging="434"/>
        <w:spacing w:after="0" w:line="312" w:lineRule="auto"/>
        <w:tabs>
          <w:tab w:leader="none" w:pos="131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of our common stock on the NASDAQ Capital Market during the four calendar weeks preceding the filing of a notice on Form 144 with respect to the sale.</w:t>
      </w:r>
    </w:p>
    <w:p>
      <w:pPr>
        <w:spacing w:after="0" w:line="59"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Such sales by affiliates must also comply with the manner of sale, current public information and notice provisions of Rule 144.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all of our directors and executive officers and holders of one percent (1%) or more of our outstanding shares of common stock as of the effective date of the registration statement related to this offering (and all holders of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 These agreements are described in the section of this prospectus titled “Underwriting.”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270" w:right="1440" w:bottom="1440" w:gutter="0" w:footer="0" w:header="0"/>
        </w:sect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820" w:space="720"/>
            <w:col w:w="14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Maxim Group LLC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acceptance of our shares of common stock by the underwriters;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12" w:lineRule="auto"/>
        <w:rPr>
          <w:sz w:val="20"/>
          <w:szCs w:val="20"/>
          <w:color w:val="auto"/>
        </w:rPr>
      </w:pPr>
      <w:r>
        <w:rPr>
          <w:rFonts w:ascii="Times New Roman" w:cs="Times New Roman" w:eastAsia="Times New Roman" w:hAnsi="Times New Roman"/>
          <w:sz w:val="17"/>
          <w:szCs w:val="17"/>
          <w:color w:val="auto"/>
        </w:rPr>
        <w:t>We have been advised by Maxim that the underwriters intend to make a market in our shares of common stock but that they are not obligated to do so and may discontinue making a market at any time without notice.</w:t>
      </w:r>
    </w:p>
    <w:p>
      <w:pPr>
        <w:spacing w:after="0" w:line="59" w:lineRule="exact"/>
        <w:rPr>
          <w:sz w:val="20"/>
          <w:szCs w:val="20"/>
          <w:color w:val="auto"/>
        </w:rPr>
      </w:pPr>
    </w:p>
    <w:p>
      <w:pPr>
        <w:ind w:left="460" w:right="131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electronically.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to buy up to an aggregate of 750,000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62" w:lineRule="exact"/>
        <w:rPr>
          <w:sz w:val="20"/>
          <w:szCs w:val="20"/>
          <w:color w:val="auto"/>
        </w:rPr>
      </w:pPr>
    </w:p>
    <w:p>
      <w:pPr>
        <w:ind w:left="460" w:right="639" w:firstLine="432"/>
        <w:spacing w:after="0" w:line="276" w:lineRule="auto"/>
        <w:rPr>
          <w:sz w:val="20"/>
          <w:szCs w:val="20"/>
          <w:color w:val="auto"/>
        </w:rPr>
      </w:pPr>
      <w:r>
        <w:rPr>
          <w:rFonts w:ascii="Times New Roman" w:cs="Times New Roman" w:eastAsia="Times New Roman" w:hAnsi="Times New Roman"/>
          <w:sz w:val="17"/>
          <w:szCs w:val="17"/>
          <w:color w:val="auto"/>
        </w:rPr>
        <w:t>Shares sold by the underwriters to the public will initially be offered at the initial offering price set forth on the cover of this prospectus. Any shares sold by the underwriters to securities dealers may be sold at a</w:t>
      </w:r>
    </w:p>
    <w:p>
      <w:pPr>
        <w:spacing w:after="0" w:line="1"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discount of up to $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06"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$8.28 per share, which represents the public offering price of our shares set forth on the cover page of this prospectus less a 8.0% underwriting discount. With respect to certain investors, we have agreed to sell the shares of common stock to the underwriters at the offering price of $8.685 per share, which represents the public offering price of our shares set forth on the cover page of this prospectus less a 3.5% underwriting discount.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 we will pay to the underwriters assuming both no exercise and full exercise of the underwriters’ option to purchase up to 750,000 additional shares.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Full</w:t>
            </w:r>
          </w:p>
        </w:tc>
      </w:tr>
      <w:tr>
        <w:trPr>
          <w:trHeight w:val="212"/>
        </w:trPr>
        <w:tc>
          <w:tcPr>
            <w:tcW w:w="58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46"/>
        </w:trPr>
        <w:tc>
          <w:tcPr>
            <w:tcW w:w="58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pay Maxim’s out-of-pocket accountable expenses, including Maxim’s legal fees, up to a maximum amount of $175,000, irrespective of whether the offering is consummated. We have paid $50,000 to Maxim as an advance to be applied towards reasonable out-of-pocket expenses (which we refer to as the Advance). Any portion of the Advance shall be returned back to us to the extent not actually incurred.</w:t>
      </w:r>
    </w:p>
    <w:p>
      <w:pPr>
        <w:spacing w:after="0" w:line="112"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the offering payable by us, not including the underwriting discount, will be approximately $1.35 million. We have also agreed to reimburse the underwriters for certain expenses incurred by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Representative’s Warrants</w:t>
      </w:r>
    </w:p>
    <w:p>
      <w:pPr>
        <w:spacing w:after="0" w:line="148" w:lineRule="exact"/>
        <w:rPr>
          <w:sz w:val="20"/>
          <w:szCs w:val="20"/>
          <w:color w:val="auto"/>
        </w:rPr>
      </w:pPr>
    </w:p>
    <w:p>
      <w:pPr>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also agreed to issue to Maxim (or its permitted assignees) the warrants to purchase a number of our shares of common stock equal to an aggregate of 5% of the total number of shares of common stock sold in this offering (or Representative’s Warrants). The Representative’s Warrants will have an exercise price equal to 110%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grant Maxim, for the twelve (12) month period following the commencement of sales of this offering, a right of first refusal to act as lead managing underwriter and book runner for any and all future public or private equity, equity-linked, convertible and debt offerings during such twelve (12) month period by us, or any successor to or any subsidiary of our company subject to such procedures as agreed upon in the underwriting agreement.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and our directors, officers and holders of one percent (1%) or more of our outstanding shares of common stock as of the effective date of the registration statement related to this offering (and all holders of securities exercisable for or convertible into shares of common stock) shall enter into customary “lock-up” agreements in favor 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1139" w:firstLine="432"/>
        <w:spacing w:after="0" w:line="289" w:lineRule="auto"/>
        <w:rPr>
          <w:sz w:val="20"/>
          <w:szCs w:val="20"/>
          <w:color w:val="auto"/>
        </w:rPr>
      </w:pPr>
      <w:r>
        <w:rPr>
          <w:rFonts w:ascii="Times New Roman" w:cs="Times New Roman" w:eastAsia="Times New Roman" w:hAnsi="Times New Roman"/>
          <w:sz w:val="17"/>
          <w:szCs w:val="17"/>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Public Market</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16" w:lineRule="exact"/>
        <w:rPr>
          <w:sz w:val="20"/>
          <w:szCs w:val="20"/>
          <w:color w:val="auto"/>
        </w:rPr>
      </w:pPr>
    </w:p>
    <w:p>
      <w:pPr>
        <w:jc w:val="both"/>
        <w:ind w:left="460" w:right="879" w:firstLine="432"/>
        <w:spacing w:after="0" w:line="266" w:lineRule="auto"/>
        <w:rPr>
          <w:sz w:val="20"/>
          <w:szCs w:val="20"/>
          <w:color w:val="auto"/>
        </w:rPr>
      </w:pPr>
      <w:r>
        <w:rPr>
          <w:rFonts w:ascii="Times New Roman" w:cs="Times New Roman" w:eastAsia="Times New Roman" w:hAnsi="Times New Roman"/>
          <w:sz w:val="18"/>
          <w:szCs w:val="18"/>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16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shares of common stock have been approved for listing on the NASDAQ Capital Market under the symbol “AGFY.”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activities that stabilize, maintain or otherwise affect the price of our shares of common stock during and after this offering, including:</w:t>
      </w:r>
    </w:p>
    <w:p>
      <w:pPr>
        <w:spacing w:after="0" w:line="94" w:lineRule="exact"/>
        <w:rPr>
          <w:sz w:val="20"/>
          <w:szCs w:val="20"/>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to cover positions created by short sales;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penalty bids;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w:t>
      </w:r>
    </w:p>
    <w:p>
      <w:pPr>
        <w:spacing w:after="0" w:line="144"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7"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08" w:lineRule="exact"/>
        <w:rPr>
          <w:sz w:val="20"/>
          <w:szCs w:val="20"/>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Maxim;</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prospects and the history and prospects for the industry in which we compete;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financial performance;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 and the present state of our development;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 at the time of this offering;</w:t>
      </w:r>
    </w:p>
    <w:p>
      <w:pPr>
        <w:spacing w:after="0" w:line="157" w:lineRule="exact"/>
        <w:rPr>
          <w:rFonts w:ascii="Times New Roman" w:cs="Times New Roman" w:eastAsia="Times New Roman" w:hAnsi="Times New Roman"/>
          <w:sz w:val="18"/>
          <w:szCs w:val="18"/>
          <w:color w:val="auto"/>
        </w:rPr>
      </w:pPr>
    </w:p>
    <w:p>
      <w:pPr>
        <w:ind w:left="1320" w:right="1119" w:hanging="434"/>
        <w:spacing w:after="0" w:line="282" w:lineRule="auto"/>
        <w:tabs>
          <w:tab w:leader="none" w:pos="13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shares of generally comparable companies;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58" w:lineRule="exact"/>
        <w:rPr>
          <w:sz w:val="20"/>
          <w:szCs w:val="20"/>
          <w:color w:val="auto"/>
        </w:rPr>
      </w:pPr>
    </w:p>
    <w:p>
      <w:pPr>
        <w:ind w:left="460" w:right="6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Canada</w:t>
      </w:r>
      <w:r>
        <w:rPr>
          <w:rFonts w:ascii="Times New Roman" w:cs="Times New Roman" w:eastAsia="Times New Roman" w:hAnsi="Times New Roman"/>
          <w:sz w:val="18"/>
          <w:szCs w:val="18"/>
          <w:color w:val="auto"/>
        </w:rPr>
        <w:t>. The securities may be sold in Canada only to purchasers purchasing, or deemed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Exemptions </w:t>
      </w:r>
      <w:r>
        <w:rPr>
          <w:rFonts w:ascii="Times New Roman" w:cs="Times New Roman" w:eastAsia="Times New Roman" w:hAnsi="Times New Roman"/>
          <w:sz w:val="18"/>
          <w:szCs w:val="18"/>
          <w:color w:val="auto"/>
        </w:rPr>
        <w:t>or subsection 73.3(1) of the Securities Act (Ontario), and are permitted clients,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National Instrument 31 103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securities must be made in accordance with an exemption from, or in a transaction not subject to, the prospectus requirements of applicable securities laws.</w:t>
      </w:r>
    </w:p>
    <w:p>
      <w:pPr>
        <w:spacing w:after="0" w:line="10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8" w:lineRule="exact"/>
        <w:rPr>
          <w:sz w:val="20"/>
          <w:szCs w:val="20"/>
          <w:color w:val="auto"/>
        </w:rPr>
      </w:pPr>
    </w:p>
    <w:p>
      <w:pPr>
        <w:ind w:left="460" w:right="6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33 105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04"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European Economic Area. </w:t>
      </w:r>
      <w:r>
        <w:rPr>
          <w:rFonts w:ascii="Times New Roman" w:cs="Times New Roman" w:eastAsia="Times New Roman" w:hAnsi="Times New Roman"/>
          <w:sz w:val="18"/>
          <w:szCs w:val="18"/>
          <w:color w:val="auto"/>
        </w:rPr>
        <w:t>In relation to each Member State of the European Economic Area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2" w:lineRule="exact"/>
        <w:rPr>
          <w:sz w:val="20"/>
          <w:szCs w:val="20"/>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61" w:lineRule="auto"/>
        <w:tabs>
          <w:tab w:leader="none" w:pos="13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12" w:lineRule="exact"/>
        <w:rPr>
          <w:rFonts w:ascii="Times New Roman" w:cs="Times New Roman" w:eastAsia="Times New Roman" w:hAnsi="Times New Roman"/>
          <w:sz w:val="18"/>
          <w:szCs w:val="18"/>
          <w:color w:val="auto"/>
        </w:rPr>
      </w:pPr>
    </w:p>
    <w:p>
      <w:pPr>
        <w:jc w:val="both"/>
        <w:ind w:left="1320" w:right="559" w:hanging="434"/>
        <w:spacing w:after="0" w:line="266" w:lineRule="auto"/>
        <w:tabs>
          <w:tab w:leader="none" w:pos="13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95"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899"/>
        <w:spacing w:after="0" w:line="266" w:lineRule="auto"/>
        <w:rPr>
          <w:sz w:val="20"/>
          <w:szCs w:val="20"/>
          <w:color w:val="auto"/>
        </w:rPr>
      </w:pPr>
      <w:r>
        <w:rPr>
          <w:rFonts w:ascii="Times New Roman" w:cs="Times New Roman" w:eastAsia="Times New Roman" w:hAnsi="Times New Roman"/>
          <w:sz w:val="18"/>
          <w:szCs w:val="18"/>
          <w:color w:val="auto"/>
        </w:rPr>
        <w:t>2010 PD Amending Directive, to the extent implemented in the Relevant Member State), and includes any relevant implementing measure in the Relevant Member State, and the expression “2010 PD Amending Directive” means Directive 2010/73/EU.</w:t>
      </w:r>
    </w:p>
    <w:p>
      <w:pPr>
        <w:spacing w:after="0" w:line="104"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8"/>
          <w:szCs w:val="18"/>
          <w:b w:val="1"/>
          <w:bCs w:val="1"/>
          <w:i w:val="1"/>
          <w:iCs w:val="1"/>
          <w:color w:val="auto"/>
        </w:rPr>
        <w:t>United Kingdom.</w:t>
      </w:r>
      <w:r>
        <w:rPr>
          <w:sz w:val="20"/>
          <w:szCs w:val="20"/>
          <w:color w:val="auto"/>
        </w:rPr>
        <w:tab/>
      </w:r>
      <w:r>
        <w:rPr>
          <w:rFonts w:ascii="Times New Roman" w:cs="Times New Roman" w:eastAsia="Times New Roman" w:hAnsi="Times New Roman"/>
          <w:sz w:val="18"/>
          <w:szCs w:val="18"/>
          <w:color w:val="auto"/>
        </w:rPr>
        <w:t>Each underwriter has represented and agreed that:</w:t>
      </w:r>
    </w:p>
    <w:p>
      <w:pPr>
        <w:spacing w:after="0" w:line="162" w:lineRule="exact"/>
        <w:rPr>
          <w:sz w:val="20"/>
          <w:szCs w:val="20"/>
          <w:color w:val="auto"/>
        </w:rPr>
      </w:pPr>
    </w:p>
    <w:p>
      <w:pPr>
        <w:ind w:left="1320" w:right="519" w:hanging="434"/>
        <w:spacing w:after="0" w:line="258" w:lineRule="auto"/>
        <w:tabs>
          <w:tab w:leader="none" w:pos="13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received by it in connection with the issue or sale of the securities in circumstances in which Section 21(1) of the FSMA does not apply to us; 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complied and will comply with all applicable provisions of the FSMA with respect to anything done by it in relation to the securities in, from or otherwise involving the United Kingdom.</w:t>
      </w:r>
    </w:p>
    <w:p>
      <w:pPr>
        <w:spacing w:after="0" w:line="6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Switzerland. </w:t>
      </w:r>
      <w:r>
        <w:rPr>
          <w:rFonts w:ascii="Times New Roman" w:cs="Times New Roman" w:eastAsia="Times New Roman" w:hAnsi="Times New Roman"/>
          <w:sz w:val="18"/>
          <w:szCs w:val="18"/>
          <w:color w:val="auto"/>
        </w:rPr>
        <w:t>The securities may not be publicly offered in Switzerland and will not be listed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SIX Swiss Exchange (the </w:t>
      </w:r>
      <w:r>
        <w:rPr>
          <w:rFonts w:ascii="Times New Roman" w:cs="Times New Roman" w:eastAsia="Times New Roman" w:hAnsi="Times New Roman"/>
          <w:sz w:val="18"/>
          <w:szCs w:val="18"/>
          <w:i w:val="1"/>
          <w:iCs w:val="1"/>
          <w:color w:val="auto"/>
        </w:rPr>
        <w:t>SIX</w:t>
      </w:r>
      <w:r>
        <w:rPr>
          <w:rFonts w:ascii="Times New Roman" w:cs="Times New Roman" w:eastAsia="Times New Roman" w:hAnsi="Times New Roman"/>
          <w:sz w:val="18"/>
          <w:szCs w:val="18"/>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Times New Roman" w:cs="Times New Roman" w:eastAsia="Times New Roman" w:hAnsi="Times New Roman"/>
          <w:sz w:val="18"/>
          <w:szCs w:val="18"/>
          <w:i w:val="1"/>
          <w:iCs w:val="1"/>
          <w:color w:val="auto"/>
        </w:rPr>
        <w:t>CISA</w:t>
      </w:r>
      <w:r>
        <w:rPr>
          <w:rFonts w:ascii="Times New Roman" w:cs="Times New Roman" w:eastAsia="Times New Roman" w:hAnsi="Times New Roman"/>
          <w:sz w:val="18"/>
          <w:szCs w:val="18"/>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Australia. </w:t>
      </w:r>
      <w:r>
        <w:rPr>
          <w:rFonts w:ascii="Times New Roman" w:cs="Times New Roman" w:eastAsia="Times New Roman" w:hAnsi="Times New Roman"/>
          <w:sz w:val="18"/>
          <w:szCs w:val="18"/>
          <w:color w:val="auto"/>
        </w:rPr>
        <w:t>No placement document, prospectus, product disclosure statement or other disclosure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has been lodged with the Australian Securities and Investments Commission (</w:t>
      </w:r>
      <w:r>
        <w:rPr>
          <w:rFonts w:ascii="Times New Roman" w:cs="Times New Roman" w:eastAsia="Times New Roman" w:hAnsi="Times New Roman"/>
          <w:sz w:val="18"/>
          <w:szCs w:val="18"/>
          <w:i w:val="1"/>
          <w:iCs w:val="1"/>
          <w:color w:val="auto"/>
        </w:rPr>
        <w:t>ASIC</w:t>
      </w:r>
      <w:r>
        <w:rPr>
          <w:rFonts w:ascii="Times New Roman" w:cs="Times New Roman" w:eastAsia="Times New Roman" w:hAnsi="Times New Roman"/>
          <w:sz w:val="18"/>
          <w:szCs w:val="18"/>
          <w:color w:val="auto"/>
        </w:rPr>
        <w:t>), in relation to the offering.</w:t>
      </w:r>
    </w:p>
    <w:p>
      <w:pPr>
        <w:spacing w:after="0" w:line="107" w:lineRule="exact"/>
        <w:rPr>
          <w:sz w:val="20"/>
          <w:szCs w:val="20"/>
          <w:color w:val="auto"/>
        </w:rPr>
      </w:pPr>
    </w:p>
    <w:p>
      <w:pPr>
        <w:ind w:left="460" w:right="8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does not constitute a prospectus, product disclosure statement or other disclosure document under the Corporations Act 2001 (the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and does not purport to include the information required for a prospectus, product disclosure statement or other disclosure document under the Corporations Act.</w:t>
      </w:r>
    </w:p>
    <w:p>
      <w:pPr>
        <w:spacing w:after="0" w:line="11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Any offer in Australia of the securities may only be made to persons (the </w:t>
      </w: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0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2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2" w:lineRule="exact"/>
        <w:rPr>
          <w:sz w:val="20"/>
          <w:szCs w:val="20"/>
          <w:color w:val="auto"/>
        </w:rPr>
      </w:pPr>
    </w:p>
    <w:p>
      <w:pPr>
        <w:ind w:left="460" w:right="71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 to Prospective Investors in the Cayman Islands. </w:t>
      </w:r>
      <w:r>
        <w:rPr>
          <w:rFonts w:ascii="Times New Roman" w:cs="Times New Roman" w:eastAsia="Times New Roman" w:hAnsi="Times New Roman"/>
          <w:sz w:val="18"/>
          <w:szCs w:val="18"/>
          <w:color w:val="auto"/>
        </w:rPr>
        <w:t>No invitation, whether directly or indirectly,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made to the public in the Cayman Islands to subscribe for our securities.</w:t>
      </w:r>
    </w:p>
    <w:p>
      <w:pPr>
        <w:sectPr>
          <w:pgSz w:w="11900" w:h="16838" w:orient="portrait"/>
          <w:cols w:equalWidth="0" w:num="1">
            <w:col w:w="9019"/>
          </w:cols>
          <w:pgMar w:left="1440" w:top="270"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10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You may read and copy all or any portion of the registration statement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www.agrify.com</w:t>
      </w:r>
      <w:r>
        <w:rPr>
          <w:rFonts w:ascii="Times New Roman" w:cs="Times New Roman" w:eastAsia="Times New Roman" w:hAnsi="Times New Roman"/>
          <w:sz w:val="18"/>
          <w:szCs w:val="18"/>
          <w:color w:val="auto"/>
        </w:rPr>
        <w:t>. The information contained on, or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12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Fiscal Years Ended December 31, 2019 and 2018:</w:t>
      </w:r>
    </w:p>
    <w:p>
      <w:pPr>
        <w:spacing w:after="0" w:line="3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Quarter Ended September 30, 2020</w:t>
            </w: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w w:val="99"/>
              </w:rPr>
            </w:pPr>
            <w:hyperlink w:anchor="page140">
              <w:r>
                <w:rPr>
                  <w:rFonts w:ascii="Times New Roman" w:cs="Times New Roman" w:eastAsia="Times New Roman" w:hAnsi="Times New Roman"/>
                  <w:sz w:val="18"/>
                  <w:szCs w:val="18"/>
                  <w:color w:val="0000EE"/>
                  <w:w w:val="9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F-24 – F-44</w:t>
            </w: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TriGrow Systems, Inc. and Subsidiary</w:t>
            </w:r>
          </w:p>
        </w:tc>
        <w:tc>
          <w:tcPr>
            <w:tcW w:w="102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F-45</w:t>
            </w: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F-46</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F-47</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F-48</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F-49</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F-50 – F-61</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Times New Roman" w:cs="Times New Roman" w:eastAsia="Times New Roman" w:hAnsi="Times New Roman"/>
                <w:sz w:val="18"/>
                <w:szCs w:val="18"/>
                <w:color w:val="auto"/>
                <w:w w:val="95"/>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ind w:left="460" w:right="1279"/>
        <w:spacing w:after="0" w:line="260" w:lineRule="auto"/>
        <w:rPr>
          <w:sz w:val="20"/>
          <w:szCs w:val="20"/>
          <w:color w:val="auto"/>
        </w:rPr>
      </w:pPr>
      <w:r>
        <w:rPr>
          <w:rFonts w:ascii="Times New Roman" w:cs="Times New Roman" w:eastAsia="Times New Roman" w:hAnsi="Times New Roman"/>
          <w:sz w:val="18"/>
          <w:szCs w:val="18"/>
          <w:color w:val="auto"/>
        </w:rPr>
        <w:t>March 19, 2020 (except as to Note 13, Subsequent Event, Reverse Stock Split, as to which the date is January 12, 2021).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2019 and 2018; 3,616,125 and 2,326,458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jc w:val="both"/>
        <w:ind w:left="64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60" w:lineRule="auto"/>
        <w:rPr>
          <w:sz w:val="20"/>
          <w:szCs w:val="20"/>
          <w:color w:val="auto"/>
        </w:rPr>
      </w:pPr>
      <w:r>
        <w:rPr>
          <w:rFonts w:ascii="Times New Roman" w:cs="Times New Roman" w:eastAsia="Times New Roman" w:hAnsi="Times New Roman"/>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-39370</wp:posOffset>
            </wp:positionV>
            <wp:extent cx="514350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76"/>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spacing w:after="0" w:line="92"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(3,042)</w:t>
        <w:tab/>
        <w:t>$</w:t>
      </w:r>
      <w:r>
        <w:rPr>
          <w:sz w:val="20"/>
          <w:szCs w:val="20"/>
          <w:color w:val="auto"/>
        </w:rPr>
        <w:tab/>
      </w:r>
      <w:r>
        <w:rPr>
          <w:rFonts w:ascii="Times New Roman" w:cs="Times New Roman" w:eastAsia="Times New Roman" w:hAnsi="Times New Roman"/>
          <w:sz w:val="17"/>
          <w:szCs w:val="17"/>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34290</wp:posOffset>
            </wp:positionV>
            <wp:extent cx="148272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CONSOLIDATED STATEMENTS STOCKHOLDERS’ EQUITY DEFICIT (In thousands, except share amounts)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notes payable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1,289,667</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3,616,125</w:t>
            </w:r>
          </w:p>
        </w:tc>
        <w:tc>
          <w:tcPr>
            <w:tcW w:w="50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3,879</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482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3,746</w:t>
      </w:r>
      <w:r>
        <w:rPr>
          <w:sz w:val="20"/>
          <w:szCs w:val="20"/>
          <w:color w:val="auto"/>
        </w:rPr>
        <w:tab/>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206</w:t>
        <w:tab/>
        <w:t>$</w:t>
      </w:r>
      <w:r>
        <w:rPr>
          <w:sz w:val="20"/>
          <w:szCs w:val="20"/>
          <w:color w:val="auto"/>
        </w:rPr>
        <w:tab/>
      </w: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95" w:lineRule="exact"/>
        <w:rPr>
          <w:sz w:val="20"/>
          <w:szCs w:val="20"/>
          <w:color w:val="auto"/>
        </w:rPr>
      </w:pPr>
    </w:p>
    <w:p>
      <w:pPr>
        <w:ind w:left="460" w:right="639" w:firstLine="432"/>
        <w:spacing w:after="0" w:line="289" w:lineRule="auto"/>
        <w:rPr>
          <w:sz w:val="20"/>
          <w:szCs w:val="20"/>
          <w:color w:val="auto"/>
        </w:rPr>
      </w:pPr>
      <w:r>
        <w:rPr>
          <w:rFonts w:ascii="Times New Roman" w:cs="Times New Roman" w:eastAsia="Times New Roman" w:hAnsi="Times New Roman"/>
          <w:sz w:val="17"/>
          <w:szCs w:val="17"/>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2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06"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Subsidiary’s, fiscal year ends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December 31, 2019 and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Inventories, which are stated at the lower of cost or net realizable value, consist primarily of supplies.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is determined using the weighted average method.</w:t>
      </w:r>
    </w:p>
    <w:p>
      <w:pPr>
        <w:spacing w:after="0" w:line="139"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0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39"/>
        <w:spacing w:after="0" w:line="256" w:lineRule="auto"/>
        <w:rPr>
          <w:sz w:val="20"/>
          <w:szCs w:val="20"/>
          <w:color w:val="auto"/>
        </w:rPr>
      </w:pPr>
      <w:r>
        <w:rPr>
          <w:rFonts w:ascii="Times New Roman" w:cs="Times New Roman" w:eastAsia="Times New Roman" w:hAnsi="Times New Roman"/>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Company uses assumptions in establishing the carrying value of its intangible assets. Intangible assets resulted from investment in the Company’s website and trademark.</w:t>
      </w:r>
    </w:p>
    <w:p>
      <w:pPr>
        <w:spacing w:after="0" w:line="94" w:lineRule="exact"/>
        <w:rPr>
          <w:sz w:val="20"/>
          <w:szCs w:val="20"/>
          <w:color w:val="auto"/>
        </w:rPr>
      </w:pPr>
    </w:p>
    <w:p>
      <w:pPr>
        <w:ind w:left="460" w:right="499" w:firstLine="432"/>
        <w:spacing w:after="0" w:line="271" w:lineRule="auto"/>
        <w:rPr>
          <w:sz w:val="20"/>
          <w:szCs w:val="20"/>
          <w:color w:val="auto"/>
        </w:rPr>
      </w:pPr>
      <w:r>
        <w:rPr>
          <w:rFonts w:ascii="Times New Roman" w:cs="Times New Roman" w:eastAsia="Times New Roman" w:hAnsi="Times New Roman"/>
          <w:sz w:val="17"/>
          <w:szCs w:val="17"/>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2"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0"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6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 </w:t>
      </w:r>
      <w:r>
        <w:rPr>
          <w:rFonts w:ascii="Times New Roman" w:cs="Times New Roman" w:eastAsia="Times New Roman" w:hAnsi="Times New Roman"/>
          <w:sz w:val="18"/>
          <w:szCs w:val="18"/>
          <w:color w:val="auto"/>
        </w:rPr>
        <w:t>The following table provides revenue disaggregated by timing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(in thousands):</w:t>
      </w:r>
    </w:p>
    <w:p>
      <w:pPr>
        <w:spacing w:after="0" w:line="1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4,088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0"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2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06"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ind w:left="460" w:right="519" w:firstLine="432"/>
        <w:spacing w:after="0" w:line="274" w:lineRule="auto"/>
        <w:rPr>
          <w:sz w:val="20"/>
          <w:szCs w:val="20"/>
          <w:color w:val="auto"/>
        </w:rPr>
      </w:pPr>
      <w:r>
        <w:rPr>
          <w:rFonts w:ascii="Times New Roman" w:cs="Times New Roman" w:eastAsia="Times New Roman" w:hAnsi="Times New Roman"/>
          <w:sz w:val="17"/>
          <w:szCs w:val="17"/>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105"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carrying value of the Company’s investment in TPI was $0 as of December 31, 2019 and 2018.</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did not recognize revenue from TPI for the years ended December 31, 2019 and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1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2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(“ASU 2015-17”). ASU 2015-17 requires deferred tax liabilities and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5"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(“ASU 2016-18”), which requires that the statement of cash flows explain the change during the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Recently Adopted Accounting Pronouncements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6"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Times New Roman" w:cs="Times New Roman" w:eastAsia="Times New Roman" w:hAnsi="Times New Roman"/>
          <w:sz w:val="18"/>
          <w:szCs w:val="18"/>
          <w:i w:val="1"/>
          <w:iCs w:val="1"/>
          <w:color w:val="auto"/>
        </w:rPr>
        <w:t>ASU No. 2018-11, Leases (Topic 842)</w:t>
      </w:r>
      <w:r>
        <w:rPr>
          <w:rFonts w:ascii="Times New Roman" w:cs="Times New Roman" w:eastAsia="Times New Roman" w:hAnsi="Times New Roman"/>
          <w:sz w:val="18"/>
          <w:szCs w:val="18"/>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26"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20" w:lineRule="exact"/>
        <w:rPr>
          <w:sz w:val="20"/>
          <w:szCs w:val="20"/>
          <w:color w:val="auto"/>
        </w:rPr>
      </w:pPr>
    </w:p>
    <w:p>
      <w:pPr>
        <w:ind w:left="460" w:right="759" w:firstLine="432"/>
        <w:spacing w:after="0" w:line="273" w:lineRule="auto"/>
        <w:rPr>
          <w:sz w:val="20"/>
          <w:szCs w:val="20"/>
          <w:color w:val="auto"/>
        </w:rPr>
      </w:pPr>
      <w:r>
        <w:rPr>
          <w:rFonts w:ascii="Times New Roman" w:cs="Times New Roman" w:eastAsia="Times New Roman" w:hAnsi="Times New Roman"/>
          <w:sz w:val="17"/>
          <w:szCs w:val="17"/>
          <w:color w:val="auto"/>
        </w:rPr>
        <w:t xml:space="preserve">In November 2018, the FASB issued ASU No. 2018-18, </w:t>
      </w:r>
      <w:r>
        <w:rPr>
          <w:rFonts w:ascii="Times New Roman" w:cs="Times New Roman" w:eastAsia="Times New Roman" w:hAnsi="Times New Roman"/>
          <w:sz w:val="17"/>
          <w:szCs w:val="17"/>
          <w:i w:val="1"/>
          <w:iCs w:val="1"/>
          <w:color w:val="auto"/>
        </w:rPr>
        <w:t>Collaborative Arrangements (Topic 808):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Clarifying the Interaction between Topic 808 and Topic 606 </w:t>
      </w:r>
      <w:r>
        <w:rPr>
          <w:rFonts w:ascii="Times New Roman" w:cs="Times New Roman" w:eastAsia="Times New Roman" w:hAnsi="Times New Roman"/>
          <w:sz w:val="17"/>
          <w:szCs w:val="17"/>
          <w:color w:val="auto"/>
        </w:rPr>
        <w:t>(“ASU2018-18”), which clarifies that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between collaborative arrangement participants should be accounted for as revenue under Topic</w:t>
      </w:r>
    </w:p>
    <w:p>
      <w:pPr>
        <w:spacing w:after="0" w:line="1" w:lineRule="exact"/>
        <w:rPr>
          <w:sz w:val="20"/>
          <w:szCs w:val="20"/>
          <w:color w:val="auto"/>
        </w:rPr>
      </w:pPr>
    </w:p>
    <w:p>
      <w:pPr>
        <w:ind w:left="460" w:right="459"/>
        <w:spacing w:after="0" w:line="251" w:lineRule="auto"/>
        <w:rPr>
          <w:sz w:val="20"/>
          <w:szCs w:val="20"/>
          <w:color w:val="auto"/>
        </w:rPr>
      </w:pPr>
      <w:r>
        <w:rPr>
          <w:rFonts w:ascii="Times New Roman" w:cs="Times New Roman" w:eastAsia="Times New Roman" w:hAnsi="Times New Roman"/>
          <w:sz w:val="18"/>
          <w:szCs w:val="18"/>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2019 and 2018, inventory consists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2,481</w:t>
            </w:r>
          </w:p>
        </w:tc>
        <w:tc>
          <w:tcPr>
            <w:tcW w:w="86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intangible assets as of December 31, 2019 and 2018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Website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Domain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133</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Based on the intangible assets in service as of December 31, 2019, estimated amortization expenses are $14 for each of the next ten years.</w:t>
      </w:r>
    </w:p>
    <w:p>
      <w:pPr>
        <w:spacing w:after="0" w:line="94"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amounted to $7 and $0 for the years ended December 31, 2019 and 2018,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components of accrued expenses are summarized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95"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In June 2019, the Company issued and sold 1,289,667 shares of common stock to an investor at a purchase price of $1.96 per share for gross proceeds of $4,000.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2019 Stock Option Plan</w:t>
      </w:r>
    </w:p>
    <w:p>
      <w:pPr>
        <w:spacing w:after="0" w:line="162"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for the year ended December 31, 2019:</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0% Expected life (years)</w:t>
            </w:r>
          </w:p>
        </w:tc>
        <w:tc>
          <w:tcPr>
            <w:tcW w:w="37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37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8"/>
              </w:rPr>
              <w:t>0.00%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December 31, 2019 and changes during years than ended: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2019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There was no aggregate intrinsic value at December 31, 2019 as the Company’s stock price of $3.10 on December 31, 2019, was below the exercise price of the outstanding stock options.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2019:</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0"/>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Range price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142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9,772</w:t>
            </w:r>
          </w:p>
        </w:tc>
        <w:tc>
          <w:tcPr>
            <w:tcW w:w="20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December 31, 2019:</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0"/>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Range price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142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84,045</w:t>
            </w:r>
          </w:p>
        </w:tc>
        <w:tc>
          <w:tcPr>
            <w:tcW w:w="19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16"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respective lease period. Rent expense was $53 and $10 for the years ended December 31, 2019 and 2018, respectively.</w:t>
      </w:r>
    </w:p>
    <w:p>
      <w:pPr>
        <w:spacing w:after="0" w:line="81" w:lineRule="exact"/>
        <w:rPr>
          <w:sz w:val="20"/>
          <w:szCs w:val="20"/>
          <w:color w:val="auto"/>
        </w:rPr>
      </w:pPr>
    </w:p>
    <w:p>
      <w:pPr>
        <w:jc w:val="both"/>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2019 are $30 until April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0"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The holders of the Series A Convertible Preferred Stock have the right to receive dividends prior and in preference to any payment of any dividend on the common stock, at a rate of 7% per stock per annum.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 Systems, Inc.</w:t>
      </w:r>
    </w:p>
    <w:p>
      <w:pPr>
        <w:spacing w:after="0" w:line="162" w:lineRule="exact"/>
        <w:rPr>
          <w:sz w:val="20"/>
          <w:szCs w:val="20"/>
          <w:color w:val="auto"/>
        </w:rPr>
      </w:pPr>
    </w:p>
    <w:p>
      <w:pPr>
        <w:ind w:left="460" w:right="599" w:firstLine="432"/>
        <w:spacing w:after="0" w:line="274" w:lineRule="auto"/>
        <w:rPr>
          <w:sz w:val="20"/>
          <w:szCs w:val="20"/>
          <w:color w:val="auto"/>
        </w:rPr>
      </w:pPr>
      <w:r>
        <w:rPr>
          <w:rFonts w:ascii="Times New Roman" w:cs="Times New Roman" w:eastAsia="Times New Roman" w:hAnsi="Times New Roman"/>
          <w:sz w:val="17"/>
          <w:szCs w:val="17"/>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 of Authorized Shares</w:t>
      </w:r>
    </w:p>
    <w:p>
      <w:pPr>
        <w:spacing w:after="0" w:line="148" w:lineRule="exact"/>
        <w:rPr>
          <w:sz w:val="20"/>
          <w:szCs w:val="20"/>
          <w:color w:val="auto"/>
        </w:rPr>
      </w:pPr>
    </w:p>
    <w:p>
      <w:pPr>
        <w:jc w:val="both"/>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Subsequent Event, Reverse Stock Split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4,211,677 and 3,616,125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5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15" w:gutter="0" w:footer="0" w:header="0"/>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OPERATIONS (UNAUDITED)</w:t>
      </w:r>
    </w:p>
    <w:p>
      <w:pPr>
        <w:spacing w:after="0" w:line="1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goods sold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(loss)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700" w:val="left"/>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7,734 $</w:t>
      </w:r>
      <w:r>
        <w:rPr>
          <w:sz w:val="20"/>
          <w:szCs w:val="20"/>
          <w:color w:val="auto"/>
        </w:rPr>
        <w:tab/>
      </w:r>
      <w:r>
        <w:rPr>
          <w:rFonts w:ascii="Times New Roman" w:cs="Times New Roman" w:eastAsia="Times New Roman" w:hAnsi="Times New Roman"/>
          <w:sz w:val="17"/>
          <w:szCs w:val="17"/>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Times New Roman" w:cs="Times New Roman" w:eastAsia="Times New Roman" w:hAnsi="Times New Roman"/>
          <w:sz w:val="18"/>
          <w:szCs w:val="18"/>
          <w:color w:val="auto"/>
        </w:rPr>
        <w:t>6,874</w:t>
      </w:r>
      <w:r>
        <w:rPr>
          <w:sz w:val="20"/>
          <w:szCs w:val="20"/>
          <w:color w:val="auto"/>
        </w:rPr>
        <w:tab/>
      </w:r>
      <w:r>
        <w:rPr>
          <w:rFonts w:ascii="Times New Roman" w:cs="Times New Roman" w:eastAsia="Times New Roman" w:hAnsi="Times New Roman"/>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34290</wp:posOffset>
            </wp:positionV>
            <wp:extent cx="514350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Times New Roman" w:cs="Times New Roman" w:eastAsia="Times New Roman" w:hAnsi="Times New Roman"/>
          <w:sz w:val="18"/>
          <w:szCs w:val="18"/>
          <w:color w:val="auto"/>
        </w:rPr>
        <w:t>860</w:t>
      </w:r>
      <w:r>
        <w:rPr>
          <w:sz w:val="20"/>
          <w:szCs w:val="20"/>
          <w:color w:val="auto"/>
        </w:rPr>
        <w:tab/>
      </w: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482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5"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STOCKHOLDERS’ EQUITY FOR THE NINE MONTHS ENDED SEPTEMBER 30, 2019 and 2020 (UNAUDITED)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 Stockholders’</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2,326,458</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subscription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1,289,667</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201</w:t>
            </w:r>
            <w:r>
              <w:rPr>
                <w:rFonts w:ascii="Times New Roman" w:cs="Times New Roman" w:eastAsia="Times New Roman" w:hAnsi="Times New Roman"/>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3,616,125</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gridSpan w:val="4"/>
          </w:tcPr>
          <w:p>
            <w:pPr>
              <w:jc w:val="center"/>
              <w:ind w:left="139"/>
              <w:spacing w:after="0"/>
              <w:rPr>
                <w:sz w:val="20"/>
                <w:szCs w:val="20"/>
                <w:color w:val="auto"/>
              </w:rPr>
            </w:pPr>
            <w:r>
              <w:rPr>
                <w:rFonts w:ascii="Times New Roman" w:cs="Times New Roman" w:eastAsia="Times New Roman" w:hAnsi="Times New Roman"/>
                <w:sz w:val="16"/>
                <w:szCs w:val="16"/>
                <w:color w:val="auto"/>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controlling Stockholders’</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3,616,125</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Systems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595,552</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1,356</w:t>
            </w:r>
          </w:p>
        </w:tc>
        <w:tc>
          <w:tcPr>
            <w:tcW w:w="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(8,562)</w:t>
            </w: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(8,562)</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4,211,677</w:t>
            </w:r>
          </w:p>
        </w:tc>
        <w:tc>
          <w:tcPr>
            <w:tcW w:w="11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17,645</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CASH FLOWS (UNAUDITED)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(8,562)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16"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0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10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6"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Preparation of Condensed Consolidated Financial Statements</w:t>
      </w:r>
    </w:p>
    <w:p>
      <w:pPr>
        <w:spacing w:after="0" w:line="148"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2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10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22, 2021.</w:t>
      </w:r>
    </w:p>
    <w:p>
      <w:pPr>
        <w:spacing w:after="0" w:line="12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Subsidiaries, fiscal year ends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September 30, 2020 and December 31, 2019.</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 of cash and accounts receivable. The Company places its cash with financial institutions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The cash balances are insured by the FDIC up to $250 per depositor with unlimited insurance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in noninterest-bearing transaction accounts through September 30, 2020. At times, the amounts in these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may exceed the federally insured limits.</w:t>
      </w:r>
    </w:p>
    <w:p>
      <w:pPr>
        <w:spacing w:after="0" w:line="139"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124" w:lineRule="exact"/>
        <w:rPr>
          <w:sz w:val="20"/>
          <w:szCs w:val="20"/>
          <w:color w:val="auto"/>
        </w:rPr>
      </w:pPr>
    </w:p>
    <w:p>
      <w:pPr>
        <w:ind w:left="460" w:right="839" w:firstLine="432"/>
        <w:spacing w:after="0" w:line="281"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97"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99"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Company does not recognize ROU assets or lease liabilities for leases with a term of 12 months or less for any asset classes (short term leases).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20"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16" w:lineRule="exact"/>
        <w:rPr>
          <w:sz w:val="20"/>
          <w:szCs w:val="20"/>
          <w:color w:val="auto"/>
        </w:rPr>
      </w:pPr>
    </w:p>
    <w:p>
      <w:pPr>
        <w:ind w:left="460" w:right="151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(2) services sales and (3) construction contracts.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08"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equipment, services and construction, which are generally capable of being distinct and accounted for as separate performance obligations.</w:t>
      </w:r>
    </w:p>
    <w:p>
      <w:pPr>
        <w:spacing w:after="0" w:line="81"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114"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01" w:lineRule="exact"/>
        <w:rPr>
          <w:sz w:val="20"/>
          <w:szCs w:val="20"/>
          <w:color w:val="auto"/>
        </w:rPr>
      </w:pPr>
    </w:p>
    <w:p>
      <w:pPr>
        <w:ind w:left="460" w:right="6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 </w:t>
      </w:r>
      <w:r>
        <w:rPr>
          <w:rFonts w:ascii="Times New Roman" w:cs="Times New Roman" w:eastAsia="Times New Roman" w:hAnsi="Times New Roman"/>
          <w:sz w:val="18"/>
          <w:szCs w:val="18"/>
          <w:color w:val="auto"/>
        </w:rPr>
        <w:t>The following table provides revenue disaggregated by timing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w:t>
      </w:r>
    </w:p>
    <w:p>
      <w:pPr>
        <w:spacing w:after="0" w:line="1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7,734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06"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2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 as of September 30, 2020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Prepaid Inventory</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2020 and December 31, 2019:</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2020 and 2019 was $100 and $0,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acquisition-related intangible assets as of September 30, 2020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There were $0 acquisition related intangibles as of December 31, 2019. Amortization expenses amounted to $129 and $0 for the Nine months ended September 30, 2020 and 2019,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Intangible Assets and Goodwill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Estimated future amortization expense on finite-lived acquisition-related intangible assets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1239" w:firstLine="432"/>
        <w:spacing w:after="0" w:line="282" w:lineRule="auto"/>
        <w:rPr>
          <w:sz w:val="20"/>
          <w:szCs w:val="20"/>
          <w:color w:val="auto"/>
        </w:rPr>
      </w:pPr>
      <w:r>
        <w:rPr>
          <w:rFonts w:ascii="Times New Roman" w:cs="Times New Roman" w:eastAsia="Times New Roman" w:hAnsi="Times New Roman"/>
          <w:sz w:val="18"/>
          <w:szCs w:val="18"/>
          <w:color w:val="auto"/>
        </w:rPr>
        <w:t>There was $238 goodwill activity since the acquisition date of January 22, 2020 (see note 11) to September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2020 and December 31, 2019: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of TriGrow</w:t>
      </w:r>
    </w:p>
    <w:p>
      <w:pPr>
        <w:spacing w:after="0" w:line="148"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102"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0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2"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to invest cash in profit interest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5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Brand rights and Customer relationships were assigned estimated useful lives of ten years and nine years, respectively, the weighted average of which is approximately 9.5 years.</w:t>
      </w:r>
    </w:p>
    <w:p>
      <w:pPr>
        <w:spacing w:after="0" w:line="94"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TriGrow included in the Company’s condensed consolidated statement of operations from the acquisition date of January 22, 2020 to September 30, 2020 was $4,000.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Harbor Mountain Holdings,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121"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108"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95"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net receivable owed to Agrify</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13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HMH included in the Company’s condensed consolidated statement of operations from the acquisition date of July 22, 2020 to September 30, 2020 was $0.</w:t>
      </w:r>
    </w:p>
    <w:p>
      <w:pPr>
        <w:spacing w:after="0" w:line="94" w:lineRule="exact"/>
        <w:rPr>
          <w:sz w:val="20"/>
          <w:szCs w:val="20"/>
          <w:color w:val="auto"/>
        </w:rPr>
      </w:pPr>
    </w:p>
    <w:p>
      <w:pPr>
        <w:ind w:left="460" w:right="739" w:firstLine="432"/>
        <w:spacing w:after="0" w:line="312" w:lineRule="auto"/>
        <w:rPr>
          <w:sz w:val="20"/>
          <w:szCs w:val="20"/>
          <w:color w:val="auto"/>
        </w:rPr>
      </w:pPr>
      <w:r>
        <w:rPr>
          <w:rFonts w:ascii="Times New Roman" w:cs="Times New Roman" w:eastAsia="Times New Roman" w:hAnsi="Times New Roman"/>
          <w:sz w:val="17"/>
          <w:szCs w:val="17"/>
          <w:color w:val="auto"/>
        </w:rPr>
        <w:t>The following pro forma financial information summarizes the combined results of operations for the Company, TriGrow and HMH, as though the acquisition of TriGrow and HMH occurred on January 1, 2019.</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Pr>
          <w:p>
            <w:pPr>
              <w:spacing w:after="0"/>
              <w:rPr>
                <w:sz w:val="17"/>
                <w:szCs w:val="17"/>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9,785</w:t>
            </w:r>
          </w:p>
        </w:tc>
        <w:tc>
          <w:tcPr>
            <w:tcW w:w="86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Borders>
              <w:bottom w:val="single" w:sz="8" w:color="CCEEFF"/>
            </w:tcBorders>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9,720</w:t>
            </w:r>
          </w:p>
        </w:tc>
        <w:tc>
          <w:tcPr>
            <w:tcW w:w="86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bl>
    <w:p>
      <w:pPr>
        <w:spacing w:after="0" w:line="2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06"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 under the Coronavirus Aid, Relief, and Economic Security Act</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Debt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20"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53" w:lineRule="auto"/>
        <w:rPr>
          <w:sz w:val="20"/>
          <w:szCs w:val="20"/>
          <w:color w:val="auto"/>
        </w:rPr>
      </w:pPr>
      <w:r>
        <w:rPr>
          <w:rFonts w:ascii="Times New Roman" w:cs="Times New Roman" w:eastAsia="Times New Roman" w:hAnsi="Times New Roman"/>
          <w:sz w:val="18"/>
          <w:szCs w:val="18"/>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2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12" w:lineRule="exact"/>
        <w:rPr>
          <w:sz w:val="20"/>
          <w:szCs w:val="20"/>
          <w:color w:val="auto"/>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3" w:lineRule="exact"/>
        <w:rPr>
          <w:sz w:val="20"/>
          <w:szCs w:val="20"/>
          <w:color w:val="auto"/>
        </w:rPr>
      </w:pPr>
    </w:p>
    <w:p>
      <w:pPr>
        <w:ind w:left="460" w:right="479" w:hanging="6"/>
        <w:spacing w:after="0" w:line="251" w:lineRule="auto"/>
        <w:tabs>
          <w:tab w:leader="none" w:pos="6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108"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September 30, 2020, the Company’s Board of Directors approved the increase of the total aggregate offering amount of the Notes to $10,000 and on November 23, 2020 it increased to $13,500.</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Convertible Promissory Notes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Derivative Liabilities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0.14%</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1.75</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0.13%</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1.71</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 Capital Structure</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11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10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On March 19, 2020, the Company increased the number of shares designated as Series A from 100,000 shares to 105,000 shares.</w:t>
      </w:r>
    </w:p>
    <w:p>
      <w:pPr>
        <w:spacing w:after="0" w:line="67"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30"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 May 2020, the Company issued 4,000 Series A Convertible Preferred Stock, $0.001 par value, for total consideration of $4,000.</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In June 2019, the Company issued and sold 1,289,667 shares of common stock to an investor at a purchase price of $3.10 per share for gross proceeds of $4,000 of which only $3,000 were received in cash by September 30, 2019.</w:t>
      </w:r>
    </w:p>
    <w:p>
      <w:pPr>
        <w:spacing w:after="0" w:line="10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At December 31, 2019, the Company recorded a stock subscription receivable in the amount of $40. The Stock subscription receivable is in connection with the issuance of common stock in September 2019 and represents 12,902 shares of common stock. The outstanding balance of stock subscription was paid during January 2020.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December 2019, the Company granted 493,102 options to various employees and consultants.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99"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112"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Stock options that were granted during fiscal year 2020 have several vesting conditions, including an event-based vesting acceleration (defined as a change in control, including an initial public offering).</w:t>
      </w:r>
    </w:p>
    <w:p>
      <w:pPr>
        <w:spacing w:after="0" w:line="94"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2020, there were 1,664,230 shares available to be granted under the Company’s 2019 Stock Option Plan.</w:t>
      </w:r>
    </w:p>
    <w:p>
      <w:pPr>
        <w:spacing w:after="0" w:line="94"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Nine months ended September 30, 2020 (no outstanding options for the three months ended September 30, 2019):</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1,849,194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(156,289)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1,690,852</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September 30, 2020: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23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1,436,224</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254,628</w:t>
            </w:r>
          </w:p>
        </w:tc>
        <w:tc>
          <w:tcPr>
            <w:tcW w:w="23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F-40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September 30, 2020: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18"/>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1,205,068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192,571</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16 — Employee Benefit Plan</w:t>
      </w:r>
    </w:p>
    <w:p>
      <w:pPr>
        <w:spacing w:after="0" w:line="16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9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16"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90"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of our lease activity, for the nine months ended September 30, 2020 and 2019, is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432"/>
        </w:trPr>
        <w:tc>
          <w:tcPr>
            <w:tcW w:w="55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17 —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2020, the maturities of lease liabilities under non-cancellable finance leases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On January 5, 2021, the Company received a demand letter from two of its former employees (and one of such employee’s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The Company do not believe these claims have any merit and intend to vigorously defend against these claims.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0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18 — Related Parties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describes the net purchasing activity with entities identified as related parties to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7"/>
        </w:trPr>
        <w:tc>
          <w:tcPr>
            <w:tcW w:w="8100" w:type="dxa"/>
            <w:vAlign w:val="bottom"/>
            <w:gridSpan w:val="8"/>
          </w:tcPr>
          <w:p>
            <w:pPr>
              <w:jc w:val="right"/>
              <w:ind w:right="132"/>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payables as of September 30, 2020 and December 31,</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2"/>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r>
      <w:tr>
        <w:trPr>
          <w:trHeight w:val="243"/>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2020 Omnibus Equity Incentive Plan</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January 11, 2021, the Company’s board of directors and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on which it is adopted by the board of directors.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Stock Options</w:t>
      </w:r>
    </w:p>
    <w:p>
      <w:pPr>
        <w:spacing w:after="0" w:line="12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7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19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and Convertible Promissory Notes</w:t>
      </w:r>
    </w:p>
    <w:p>
      <w:pPr>
        <w:spacing w:after="0" w:line="121" w:lineRule="exact"/>
        <w:rPr>
          <w:sz w:val="20"/>
          <w:szCs w:val="20"/>
          <w:color w:val="auto"/>
        </w:rPr>
      </w:pPr>
    </w:p>
    <w:p>
      <w:pPr>
        <w:ind w:left="460" w:right="919" w:firstLine="432"/>
        <w:spacing w:after="0" w:line="312" w:lineRule="auto"/>
        <w:rPr>
          <w:sz w:val="20"/>
          <w:szCs w:val="20"/>
          <w:color w:val="auto"/>
        </w:rPr>
      </w:pPr>
      <w:r>
        <w:rPr>
          <w:rFonts w:ascii="Times New Roman" w:cs="Times New Roman" w:eastAsia="Times New Roman" w:hAnsi="Times New Roman"/>
          <w:sz w:val="17"/>
          <w:szCs w:val="17"/>
          <w:color w:val="auto"/>
        </w:rPr>
        <w:t>On January 11, 2021, the Company’s Board of Directors approved the amendment to the conversion formula of the Series A Preferred Stock and Convertible Promissory Notes. After the amendment:</w:t>
      </w:r>
    </w:p>
    <w:p>
      <w:pPr>
        <w:spacing w:after="0" w:line="72" w:lineRule="exact"/>
        <w:rPr>
          <w:sz w:val="20"/>
          <w:szCs w:val="20"/>
          <w:color w:val="auto"/>
        </w:rPr>
      </w:pPr>
    </w:p>
    <w:p>
      <w:pPr>
        <w:ind w:left="1320" w:right="499" w:hanging="434"/>
        <w:spacing w:after="0" w:line="258"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77" w:lineRule="auto"/>
        <w:tabs>
          <w:tab w:leader="none" w:pos="129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60"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On January 11, 2021, the Company’s shareholders approved the amendment to the Series A Preferred Stock.</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102870</wp:posOffset>
            </wp:positionV>
            <wp:extent cx="1937385" cy="5060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TriGrow Systems, Inc.</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120015</wp:posOffset>
            </wp:positionV>
            <wp:extent cx="1045845"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15,328,617 and 10,555,000 shares, $0.001 par value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240" w:type="dxa"/>
            <w:vAlign w:val="bottom"/>
            <w:gridSpan w:val="6"/>
          </w:tcPr>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F-46</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jc w:val="both"/>
        <w:ind w:left="64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goods sold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(loss) profit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2"/>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Times New Roman" w:cs="Times New Roman" w:eastAsia="Times New Roman" w:hAnsi="Times New Roman"/>
                <w:sz w:val="18"/>
                <w:szCs w:val="18"/>
                <w:color w:val="auto"/>
                <w:w w:val="99"/>
              </w:rPr>
              <w:t>F-47</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type w:val="continuous"/>
        </w:sectPr>
      </w:pPr>
    </w:p>
    <w:bookmarkStart w:id="166" w:name="page167"/>
    <w:bookmarkEnd w:id="166"/>
    <w:p>
      <w:pPr>
        <w:spacing w:after="0" w:line="196" w:lineRule="auto"/>
        <w:framePr w:w="660" w:h="160" w:wrap="auto" w:vAnchor="page" w:hAnchor="page" w:x="2040" w:y="806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w:t>
      </w:r>
    </w:p>
    <w:p>
      <w:pPr>
        <w:spacing w:after="0" w:line="231" w:lineRule="auto"/>
        <w:framePr w:w="920" w:h="376" w:wrap="auto" w:vAnchor="page" w:hAnchor="page" w:x="2040" w:y="593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notes</w:t>
      </w:r>
    </w:p>
    <w:p>
      <w:pPr>
        <w:spacing w:after="0" w:line="196" w:lineRule="auto"/>
        <w:framePr w:w="660" w:h="160" w:wrap="auto" w:vAnchor="page" w:hAnchor="page" w:x="2040" w:y="498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w:t>
      </w:r>
    </w:p>
    <w:p>
      <w:pPr>
        <w:spacing w:after="0" w:line="228" w:lineRule="auto"/>
        <w:framePr w:w="1080" w:h="592" w:wrap="auto" w:vAnchor="page" w:hAnchor="page" w:x="1860" w:y="2896"/>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January 1, 2018</w:t>
      </w:r>
    </w:p>
    <w:p>
      <w:pPr>
        <w:spacing w:after="0" w:line="196" w:lineRule="auto"/>
        <w:framePr w:w="1360" w:h="160" w:wrap="auto" w:vAnchor="page" w:hAnchor="page" w:x="1860" w:y="290"/>
        <w:rPr>
          <w:rFonts w:ascii="Times New Roman" w:cs="Times New Roman" w:eastAsia="Times New Roman" w:hAnsi="Times New Roman"/>
          <w:sz w:val="17"/>
          <w:szCs w:val="17"/>
          <w:b w:val="1"/>
          <w:bCs w:val="1"/>
          <w:u w:val="single" w:color="auto"/>
          <w:color w:val="0000EE"/>
        </w:rPr>
      </w:pPr>
      <w:hyperlink w:anchor="page4">
        <w:r>
          <w:rPr>
            <w:rFonts w:ascii="Times New Roman" w:cs="Times New Roman" w:eastAsia="Times New Roman" w:hAnsi="Times New Roman"/>
            <w:sz w:val="17"/>
            <w:szCs w:val="17"/>
            <w:b w:val="1"/>
            <w:bCs w:val="1"/>
            <w:u w:val="single" w:color="auto"/>
            <w:color w:val="0000EE"/>
          </w:rPr>
          <w:t>Table of Contents</w:t>
        </w:r>
      </w:hyperlink>
    </w:p>
    <w:p>
      <w:pPr>
        <w:jc w:val="center"/>
        <w:ind w:left="460" w:right="146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CONSOLIDATED STATEMENTS OF STOCKHOLDERS’ EQUITY (In thousands, except share amounts)</w:t>
      </w:r>
    </w:p>
    <w:p>
      <w:pPr>
        <w:spacing w:after="0" w:line="250" w:lineRule="exact"/>
        <w:rPr>
          <w:rFonts w:ascii="Times New Roman" w:cs="Times New Roman" w:eastAsia="Times New Roman" w:hAnsi="Times New Roman"/>
          <w:sz w:val="17"/>
          <w:szCs w:val="17"/>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20" w:type="dxa"/>
            <w:vAlign w:val="bottom"/>
            <w:gridSpan w:val="8"/>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to Trigrow</w:t>
            </w:r>
          </w:p>
        </w:tc>
        <w:tc>
          <w:tcPr>
            <w:tcW w:w="1760" w:type="dxa"/>
            <w:vAlign w:val="bottom"/>
            <w:gridSpan w:val="9"/>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w w:val="9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2,072,794</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9,538,746</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3,014,993</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rFonts w:ascii="Times New Roman" w:cs="Times New Roman" w:eastAsia="Times New Roman" w:hAnsi="Times New Roman"/>
          <w:sz w:val="17"/>
          <w:szCs w:val="17"/>
          <w:b w:val="1"/>
          <w:bCs w:val="1"/>
          <w:u w:val="single" w:color="auto"/>
          <w:color w:val="0000EE"/>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rFonts w:ascii="Times New Roman" w:cs="Times New Roman" w:eastAsia="Times New Roman" w:hAnsi="Times New Roman"/>
          <w:sz w:val="17"/>
          <w:szCs w:val="17"/>
          <w:b w:val="1"/>
          <w:bCs w:val="1"/>
          <w:u w:val="single" w:color="auto"/>
          <w:color w:val="0000EE"/>
        </w:rPr>
      </w:pPr>
    </w:p>
    <w:p>
      <w:pPr>
        <w:ind w:left="434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698" w:right="459" w:bottom="1440" w:gutter="0" w:footer="0" w:header="0"/>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0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Subsidiary’s, fiscal years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62"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Cash consist principally of cash and deposits with maturities of three months or less as December 31, 2019 and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 of cash, and accounts receivable. The Company places its cash with financial institutions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The cash balances are insured by the FDIC up to $250 per depositor with unlimited insurance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in noninterest-bearing transaction accounts through December 31, 2019. At times, the amounts in these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may exceed the federally insured limits. Revenue is primarily from product sales and royalty revenue.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revenue, or whose accounts receivable balances individually represented 10% or more of the Company’s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accounts receivable, as follows:</w:t>
      </w:r>
    </w:p>
    <w:p>
      <w:pPr>
        <w:spacing w:after="0" w:line="12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ind w:left="460" w:right="879" w:firstLine="432"/>
        <w:spacing w:after="0" w:line="312" w:lineRule="auto"/>
        <w:rPr>
          <w:sz w:val="20"/>
          <w:szCs w:val="20"/>
          <w:color w:val="auto"/>
        </w:rPr>
      </w:pPr>
      <w:r>
        <w:rPr>
          <w:rFonts w:ascii="Times New Roman" w:cs="Times New Roman" w:eastAsia="Times New Roman" w:hAnsi="Times New Roman"/>
          <w:sz w:val="17"/>
          <w:szCs w:val="17"/>
          <w:color w:val="auto"/>
        </w:rPr>
        <w:t>Intangible assets are related to the establishment of Brands and capital contribution made by a non-controlling entity in the form of license agreement and from investment in the Company’s website domain.</w:t>
      </w:r>
    </w:p>
    <w:p>
      <w:pPr>
        <w:spacing w:after="0" w:line="59"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As of December 31, 2019, and 2018, the value of the license agreement was $167 and the Company’s domain was $3. Investments in the Company’s website are amortized over their estimated useful lives of</w:t>
      </w:r>
    </w:p>
    <w:p>
      <w:pPr>
        <w:spacing w:after="0" w:line="1" w:lineRule="exact"/>
        <w:rPr>
          <w:sz w:val="20"/>
          <w:szCs w:val="20"/>
          <w:color w:val="auto"/>
        </w:rPr>
      </w:pPr>
    </w:p>
    <w:p>
      <w:pPr>
        <w:ind w:left="460" w:right="739"/>
        <w:spacing w:after="0" w:line="260" w:lineRule="auto"/>
        <w:rPr>
          <w:sz w:val="20"/>
          <w:szCs w:val="20"/>
          <w:color w:val="auto"/>
        </w:rPr>
      </w:pPr>
      <w:r>
        <w:rPr>
          <w:rFonts w:ascii="Times New Roman" w:cs="Times New Roman" w:eastAsia="Times New Roman" w:hAnsi="Times New Roman"/>
          <w:sz w:val="18"/>
          <w:szCs w:val="18"/>
          <w:color w:val="auto"/>
        </w:rPr>
        <w:t>3 years. As of December 31, 2019, and 2018, amortizable intangible assets were $3 and $3, and accumulated amortization was $2 and $1, respectively.</w:t>
      </w:r>
    </w:p>
    <w:p>
      <w:pPr>
        <w:spacing w:after="0" w:line="11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6"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94"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16"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7"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0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2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11"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2"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(“FASB”) issued ASU No. 2014-15, </w:t>
      </w:r>
      <w:r>
        <w:rPr>
          <w:rFonts w:ascii="Times New Roman" w:cs="Times New Roman" w:eastAsia="Times New Roman" w:hAnsi="Times New Roman"/>
          <w:sz w:val="18"/>
          <w:szCs w:val="18"/>
          <w:i w:val="1"/>
          <w:iCs w:val="1"/>
          <w:color w:val="auto"/>
        </w:rPr>
        <w:t xml:space="preserve">Disclosure of Uncertainties about an Entity’s Ability to Continue as a Going Concern </w:t>
      </w:r>
      <w:r>
        <w:rPr>
          <w:rFonts w:ascii="Times New Roman" w:cs="Times New Roman" w:eastAsia="Times New Roman" w:hAnsi="Times New Roman"/>
          <w:sz w:val="18"/>
          <w:szCs w:val="18"/>
          <w:color w:val="auto"/>
        </w:rPr>
        <w:t>(“ASU 2014-15”).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Recently Adopted Accounting Pronouncements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0"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(“ASU 2015-17”). ASU 2015-17 requires deferred tax liabilities and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02"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(“ASU 2016-18”), which requires that the statement of cash flows explain the change during the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Times New Roman" w:cs="Times New Roman" w:eastAsia="Times New Roman" w:hAnsi="Times New Roman"/>
          <w:sz w:val="18"/>
          <w:szCs w:val="18"/>
          <w:i w:val="1"/>
          <w:iCs w:val="1"/>
          <w:color w:val="auto"/>
        </w:rPr>
        <w:t>ASU No. 2018-11, Leases (Topic 842)</w:t>
      </w:r>
      <w:r>
        <w:rPr>
          <w:rFonts w:ascii="Times New Roman" w:cs="Times New Roman" w:eastAsia="Times New Roman" w:hAnsi="Times New Roman"/>
          <w:sz w:val="18"/>
          <w:szCs w:val="18"/>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26"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Prepaid Inventory</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6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187</w:t>
            </w:r>
          </w:p>
        </w:tc>
        <w:tc>
          <w:tcPr>
            <w:tcW w:w="92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intangible assets as of December 31, 2019 and 2018 was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amounted to $1 and $1 for the years ended December 31, 2019 and 2018,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components of accrued expenses are summarized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9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On November 16, 2018, the Company increased its authorized number of shares of common stock to 10,555,000 shares and to simultaneously declared a 1,000 for 1 stock split of its common shares.</w:t>
      </w:r>
    </w:p>
    <w:p>
      <w:pPr>
        <w:spacing w:after="0" w:line="8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30"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Capital Structure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Series 1 KISS</w:t>
      </w:r>
    </w:p>
    <w:p>
      <w:pPr>
        <w:spacing w:after="0" w:line="162"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On May 11, 2018, the Company issued Series 1 KISS notes for $500 (“KISS 1”). The KISS 1 has maturity date of 18 months from the date of issuance and shall:</w:t>
      </w:r>
    </w:p>
    <w:p>
      <w:pPr>
        <w:spacing w:after="0" w:line="94" w:lineRule="exact"/>
        <w:rPr>
          <w:sz w:val="20"/>
          <w:szCs w:val="20"/>
          <w:color w:val="auto"/>
        </w:rPr>
      </w:pPr>
    </w:p>
    <w:p>
      <w:pPr>
        <w:ind w:left="1280" w:hanging="394"/>
        <w:spacing w:after="0"/>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automatically converted to 500,000 Preferred Stock issued in the next equity financing; or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61" w:lineRule="auto"/>
        <w:tabs>
          <w:tab w:leader="none" w:pos="12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85"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2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08"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Series 1 KISS do not bear any interest. On April 30, 2019, the KISS 1 note was converted to 500,000 Preferred A Stock as part of the Company’s Preferred A financing round.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Series 1.A KISS</w:t>
      </w:r>
    </w:p>
    <w:p>
      <w:pPr>
        <w:spacing w:after="0" w:line="14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During August 3, 2018 and September 14, 2018, the Company issued Series 1.A KISS notes for a total of $800 (“KISS 1.A”). The KISS 1.A has maturity date of 18 months from the date of issuance and shall:</w:t>
      </w:r>
    </w:p>
    <w:p>
      <w:pPr>
        <w:spacing w:after="0" w:line="94" w:lineRule="exact"/>
        <w:rPr>
          <w:sz w:val="20"/>
          <w:szCs w:val="20"/>
          <w:color w:val="auto"/>
        </w:rPr>
      </w:pPr>
    </w:p>
    <w:p>
      <w:pPr>
        <w:ind w:left="1280" w:hanging="394"/>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automatically converted to Preferred Stock issued in the next equity financing; or</w:t>
      </w:r>
    </w:p>
    <w:p>
      <w:pPr>
        <w:spacing w:after="0" w:line="13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8"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2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to equity or repaid, be converted at the election of KISS1.A’s holders to shares, at any time on or after the maturity of KISS 1.</w:t>
      </w:r>
    </w:p>
    <w:p>
      <w:pPr>
        <w:spacing w:after="0" w:line="8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2"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Series 1.A KISS do not bear any interest and were converted to 442,199 Preferred A Stock on April 30, 2019 as part of the Company’s Preferred A financing round.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November 2018, TriGrow adopted its 2018 Stock Plan allowing the issuance of 1,055,000 shares.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for the year ended December 31, 2019:</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December 31, 2019 and changes during years than ended: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979,279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940,533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60" w:type="dxa"/>
            <w:vAlign w:val="bottom"/>
            <w:tcBorders>
              <w:bottom w:val="single" w:sz="8" w:color="CCEEFF"/>
            </w:tcBorders>
            <w:vMerge w:val="continue"/>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gridSpan w:val="2"/>
            <w:vMerge w:val="continue"/>
          </w:tcPr>
          <w:p>
            <w:pPr>
              <w:spacing w:after="0"/>
              <w:rPr>
                <w:sz w:val="23"/>
                <w:szCs w:val="23"/>
                <w:color w:val="auto"/>
              </w:rPr>
            </w:pPr>
          </w:p>
        </w:tc>
        <w:tc>
          <w:tcPr>
            <w:tcW w:w="1240" w:type="dxa"/>
            <w:vAlign w:val="bottom"/>
            <w:tcBorders>
              <w:bottom w:val="single" w:sz="8" w:color="CCEEFF"/>
            </w:tcBorders>
            <w:gridSpan w:val="3"/>
            <w:vMerge w:val="continue"/>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at December 31, 2019 was $196 as the Company’s stock price of $0.201 on grant date was higher than the exercise price of the stock options.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104"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liabilities as of December 31, 2019 and 2018 are summarized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 Systems, Inc.</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299085</wp:posOffset>
            </wp:positionV>
            <wp:extent cx="514350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Through and including , 2021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5,000,000 Shares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429895</wp:posOffset>
            </wp:positionV>
            <wp:extent cx="3051810" cy="8572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51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70" w:lineRule="exact"/>
        <w:rPr>
          <w:sz w:val="20"/>
          <w:szCs w:val="20"/>
          <w:color w:val="auto"/>
        </w:rPr>
      </w:pPr>
    </w:p>
    <w:p>
      <w:pPr>
        <w:ind w:left="1380"/>
        <w:spacing w:after="0"/>
        <w:tabs>
          <w:tab w:leader="none" w:pos="5320" w:val="left"/>
        </w:tabs>
        <w:rPr>
          <w:sz w:val="20"/>
          <w:szCs w:val="20"/>
          <w:color w:val="auto"/>
        </w:rPr>
      </w:pPr>
      <w:r>
        <w:rPr>
          <w:rFonts w:ascii="Times New Roman" w:cs="Times New Roman" w:eastAsia="Times New Roman" w:hAnsi="Times New Roman"/>
          <w:sz w:val="25"/>
          <w:szCs w:val="25"/>
          <w:b w:val="1"/>
          <w:bCs w:val="1"/>
          <w:color w:val="auto"/>
        </w:rPr>
        <w:t>Maxim Group LLC</w:t>
      </w:r>
      <w:r>
        <w:rPr>
          <w:sz w:val="20"/>
          <w:szCs w:val="20"/>
          <w:color w:val="auto"/>
        </w:rPr>
        <w:tab/>
      </w:r>
      <w:r>
        <w:rPr>
          <w:rFonts w:ascii="Times New Roman" w:cs="Times New Roman" w:eastAsia="Times New Roman" w:hAnsi="Times New Roman"/>
          <w:sz w:val="25"/>
          <w:szCs w:val="25"/>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60" w:hanging="722"/>
        <w:spacing w:after="0"/>
        <w:tabs>
          <w:tab w:leader="none" w:pos="45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514350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588010</wp:posOffset>
            </wp:positionV>
            <wp:extent cx="514350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862330</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5,956.45</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FINRA fees</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41"/>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106,298.55</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6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89"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79" w:lineRule="exact"/>
        <w:rPr>
          <w:sz w:val="20"/>
          <w:szCs w:val="20"/>
          <w:color w:val="auto"/>
        </w:rPr>
      </w:pPr>
    </w:p>
    <w:p>
      <w:pPr>
        <w:ind w:left="460" w:right="779" w:firstLine="432"/>
        <w:spacing w:after="0" w:line="258"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89" w:lineRule="exact"/>
        <w:rPr>
          <w:sz w:val="20"/>
          <w:szCs w:val="20"/>
          <w:color w:val="auto"/>
        </w:rPr>
      </w:pPr>
    </w:p>
    <w:p>
      <w:pPr>
        <w:ind w:left="460" w:right="619" w:firstLine="432"/>
        <w:spacing w:after="0" w:line="276" w:lineRule="auto"/>
        <w:rPr>
          <w:sz w:val="20"/>
          <w:szCs w:val="20"/>
          <w:color w:val="auto"/>
        </w:rPr>
      </w:pPr>
      <w:r>
        <w:rPr>
          <w:rFonts w:ascii="Times New Roman" w:cs="Times New Roman" w:eastAsia="Times New Roman" w:hAnsi="Times New Roman"/>
          <w:sz w:val="17"/>
          <w:szCs w:val="17"/>
          <w:color w:val="auto"/>
        </w:rPr>
        <w:t>Discretionary indemnification pursuant to Section 78.7502 may be made as authorized upon determination that the indemnification is proper under the circumstances. Such determination may be made by</w:t>
      </w:r>
    </w:p>
    <w:p>
      <w:pPr>
        <w:spacing w:after="0" w:line="1" w:lineRule="exact"/>
        <w:rPr>
          <w:sz w:val="20"/>
          <w:szCs w:val="20"/>
          <w:color w:val="auto"/>
        </w:rPr>
      </w:pPr>
    </w:p>
    <w:p>
      <w:pPr>
        <w:jc w:val="both"/>
        <w:ind w:left="460" w:right="499" w:hanging="6"/>
        <w:spacing w:after="0" w:line="253"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9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8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460" w:right="1019"/>
        <w:spacing w:after="0" w:line="258" w:lineRule="auto"/>
        <w:rPr>
          <w:sz w:val="20"/>
          <w:szCs w:val="20"/>
          <w:color w:val="auto"/>
        </w:rPr>
      </w:pPr>
      <w:r>
        <w:rPr>
          <w:rFonts w:ascii="Times New Roman" w:cs="Times New Roman" w:eastAsia="Times New Roman" w:hAnsi="Times New Roman"/>
          <w:sz w:val="18"/>
          <w:szCs w:val="18"/>
          <w:color w:val="auto"/>
        </w:rPr>
        <w:t>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89"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8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8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The information below lists all of the securities sold by us during the past three years which were not registered under the Securities Act:</w:t>
      </w:r>
    </w:p>
    <w:p>
      <w:pPr>
        <w:spacing w:after="0" w:line="54"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June 2019, the Company issued 1,289,667 shares of its common stock to 4D NXT Capital, LLC in consideration for services rendered to the Company, which shares were subsequently distributed from 4D NXT Capital, LLC to its members or related parties of its members.</w:t>
      </w:r>
    </w:p>
    <w:p>
      <w:pPr>
        <w:spacing w:after="0" w:line="6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 January 2020, the Company issued an aggregate of 595,552 shares of its common stock to the TriGrow shareholders in connection with the merger with TriGrow.</w:t>
      </w:r>
    </w:p>
    <w:p>
      <w:pPr>
        <w:spacing w:after="0" w:line="5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issued an aggregate of 100,000 shares of the Company’s Series A Convertible Preferred Stock (“Series A Preferred Shares”) for an aggregate purchase price of $10,000,000, which shares shall convert into common stock upon the closing of this offering, on the following dates:</w:t>
      </w:r>
    </w:p>
    <w:p>
      <w:pPr>
        <w:spacing w:after="0" w:line="108" w:lineRule="exact"/>
        <w:rPr>
          <w:sz w:val="20"/>
          <w:szCs w:val="20"/>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10, 2020: 40,000 Series A Preferred Shares were issued by the Company to three investors.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13, 2020: 5,000 Series A Preferred Shares were issued by the Company to one investor.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21, 2020: 10,000 Series A Preferred Shares were issued by the Company to one investor.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17, 2020: 5,000 Series A Preferred Shares were issued by the Company to one investor.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7, 2020: 40,000 Series A Preferred Shares were issued by the Company to one investor.</w:t>
      </w:r>
    </w:p>
    <w:p>
      <w:pPr>
        <w:spacing w:after="0" w:line="11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December 2019, the Company issued stock options to its officers, directors and employees to purchase an aggregate of 493,102 shares of its common stock. In May 2020, the Company cancelled all the options that were granted in December 2019 in consideration of services provided to the Company.</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May 2020, the Company issued stock options to purchase an aggregate of 1,622,719 shares of its common stock to its officers, directors and employees in consideration for services provided, or to be provided, to the Company.</w:t>
      </w:r>
    </w:p>
    <w:p>
      <w:pPr>
        <w:spacing w:after="0" w:line="68"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July 2020, the Company issued stock options to purchase an aggregate of 211,113 shares of its common stock to its officers, directors and employees in consideration for services provided, or to be provided, to the Company.</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August 2020, the Company issued stock options to purchase an aggregate of 15,362 shares of its common stock to its officers, directors and employees in consideration for services provided, or to be provided, to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October 2020, the Company issued stock options to purchase an aggregate of 1,540,544 shares of its common stock to its officers, directors and employees in consideration for services provided, or to be provided, to the Company.</w:t>
      </w:r>
    </w:p>
    <w:p>
      <w:pPr>
        <w:spacing w:after="0" w:line="6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In December 2020, the Company issued stock options to purchase an aggregate of 44,254 shares of its common stock to its directors in consideration for services provided, or to be provided, to the Company.</w:t>
      </w:r>
    </w:p>
    <w:p>
      <w:pPr>
        <w:spacing w:after="0" w:line="54" w:lineRule="exact"/>
        <w:rPr>
          <w:sz w:val="20"/>
          <w:szCs w:val="20"/>
          <w:color w:val="auto"/>
        </w:rPr>
      </w:pPr>
    </w:p>
    <w:p>
      <w:pPr>
        <w:ind w:left="460" w:right="859" w:firstLine="432"/>
        <w:spacing w:after="0" w:line="312" w:lineRule="auto"/>
        <w:rPr>
          <w:sz w:val="20"/>
          <w:szCs w:val="20"/>
          <w:color w:val="auto"/>
        </w:rPr>
      </w:pPr>
      <w:r>
        <w:rPr>
          <w:rFonts w:ascii="Times New Roman" w:cs="Times New Roman" w:eastAsia="Times New Roman" w:hAnsi="Times New Roman"/>
          <w:sz w:val="17"/>
          <w:szCs w:val="17"/>
          <w:color w:val="auto"/>
        </w:rPr>
        <w:t>In January 2021, the Company issued stock options to purchase an aggregate of 144,360 shares of its common stock to its directors in consideration for services provided, or to be provided, to the Company.</w:t>
      </w:r>
    </w:p>
    <w:p>
      <w:pPr>
        <w:spacing w:after="0" w:line="3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Company issued convertible promissory notes in the aggregate principal amount of $13,100,000 and associated five year warrants to purchase an aggregate of 828,173 shares of common stock with an exercise price of $0.02 per share, on the following dates: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Closing Date</w:t>
            </w:r>
          </w:p>
        </w:tc>
        <w:tc>
          <w:tcPr>
            <w:tcW w:w="140" w:type="dxa"/>
            <w:vAlign w:val="bottom"/>
          </w:tcPr>
          <w:p>
            <w:pPr>
              <w:spacing w:after="0"/>
              <w:rPr>
                <w:sz w:val="18"/>
                <w:szCs w:val="18"/>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Notes Issued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8/19/2020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9/16/2020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9/23/2020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11/13/2020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11/27/2020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11/18/2020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11/30/2020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12/8/2020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12/1/2020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12/1/2020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12/7/2020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12/28/2020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12/14/2020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12/31/2020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The following exhibits are filed as part of this Registration Statement:</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0"/>
          </w:tcPr>
          <w:p>
            <w:pPr>
              <w:ind w:left="7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
        </w:trPr>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169"/>
        </w:trPr>
        <w:tc>
          <w:tcPr>
            <w:tcW w:w="8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6940" w:type="dxa"/>
            <w:vAlign w:val="bottom"/>
            <w:tcBorders>
              <w:bottom w:val="single" w:sz="8" w:color="0000EE"/>
            </w:tcBorders>
            <w:gridSpan w:val="7"/>
            <w:shd w:val="clear" w:color="auto" w:fill="CCEEFF"/>
          </w:tcPr>
          <w:p>
            <w:pPr>
              <w:spacing w:after="0" w:line="169"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Form of Underwriting Agreement** (incorporated by reference to Exhibit 1.1 to the Registrant’s</w:t>
              </w:r>
            </w:hyperlink>
          </w:p>
        </w:tc>
        <w:tc>
          <w:tcPr>
            <w:tcW w:w="260" w:type="dxa"/>
            <w:vAlign w:val="bottom"/>
            <w:tcBorders>
              <w:bottom w:val="single" w:sz="8" w:color="CCEEFF"/>
            </w:tcBorders>
            <w:gridSpan w:val="5"/>
            <w:shd w:val="clear" w:color="auto" w:fill="CCEEFF"/>
          </w:tcPr>
          <w:p>
            <w:pPr>
              <w:spacing w:after="0"/>
              <w:rPr>
                <w:sz w:val="14"/>
                <w:szCs w:val="14"/>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Amendment No. 2 to Registration Statement on Form S-1 filed with the Securities and Exchange</w:t>
              </w:r>
            </w:hyperlink>
          </w:p>
        </w:tc>
        <w:tc>
          <w:tcPr>
            <w:tcW w:w="24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Commission on January 26, 2021)</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5"/>
                <w:szCs w:val="15"/>
                <w:color w:val="auto"/>
              </w:rPr>
            </w:pPr>
          </w:p>
        </w:tc>
        <w:tc>
          <w:tcPr>
            <w:tcW w:w="7220" w:type="dxa"/>
            <w:vAlign w:val="bottom"/>
            <w:gridSpan w:val="13"/>
          </w:tcPr>
          <w:p>
            <w:pPr>
              <w:spacing w:after="0" w:line="176" w:lineRule="exact"/>
              <w:rPr>
                <w:rFonts w:ascii="Times New Roman" w:cs="Times New Roman" w:eastAsia="Times New Roman" w:hAnsi="Times New Roman"/>
                <w:sz w:val="18"/>
                <w:szCs w:val="18"/>
                <w:color w:val="215E9E"/>
              </w:rPr>
            </w:pPr>
            <w:hyperlink r:id="rId278">
              <w:r>
                <w:rPr>
                  <w:rFonts w:ascii="Times New Roman" w:cs="Times New Roman" w:eastAsia="Times New Roman" w:hAnsi="Times New Roman"/>
                  <w:sz w:val="18"/>
                  <w:szCs w:val="18"/>
                  <w:color w:val="215E9E"/>
                </w:rPr>
                <w:t>Agreement and Plan of Merger dated January 22, 2020 between the Company and TriGrow</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shd w:val="clear" w:color="auto" w:fill="215E9E"/>
          </w:tcPr>
          <w:p>
            <w:pPr>
              <w:spacing w:after="0" w:line="20" w:lineRule="exact"/>
              <w:rPr>
                <w:sz w:val="1"/>
                <w:szCs w:val="1"/>
                <w:color w:val="auto"/>
              </w:rPr>
            </w:pPr>
          </w:p>
        </w:tc>
        <w:tc>
          <w:tcPr>
            <w:tcW w:w="1700" w:type="dxa"/>
            <w:vAlign w:val="bottom"/>
            <w:gridSpan w:val="2"/>
            <w:shd w:val="clear" w:color="auto" w:fill="215E9E"/>
          </w:tcPr>
          <w:p>
            <w:pPr>
              <w:spacing w:after="0" w:line="20" w:lineRule="exact"/>
              <w:rPr>
                <w:sz w:val="1"/>
                <w:szCs w:val="1"/>
                <w:color w:val="auto"/>
              </w:rPr>
            </w:pPr>
          </w:p>
        </w:tc>
        <w:tc>
          <w:tcPr>
            <w:tcW w:w="1060" w:type="dxa"/>
            <w:vAlign w:val="bottom"/>
            <w:shd w:val="clear" w:color="auto" w:fill="215E9E"/>
          </w:tcPr>
          <w:p>
            <w:pPr>
              <w:spacing w:after="0" w:line="20" w:lineRule="exact"/>
              <w:rPr>
                <w:sz w:val="1"/>
                <w:szCs w:val="1"/>
                <w:color w:val="auto"/>
              </w:rPr>
            </w:pPr>
          </w:p>
        </w:tc>
        <w:tc>
          <w:tcPr>
            <w:tcW w:w="2280" w:type="dxa"/>
            <w:vAlign w:val="bottom"/>
            <w:tcBorders>
              <w:right w:val="single" w:sz="8" w:color="215E9E"/>
            </w:tcBorders>
            <w:shd w:val="clear" w:color="auto" w:fill="215E9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13"/>
          </w:tcPr>
          <w:p>
            <w:pPr>
              <w:spacing w:after="0" w:line="196" w:lineRule="exact"/>
              <w:rPr>
                <w:rFonts w:ascii="Times New Roman" w:cs="Times New Roman" w:eastAsia="Times New Roman" w:hAnsi="Times New Roman"/>
                <w:sz w:val="18"/>
                <w:szCs w:val="18"/>
                <w:color w:val="215E9E"/>
              </w:rPr>
            </w:pPr>
            <w:hyperlink r:id="rId278">
              <w:r>
                <w:rPr>
                  <w:rFonts w:ascii="Times New Roman" w:cs="Times New Roman" w:eastAsia="Times New Roman" w:hAnsi="Times New Roman"/>
                  <w:sz w:val="18"/>
                  <w:szCs w:val="18"/>
                  <w:color w:val="215E9E"/>
                </w:rPr>
                <w:t>Systems, Inc.** (incorporated by reference to Exhibit 2.1 to the Registrant’s Registration Statement</w:t>
              </w:r>
            </w:hyperlink>
          </w:p>
        </w:tc>
      </w:tr>
      <w:tr>
        <w:trPr>
          <w:trHeight w:val="237"/>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60" w:type="dxa"/>
            <w:vAlign w:val="bottom"/>
            <w:tcBorders>
              <w:top w:val="single" w:sz="8" w:color="215E9E"/>
            </w:tcBorders>
            <w:gridSpan w:val="12"/>
          </w:tcPr>
          <w:p>
            <w:pPr>
              <w:spacing w:after="0"/>
              <w:rPr>
                <w:rFonts w:ascii="Times New Roman" w:cs="Times New Roman" w:eastAsia="Times New Roman" w:hAnsi="Times New Roman"/>
                <w:sz w:val="18"/>
                <w:szCs w:val="18"/>
                <w:u w:val="single" w:color="auto"/>
                <w:color w:val="215E9E"/>
              </w:rPr>
            </w:pPr>
            <w:hyperlink r:id="rId278">
              <w:r>
                <w:rPr>
                  <w:rFonts w:ascii="Times New Roman" w:cs="Times New Roman" w:eastAsia="Times New Roman" w:hAnsi="Times New Roman"/>
                  <w:sz w:val="18"/>
                  <w:szCs w:val="18"/>
                  <w:u w:val="single" w:color="auto"/>
                  <w:color w:val="215E9E"/>
                </w:rPr>
                <w:t>on Form S-1 filed with the Securities and Exchange Commission on December 22, 2020)</w:t>
              </w:r>
            </w:hyperlink>
          </w:p>
        </w:tc>
        <w:tc>
          <w:tcPr>
            <w:tcW w:w="60" w:type="dxa"/>
            <w:vAlign w:val="bottom"/>
          </w:tcPr>
          <w:p>
            <w:pPr>
              <w:spacing w:after="0"/>
              <w:rPr>
                <w:sz w:val="20"/>
                <w:szCs w:val="20"/>
                <w:color w:val="auto"/>
              </w:rPr>
            </w:pPr>
          </w:p>
        </w:tc>
      </w:tr>
      <w:tr>
        <w:trPr>
          <w:trHeight w:val="40"/>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5"/>
                <w:szCs w:val="15"/>
                <w:color w:val="auto"/>
              </w:rPr>
            </w:pPr>
          </w:p>
        </w:tc>
        <w:tc>
          <w:tcPr>
            <w:tcW w:w="7220" w:type="dxa"/>
            <w:vAlign w:val="bottom"/>
            <w:gridSpan w:val="13"/>
            <w:shd w:val="clear" w:color="auto" w:fill="CCEEFF"/>
          </w:tcPr>
          <w:p>
            <w:pPr>
              <w:spacing w:after="0" w:line="176" w:lineRule="exact"/>
              <w:rPr>
                <w:rFonts w:ascii="Times New Roman" w:cs="Times New Roman" w:eastAsia="Times New Roman" w:hAnsi="Times New Roman"/>
                <w:sz w:val="18"/>
                <w:szCs w:val="18"/>
                <w:color w:val="215E9E"/>
              </w:rPr>
            </w:pPr>
            <w:hyperlink r:id="rId279">
              <w:r>
                <w:rPr>
                  <w:rFonts w:ascii="Times New Roman" w:cs="Times New Roman" w:eastAsia="Times New Roman" w:hAnsi="Times New Roman"/>
                  <w:sz w:val="18"/>
                  <w:szCs w:val="18"/>
                  <w:color w:val="215E9E"/>
                </w:rPr>
                <w:t>Articles of Incorporation of the Registrant, as amended** (incorporated by reference to Exhibit 3.1</w:t>
              </w:r>
            </w:hyperlink>
          </w:p>
        </w:tc>
      </w:tr>
      <w:tr>
        <w:trPr>
          <w:trHeight w:val="196"/>
        </w:trPr>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560" w:type="dxa"/>
            <w:vAlign w:val="bottom"/>
            <w:tcBorders>
              <w:top w:val="single" w:sz="8" w:color="215E9E"/>
              <w:bottom w:val="single" w:sz="8" w:color="215E9E"/>
              <w:right w:val="single" w:sz="8" w:color="CCEEFF"/>
            </w:tcBorders>
            <w:gridSpan w:val="6"/>
            <w:shd w:val="clear" w:color="auto" w:fill="CCEEFF"/>
          </w:tcPr>
          <w:p>
            <w:pPr>
              <w:spacing w:after="0" w:line="196" w:lineRule="exact"/>
              <w:rPr>
                <w:rFonts w:ascii="Times New Roman" w:cs="Times New Roman" w:eastAsia="Times New Roman" w:hAnsi="Times New Roman"/>
                <w:sz w:val="18"/>
                <w:szCs w:val="18"/>
                <w:color w:val="215E9E"/>
                <w:w w:val="99"/>
              </w:rPr>
            </w:pPr>
            <w:hyperlink r:id="rId279">
              <w:r>
                <w:rPr>
                  <w:rFonts w:ascii="Times New Roman" w:cs="Times New Roman" w:eastAsia="Times New Roman" w:hAnsi="Times New Roman"/>
                  <w:sz w:val="18"/>
                  <w:szCs w:val="18"/>
                  <w:color w:val="215E9E"/>
                  <w:w w:val="99"/>
                </w:rPr>
                <w:t>to the Registrant’s Amendment No. 1 to Registration Statement on Form S-1 filed with the</w:t>
              </w:r>
            </w:hyperlink>
          </w:p>
        </w:tc>
        <w:tc>
          <w:tcPr>
            <w:tcW w:w="560" w:type="dxa"/>
            <w:vAlign w:val="bottom"/>
            <w:tcBorders>
              <w:top w:val="single" w:sz="8" w:color="215E9E"/>
              <w:bottom w:val="single" w:sz="8" w:color="CCEEFF"/>
              <w:right w:val="single" w:sz="8" w:color="CCEEFF"/>
            </w:tcBorders>
            <w:gridSpan w:val="5"/>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13"/>
            <w:shd w:val="clear" w:color="auto" w:fill="CCEEFF"/>
          </w:tcPr>
          <w:p>
            <w:pPr>
              <w:spacing w:after="0" w:line="196" w:lineRule="exact"/>
              <w:rPr>
                <w:rFonts w:ascii="Times New Roman" w:cs="Times New Roman" w:eastAsia="Times New Roman" w:hAnsi="Times New Roman"/>
                <w:sz w:val="18"/>
                <w:szCs w:val="18"/>
                <w:color w:val="215E9E"/>
              </w:rPr>
            </w:pPr>
            <w:hyperlink r:id="rId279">
              <w:r>
                <w:rPr>
                  <w:rFonts w:ascii="Times New Roman" w:cs="Times New Roman" w:eastAsia="Times New Roman" w:hAnsi="Times New Roman"/>
                  <w:sz w:val="18"/>
                  <w:szCs w:val="18"/>
                  <w:color w:val="215E9E"/>
                </w:rPr>
                <w:t>Securities and Exchange Commission on January 13, 2021)</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215E9E"/>
            </w:tcBorders>
            <w:shd w:val="clear" w:color="auto" w:fill="CCEEFF"/>
          </w:tcPr>
          <w:p>
            <w:pPr>
              <w:spacing w:after="0"/>
              <w:rPr>
                <w:sz w:val="5"/>
                <w:szCs w:val="5"/>
                <w:color w:val="auto"/>
              </w:rPr>
            </w:pPr>
          </w:p>
        </w:tc>
        <w:tc>
          <w:tcPr>
            <w:tcW w:w="940" w:type="dxa"/>
            <w:vAlign w:val="bottom"/>
            <w:tcBorders>
              <w:top w:val="single" w:sz="8" w:color="215E9E"/>
            </w:tcBorders>
            <w:shd w:val="clear" w:color="auto" w:fill="CCEEFF"/>
          </w:tcPr>
          <w:p>
            <w:pPr>
              <w:spacing w:after="0"/>
              <w:rPr>
                <w:sz w:val="5"/>
                <w:szCs w:val="5"/>
                <w:color w:val="auto"/>
              </w:rPr>
            </w:pPr>
          </w:p>
        </w:tc>
        <w:tc>
          <w:tcPr>
            <w:tcW w:w="760" w:type="dxa"/>
            <w:vAlign w:val="bottom"/>
            <w:tcBorders>
              <w:top w:val="single" w:sz="8" w:color="215E9E"/>
            </w:tcBorders>
            <w:shd w:val="clear" w:color="auto" w:fill="CCEEFF"/>
          </w:tcPr>
          <w:p>
            <w:pPr>
              <w:spacing w:after="0"/>
              <w:rPr>
                <w:sz w:val="5"/>
                <w:szCs w:val="5"/>
                <w:color w:val="auto"/>
              </w:rPr>
            </w:pPr>
          </w:p>
        </w:tc>
        <w:tc>
          <w:tcPr>
            <w:tcW w:w="1060" w:type="dxa"/>
            <w:vAlign w:val="bottom"/>
            <w:tcBorders>
              <w:top w:val="single" w:sz="8" w:color="215E9E"/>
            </w:tcBorders>
            <w:shd w:val="clear" w:color="auto" w:fill="CCEEFF"/>
          </w:tcPr>
          <w:p>
            <w:pPr>
              <w:spacing w:after="0"/>
              <w:rPr>
                <w:sz w:val="5"/>
                <w:szCs w:val="5"/>
                <w:color w:val="auto"/>
              </w:rPr>
            </w:pPr>
          </w:p>
        </w:tc>
        <w:tc>
          <w:tcPr>
            <w:tcW w:w="228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5"/>
                <w:szCs w:val="15"/>
                <w:color w:val="auto"/>
              </w:rPr>
            </w:pPr>
          </w:p>
        </w:tc>
        <w:tc>
          <w:tcPr>
            <w:tcW w:w="6820" w:type="dxa"/>
            <w:vAlign w:val="bottom"/>
            <w:tcBorders>
              <w:bottom w:val="single" w:sz="8" w:color="215E9E"/>
            </w:tcBorders>
            <w:gridSpan w:val="7"/>
          </w:tcPr>
          <w:p>
            <w:pPr>
              <w:spacing w:after="0" w:line="176" w:lineRule="exact"/>
              <w:rPr>
                <w:rFonts w:ascii="Times New Roman" w:cs="Times New Roman" w:eastAsia="Times New Roman" w:hAnsi="Times New Roman"/>
                <w:sz w:val="18"/>
                <w:szCs w:val="18"/>
                <w:color w:val="215E9E"/>
                <w:w w:val="99"/>
              </w:rPr>
            </w:pPr>
            <w:hyperlink r:id="rId280">
              <w:r>
                <w:rPr>
                  <w:rFonts w:ascii="Times New Roman" w:cs="Times New Roman" w:eastAsia="Times New Roman" w:hAnsi="Times New Roman"/>
                  <w:sz w:val="18"/>
                  <w:szCs w:val="18"/>
                  <w:color w:val="215E9E"/>
                  <w:w w:val="99"/>
                </w:rPr>
                <w:t>Third Amended and Restated Certificate of Designations of the Series A Convertible Preferred</w:t>
              </w:r>
            </w:hyperlink>
          </w:p>
        </w:tc>
        <w:tc>
          <w:tcPr>
            <w:tcW w:w="400" w:type="dxa"/>
            <w:vAlign w:val="bottom"/>
            <w:gridSpan w:val="6"/>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tcBorders>
              <w:bottom w:val="single" w:sz="8" w:color="215E9E"/>
            </w:tcBorders>
            <w:gridSpan w:val="11"/>
          </w:tcPr>
          <w:p>
            <w:pPr>
              <w:spacing w:after="0" w:line="196" w:lineRule="exact"/>
              <w:rPr>
                <w:rFonts w:ascii="Times New Roman" w:cs="Times New Roman" w:eastAsia="Times New Roman" w:hAnsi="Times New Roman"/>
                <w:sz w:val="18"/>
                <w:szCs w:val="18"/>
                <w:color w:val="215E9E"/>
                <w:w w:val="99"/>
              </w:rPr>
            </w:pPr>
            <w:hyperlink r:id="rId280">
              <w:r>
                <w:rPr>
                  <w:rFonts w:ascii="Times New Roman" w:cs="Times New Roman" w:eastAsia="Times New Roman" w:hAnsi="Times New Roman"/>
                  <w:sz w:val="18"/>
                  <w:szCs w:val="18"/>
                  <w:color w:val="215E9E"/>
                  <w:w w:val="99"/>
                </w:rPr>
                <w:t>Stock of the Registrant** (incorporated by reference to Exhibit 3.2 to the Registrant’s Amendment</w:t>
              </w:r>
            </w:hyperlink>
          </w:p>
        </w:tc>
        <w:tc>
          <w:tcPr>
            <w:tcW w:w="10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tcBorders>
              <w:bottom w:val="single" w:sz="8" w:color="215E9E"/>
            </w:tcBorders>
            <w:gridSpan w:val="10"/>
          </w:tcPr>
          <w:p>
            <w:pPr>
              <w:spacing w:after="0" w:line="196" w:lineRule="exact"/>
              <w:rPr>
                <w:rFonts w:ascii="Times New Roman" w:cs="Times New Roman" w:eastAsia="Times New Roman" w:hAnsi="Times New Roman"/>
                <w:sz w:val="18"/>
                <w:szCs w:val="18"/>
                <w:color w:val="215E9E"/>
                <w:w w:val="99"/>
              </w:rPr>
            </w:pPr>
            <w:hyperlink r:id="rId280">
              <w:r>
                <w:rPr>
                  <w:rFonts w:ascii="Times New Roman" w:cs="Times New Roman" w:eastAsia="Times New Roman" w:hAnsi="Times New Roman"/>
                  <w:sz w:val="18"/>
                  <w:szCs w:val="18"/>
                  <w:color w:val="215E9E"/>
                  <w:w w:val="99"/>
                </w:rPr>
                <w:t>No. 1 to Registration Statement on Form S-1 filed with the Securities and Exchange Commission</w:t>
              </w:r>
            </w:hyperlink>
          </w:p>
        </w:tc>
        <w:tc>
          <w:tcPr>
            <w:tcW w:w="22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13"/>
          </w:tcPr>
          <w:p>
            <w:pPr>
              <w:spacing w:after="0" w:line="196" w:lineRule="exact"/>
              <w:rPr>
                <w:rFonts w:ascii="Times New Roman" w:cs="Times New Roman" w:eastAsia="Times New Roman" w:hAnsi="Times New Roman"/>
                <w:sz w:val="18"/>
                <w:szCs w:val="18"/>
                <w:color w:val="215E9E"/>
              </w:rPr>
            </w:pPr>
            <w:hyperlink r:id="rId280">
              <w:r>
                <w:rPr>
                  <w:rFonts w:ascii="Times New Roman" w:cs="Times New Roman" w:eastAsia="Times New Roman" w:hAnsi="Times New Roman"/>
                  <w:sz w:val="18"/>
                  <w:szCs w:val="18"/>
                  <w:color w:val="215E9E"/>
                </w:rPr>
                <w:t>on January 13, 2021)</w:t>
              </w:r>
            </w:hyperlink>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tcBorders>
              <w:top w:val="single" w:sz="8" w:color="215E9E"/>
            </w:tcBorders>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5"/>
                <w:szCs w:val="15"/>
                <w:color w:val="auto"/>
              </w:rPr>
            </w:pPr>
          </w:p>
        </w:tc>
        <w:tc>
          <w:tcPr>
            <w:tcW w:w="72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Amended and Restated Bylaws of the Registrant** (incorporated by reference to Exhibit 3.3 to the</w:t>
              </w:r>
            </w:hyperlink>
          </w:p>
        </w:tc>
      </w:tr>
      <w:tr>
        <w:trPr>
          <w:trHeight w:val="20"/>
        </w:trPr>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3900" w:type="dxa"/>
            <w:vAlign w:val="bottom"/>
            <w:tcBorders>
              <w:right w:val="single" w:sz="8" w:color="CCEEFF"/>
            </w:tcBorders>
            <w:gridSpan w:val="7"/>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Registrant’s Amendment No. 2 to Registration Statement on Form S-1 filed with the Securities and</w:t>
              </w:r>
            </w:hyperlink>
          </w:p>
        </w:tc>
      </w:tr>
      <w:tr>
        <w:trPr>
          <w:trHeight w:val="196"/>
        </w:trPr>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Exchange Commission on January 26, 2021)</w:t>
              </w:r>
            </w:hyperlink>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28"/>
          </w:tcPr>
          <w:p>
            <w:pPr>
              <w:ind w:left="5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8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0" w:type="dxa"/>
            <w:vAlign w:val="bottom"/>
            <w:gridSpan w:val="31"/>
            <w:shd w:val="clear" w:color="auto" w:fill="CCEEFF"/>
          </w:tcPr>
          <w:p>
            <w:pPr>
              <w:spacing w:after="0" w:line="169"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Form of Common Stock Certificate** (incorporated by reference to Exhibit 4.1 to the Registrant’s</w:t>
              </w:r>
            </w:hyperlink>
          </w:p>
        </w:tc>
      </w:tr>
      <w:tr>
        <w:trPr>
          <w:trHeight w:val="196"/>
        </w:trPr>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980" w:type="dxa"/>
            <w:vAlign w:val="bottom"/>
            <w:tcBorders>
              <w:top w:val="single" w:sz="8" w:color="0000EE"/>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Amendment No. 2 to Registration Statement on Form S-1 filed with the Securities and Exchange</w:t>
              </w:r>
            </w:hyperlink>
          </w:p>
        </w:tc>
        <w:tc>
          <w:tcPr>
            <w:tcW w:w="8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7"/>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Commission on January 26, 2021)</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5"/>
                <w:szCs w:val="15"/>
                <w:color w:val="auto"/>
              </w:rPr>
            </w:pPr>
          </w:p>
        </w:tc>
        <w:tc>
          <w:tcPr>
            <w:tcW w:w="7220" w:type="dxa"/>
            <w:vAlign w:val="bottom"/>
            <w:gridSpan w:val="32"/>
          </w:tcPr>
          <w:p>
            <w:pPr>
              <w:spacing w:after="0" w:line="17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Form of Representative’s Warrant** (incorporated by reference to Exhibit 4.2 to the Registrant’s</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Amendment No. 2 to Registration Statement on Form S-1 filed with the Securities and Exchange</w:t>
              </w:r>
            </w:hyperlink>
          </w:p>
        </w:tc>
        <w:tc>
          <w:tcPr>
            <w:tcW w:w="240" w:type="dxa"/>
            <w:vAlign w:val="bottom"/>
            <w:gridSpan w:val="1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Commission on January 26, 2021)</w:t>
              </w:r>
            </w:hyperlink>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6420" w:type="dxa"/>
            <w:vAlign w:val="bottom"/>
            <w:tcBorders>
              <w:bottom w:val="single" w:sz="8" w:color="215E9E"/>
            </w:tcBorders>
            <w:gridSpan w:val="12"/>
            <w:shd w:val="clear" w:color="auto" w:fill="CCEEFF"/>
          </w:tcPr>
          <w:p>
            <w:pPr>
              <w:spacing w:after="0" w:line="176" w:lineRule="exact"/>
              <w:rPr>
                <w:rFonts w:ascii="Times New Roman" w:cs="Times New Roman" w:eastAsia="Times New Roman" w:hAnsi="Times New Roman"/>
                <w:sz w:val="18"/>
                <w:szCs w:val="18"/>
                <w:color w:val="215E9E"/>
                <w:w w:val="99"/>
              </w:rPr>
            </w:pPr>
            <w:hyperlink r:id="rId285">
              <w:r>
                <w:rPr>
                  <w:rFonts w:ascii="Times New Roman" w:cs="Times New Roman" w:eastAsia="Times New Roman" w:hAnsi="Times New Roman"/>
                  <w:sz w:val="18"/>
                  <w:szCs w:val="18"/>
                  <w:color w:val="215E9E"/>
                  <w:w w:val="99"/>
                </w:rPr>
                <w:t>Form of Warrant issued to Noteholders** (incorporated by reference to Exhibit 4.3 to the</w:t>
              </w:r>
            </w:hyperlink>
          </w:p>
        </w:tc>
        <w:tc>
          <w:tcPr>
            <w:tcW w:w="800" w:type="dxa"/>
            <w:vAlign w:val="bottom"/>
            <w:tcBorders>
              <w:bottom w:val="single" w:sz="8" w:color="CCEEFF"/>
            </w:tcBorders>
            <w:gridSpan w:val="20"/>
            <w:shd w:val="clear" w:color="auto" w:fill="CCEEFF"/>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215E9E"/>
            </w:tcBorders>
            <w:gridSpan w:val="11"/>
            <w:shd w:val="clear" w:color="auto" w:fill="CCEEFF"/>
          </w:tcPr>
          <w:p>
            <w:pPr>
              <w:spacing w:after="0" w:line="196" w:lineRule="exact"/>
              <w:rPr>
                <w:rFonts w:ascii="Times New Roman" w:cs="Times New Roman" w:eastAsia="Times New Roman" w:hAnsi="Times New Roman"/>
                <w:sz w:val="18"/>
                <w:szCs w:val="18"/>
                <w:color w:val="215E9E"/>
                <w:w w:val="99"/>
              </w:rPr>
            </w:pPr>
            <w:hyperlink r:id="rId285">
              <w:r>
                <w:rPr>
                  <w:rFonts w:ascii="Times New Roman" w:cs="Times New Roman" w:eastAsia="Times New Roman" w:hAnsi="Times New Roman"/>
                  <w:sz w:val="18"/>
                  <w:szCs w:val="18"/>
                  <w:color w:val="215E9E"/>
                  <w:w w:val="99"/>
                </w:rPr>
                <w:t>Registrant’s Registration Statement on Form S-1 filed with the Securities and Exchange</w:t>
              </w:r>
            </w:hyperlink>
          </w:p>
        </w:tc>
        <w:tc>
          <w:tcPr>
            <w:tcW w:w="900" w:type="dxa"/>
            <w:vAlign w:val="bottom"/>
            <w:tcBorders>
              <w:bottom w:val="single" w:sz="8" w:color="CCEEFF"/>
            </w:tcBorders>
            <w:gridSpan w:val="21"/>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85">
              <w:r>
                <w:rPr>
                  <w:rFonts w:ascii="Times New Roman" w:cs="Times New Roman" w:eastAsia="Times New Roman" w:hAnsi="Times New Roman"/>
                  <w:sz w:val="18"/>
                  <w:szCs w:val="18"/>
                  <w:color w:val="215E9E"/>
                </w:rPr>
                <w:t>Commission on December 22, 2020)</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5"/>
                <w:szCs w:val="15"/>
                <w:color w:val="auto"/>
              </w:rPr>
            </w:pPr>
          </w:p>
        </w:tc>
        <w:tc>
          <w:tcPr>
            <w:tcW w:w="7220" w:type="dxa"/>
            <w:vAlign w:val="bottom"/>
            <w:gridSpan w:val="32"/>
          </w:tcPr>
          <w:p>
            <w:pPr>
              <w:spacing w:after="0" w:line="17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Opinion of Loeb &amp; Loeb LLP regarding legality** (incorporated by reference to Exhibit 5.1 to the</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Registrant’s Amendment No. 2 to Registration Statement on Form S-1 filed with the Securities and</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Exchange Commission on January 26, 2021)</w:t>
              </w:r>
            </w:hyperlink>
          </w:p>
        </w:tc>
        <w:tc>
          <w:tcPr>
            <w:tcW w:w="100" w:type="dxa"/>
            <w:vAlign w:val="bottom"/>
            <w:gridSpan w:val="4"/>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5"/>
                <w:szCs w:val="15"/>
                <w:color w:val="auto"/>
              </w:rPr>
            </w:pPr>
          </w:p>
        </w:tc>
        <w:tc>
          <w:tcPr>
            <w:tcW w:w="7220" w:type="dxa"/>
            <w:vAlign w:val="bottom"/>
            <w:tcBorders>
              <w:bottom w:val="single" w:sz="8" w:color="215E9E"/>
            </w:tcBorders>
            <w:gridSpan w:val="32"/>
            <w:shd w:val="clear" w:color="auto" w:fill="CCEEFF"/>
          </w:tcPr>
          <w:p>
            <w:pPr>
              <w:spacing w:after="0" w:line="176" w:lineRule="exact"/>
              <w:rPr>
                <w:rFonts w:ascii="Times New Roman" w:cs="Times New Roman" w:eastAsia="Times New Roman" w:hAnsi="Times New Roman"/>
                <w:sz w:val="18"/>
                <w:szCs w:val="18"/>
                <w:color w:val="215E9E"/>
                <w:w w:val="99"/>
              </w:rPr>
            </w:pPr>
            <w:hyperlink r:id="rId287">
              <w:r>
                <w:rPr>
                  <w:rFonts w:ascii="Times New Roman" w:cs="Times New Roman" w:eastAsia="Times New Roman" w:hAnsi="Times New Roman"/>
                  <w:sz w:val="18"/>
                  <w:szCs w:val="18"/>
                  <w:color w:val="215E9E"/>
                  <w:w w:val="99"/>
                </w:rPr>
                <w:t>Operating Agreement of Agrify-Valiant, LLC dated December 8, 2019** (incorporated by reference</w:t>
              </w:r>
            </w:hyperlink>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215E9E"/>
            </w:tcBorders>
            <w:gridSpan w:val="29"/>
            <w:shd w:val="clear" w:color="auto" w:fill="CCEEFF"/>
          </w:tcPr>
          <w:p>
            <w:pPr>
              <w:spacing w:after="0" w:line="196" w:lineRule="exact"/>
              <w:rPr>
                <w:rFonts w:ascii="Times New Roman" w:cs="Times New Roman" w:eastAsia="Times New Roman" w:hAnsi="Times New Roman"/>
                <w:sz w:val="18"/>
                <w:szCs w:val="18"/>
                <w:color w:val="215E9E"/>
                <w:w w:val="99"/>
              </w:rPr>
            </w:pPr>
            <w:hyperlink r:id="rId287">
              <w:r>
                <w:rPr>
                  <w:rFonts w:ascii="Times New Roman" w:cs="Times New Roman" w:eastAsia="Times New Roman" w:hAnsi="Times New Roman"/>
                  <w:sz w:val="18"/>
                  <w:szCs w:val="18"/>
                  <w:color w:val="215E9E"/>
                  <w:w w:val="99"/>
                </w:rPr>
                <w:t>to Exhibit 10.1 to the Registrant’s Registration Statement on Form S-1 filed with the Securities and</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87">
              <w:r>
                <w:rPr>
                  <w:rFonts w:ascii="Times New Roman" w:cs="Times New Roman" w:eastAsia="Times New Roman" w:hAnsi="Times New Roman"/>
                  <w:sz w:val="18"/>
                  <w:szCs w:val="18"/>
                  <w:color w:val="215E9E"/>
                </w:rPr>
                <w:t>Exchange Commission on December 22, 2020)</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7120" w:type="dxa"/>
            <w:vAlign w:val="bottom"/>
            <w:tcBorders>
              <w:bottom w:val="single" w:sz="8" w:color="215E9E"/>
            </w:tcBorders>
            <w:gridSpan w:val="28"/>
          </w:tcPr>
          <w:p>
            <w:pPr>
              <w:spacing w:after="0" w:line="176" w:lineRule="exact"/>
              <w:rPr>
                <w:rFonts w:ascii="Times New Roman" w:cs="Times New Roman" w:eastAsia="Times New Roman" w:hAnsi="Times New Roman"/>
                <w:sz w:val="18"/>
                <w:szCs w:val="18"/>
                <w:color w:val="215E9E"/>
                <w:w w:val="99"/>
              </w:rPr>
            </w:pPr>
            <w:hyperlink r:id="rId288">
              <w:r>
                <w:rPr>
                  <w:rFonts w:ascii="Times New Roman" w:cs="Times New Roman" w:eastAsia="Times New Roman" w:hAnsi="Times New Roman"/>
                  <w:sz w:val="18"/>
                  <w:szCs w:val="18"/>
                  <w:color w:val="215E9E"/>
                  <w:w w:val="99"/>
                </w:rPr>
                <w:t>Distribution Agreement dated June 7, 2019 between the Company and Bluezone Products, Inc.±**</w:t>
              </w:r>
            </w:hyperlink>
          </w:p>
        </w:tc>
        <w:tc>
          <w:tcPr>
            <w:tcW w:w="100" w:type="dxa"/>
            <w:vAlign w:val="bottom"/>
            <w:gridSpan w:val="4"/>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tcBorders>
              <w:bottom w:val="single" w:sz="8" w:color="215E9E"/>
            </w:tcBorders>
            <w:gridSpan w:val="23"/>
          </w:tcPr>
          <w:p>
            <w:pPr>
              <w:spacing w:after="0" w:line="196" w:lineRule="exact"/>
              <w:rPr>
                <w:rFonts w:ascii="Times New Roman" w:cs="Times New Roman" w:eastAsia="Times New Roman" w:hAnsi="Times New Roman"/>
                <w:sz w:val="18"/>
                <w:szCs w:val="18"/>
                <w:color w:val="215E9E"/>
                <w:w w:val="99"/>
              </w:rPr>
            </w:pPr>
            <w:hyperlink r:id="rId288">
              <w:r>
                <w:rPr>
                  <w:rFonts w:ascii="Times New Roman" w:cs="Times New Roman" w:eastAsia="Times New Roman" w:hAnsi="Times New Roman"/>
                  <w:sz w:val="18"/>
                  <w:szCs w:val="18"/>
                  <w:color w:val="215E9E"/>
                  <w:w w:val="99"/>
                </w:rPr>
                <w:t>(incorporated by reference to Exhibit 10.2 to the Registrant’s Registration Statement on Form S-1</w:t>
              </w:r>
            </w:hyperlink>
          </w:p>
        </w:tc>
        <w:tc>
          <w:tcPr>
            <w:tcW w:w="20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215E9E"/>
              </w:rPr>
            </w:pPr>
            <w:hyperlink r:id="rId288">
              <w:r>
                <w:rPr>
                  <w:rFonts w:ascii="Times New Roman" w:cs="Times New Roman" w:eastAsia="Times New Roman" w:hAnsi="Times New Roman"/>
                  <w:sz w:val="18"/>
                  <w:szCs w:val="18"/>
                  <w:color w:val="215E9E"/>
                </w:rPr>
                <w:t>filed with the Securities and Exchange Commission on December 22, 2020)</w:t>
              </w:r>
            </w:hyperlink>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17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5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8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1000" w:type="dxa"/>
            <w:vAlign w:val="bottom"/>
            <w:tcBorders>
              <w:top w:val="single" w:sz="8" w:color="215E9E"/>
            </w:tcBorders>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7040" w:type="dxa"/>
            <w:vAlign w:val="bottom"/>
            <w:tcBorders>
              <w:bottom w:val="single" w:sz="8" w:color="215E9E"/>
            </w:tcBorders>
            <w:gridSpan w:val="24"/>
            <w:shd w:val="clear" w:color="auto" w:fill="CCEEFF"/>
          </w:tcPr>
          <w:p>
            <w:pPr>
              <w:spacing w:after="0" w:line="176" w:lineRule="exact"/>
              <w:rPr>
                <w:rFonts w:ascii="Times New Roman" w:cs="Times New Roman" w:eastAsia="Times New Roman" w:hAnsi="Times New Roman"/>
                <w:sz w:val="18"/>
                <w:szCs w:val="18"/>
                <w:color w:val="215E9E"/>
                <w:w w:val="99"/>
              </w:rPr>
            </w:pPr>
            <w:hyperlink r:id="rId289">
              <w:r>
                <w:rPr>
                  <w:rFonts w:ascii="Times New Roman" w:cs="Times New Roman" w:eastAsia="Times New Roman" w:hAnsi="Times New Roman"/>
                  <w:sz w:val="18"/>
                  <w:szCs w:val="18"/>
                  <w:color w:val="215E9E"/>
                  <w:w w:val="99"/>
                </w:rPr>
                <w:t>Distribution Agreement dated March 9, 2020 between the Company and Enozo Technologies Inc.</w:t>
              </w:r>
            </w:hyperlink>
          </w:p>
        </w:tc>
        <w:tc>
          <w:tcPr>
            <w:tcW w:w="18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89">
              <w:r>
                <w:rPr>
                  <w:rFonts w:ascii="Times New Roman" w:cs="Times New Roman" w:eastAsia="Times New Roman" w:hAnsi="Times New Roman"/>
                  <w:sz w:val="18"/>
                  <w:szCs w:val="18"/>
                  <w:color w:val="215E9E"/>
                </w:rPr>
                <w:t>±** (incorporated by reference to Exhibit 10.3 to the Registrant’s Registration Statement on Form</w:t>
              </w:r>
            </w:hyperlink>
          </w:p>
        </w:tc>
      </w:tr>
      <w:tr>
        <w:trPr>
          <w:trHeight w:val="196"/>
        </w:trPr>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40" w:type="dxa"/>
            <w:vAlign w:val="bottom"/>
            <w:tcBorders>
              <w:top w:val="single" w:sz="8" w:color="215E9E"/>
            </w:tcBorders>
            <w:gridSpan w:val="24"/>
            <w:shd w:val="clear" w:color="auto" w:fill="CCEEFF"/>
          </w:tcPr>
          <w:p>
            <w:pPr>
              <w:spacing w:after="0" w:line="196" w:lineRule="exact"/>
              <w:rPr>
                <w:rFonts w:ascii="Times New Roman" w:cs="Times New Roman" w:eastAsia="Times New Roman" w:hAnsi="Times New Roman"/>
                <w:sz w:val="18"/>
                <w:szCs w:val="18"/>
                <w:color w:val="215E9E"/>
              </w:rPr>
            </w:pPr>
            <w:hyperlink r:id="rId289">
              <w:r>
                <w:rPr>
                  <w:rFonts w:ascii="Times New Roman" w:cs="Times New Roman" w:eastAsia="Times New Roman" w:hAnsi="Times New Roman"/>
                  <w:sz w:val="18"/>
                  <w:szCs w:val="18"/>
                  <w:color w:val="215E9E"/>
                </w:rPr>
                <w:t>S-1 filed with the Securities and Exchange Commission on December 22, 2020)</w:t>
              </w:r>
            </w:hyperlink>
          </w:p>
        </w:tc>
        <w:tc>
          <w:tcPr>
            <w:tcW w:w="180" w:type="dxa"/>
            <w:vAlign w:val="bottom"/>
            <w:tcBorders>
              <w:top w:val="single" w:sz="8" w:color="CCEEFF"/>
            </w:tcBorders>
            <w:gridSpan w:val="8"/>
            <w:shd w:val="clear" w:color="auto" w:fill="CCEEFF"/>
          </w:tcPr>
          <w:p>
            <w:pPr>
              <w:spacing w:after="0"/>
              <w:rPr>
                <w:sz w:val="17"/>
                <w:szCs w:val="17"/>
                <w:color w:val="auto"/>
              </w:rPr>
            </w:pPr>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8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1000" w:type="dxa"/>
            <w:vAlign w:val="bottom"/>
            <w:tcBorders>
              <w:top w:val="single" w:sz="8" w:color="215E9E"/>
            </w:tcBorders>
            <w:shd w:val="clear" w:color="auto" w:fill="CCEEFF"/>
          </w:tcPr>
          <w:p>
            <w:pPr>
              <w:spacing w:after="0"/>
              <w:rPr>
                <w:sz w:val="5"/>
                <w:szCs w:val="5"/>
                <w:color w:val="auto"/>
              </w:rPr>
            </w:pPr>
          </w:p>
        </w:tc>
        <w:tc>
          <w:tcPr>
            <w:tcW w:w="300" w:type="dxa"/>
            <w:vAlign w:val="bottom"/>
            <w:tcBorders>
              <w:top w:val="single" w:sz="8" w:color="215E9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5"/>
                <w:szCs w:val="15"/>
                <w:color w:val="auto"/>
              </w:rPr>
            </w:pPr>
          </w:p>
        </w:tc>
        <w:tc>
          <w:tcPr>
            <w:tcW w:w="6540" w:type="dxa"/>
            <w:vAlign w:val="bottom"/>
            <w:tcBorders>
              <w:bottom w:val="single" w:sz="8" w:color="215E9E"/>
            </w:tcBorders>
            <w:gridSpan w:val="16"/>
          </w:tcPr>
          <w:p>
            <w:pPr>
              <w:spacing w:after="0" w:line="176" w:lineRule="exact"/>
              <w:rPr>
                <w:rFonts w:ascii="Times New Roman" w:cs="Times New Roman" w:eastAsia="Times New Roman" w:hAnsi="Times New Roman"/>
                <w:sz w:val="18"/>
                <w:szCs w:val="18"/>
                <w:color w:val="215E9E"/>
                <w:w w:val="99"/>
              </w:rPr>
            </w:pPr>
            <w:hyperlink r:id="rId290">
              <w:r>
                <w:rPr>
                  <w:rFonts w:ascii="Times New Roman" w:cs="Times New Roman" w:eastAsia="Times New Roman" w:hAnsi="Times New Roman"/>
                  <w:sz w:val="18"/>
                  <w:szCs w:val="18"/>
                  <w:color w:val="215E9E"/>
                  <w:w w:val="99"/>
                </w:rPr>
                <w:t>Purchase Agreement dated as of July 10, 2020 between the Company and 4D Bios Inc.±**</w:t>
              </w:r>
            </w:hyperlink>
          </w:p>
        </w:tc>
        <w:tc>
          <w:tcPr>
            <w:tcW w:w="680" w:type="dxa"/>
            <w:vAlign w:val="bottom"/>
            <w:gridSpan w:val="16"/>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tcBorders>
              <w:bottom w:val="single" w:sz="8" w:color="215E9E"/>
            </w:tcBorders>
            <w:gridSpan w:val="23"/>
          </w:tcPr>
          <w:p>
            <w:pPr>
              <w:spacing w:after="0" w:line="196" w:lineRule="exact"/>
              <w:rPr>
                <w:rFonts w:ascii="Times New Roman" w:cs="Times New Roman" w:eastAsia="Times New Roman" w:hAnsi="Times New Roman"/>
                <w:sz w:val="18"/>
                <w:szCs w:val="18"/>
                <w:color w:val="215E9E"/>
                <w:w w:val="99"/>
              </w:rPr>
            </w:pPr>
            <w:hyperlink r:id="rId290">
              <w:r>
                <w:rPr>
                  <w:rFonts w:ascii="Times New Roman" w:cs="Times New Roman" w:eastAsia="Times New Roman" w:hAnsi="Times New Roman"/>
                  <w:sz w:val="18"/>
                  <w:szCs w:val="18"/>
                  <w:color w:val="215E9E"/>
                  <w:w w:val="99"/>
                </w:rPr>
                <w:t>(incorporated by reference to Exhibit 10.4 to the Registrant’s Registration Statement on Form S-1</w:t>
              </w:r>
            </w:hyperlink>
          </w:p>
        </w:tc>
        <w:tc>
          <w:tcPr>
            <w:tcW w:w="20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215E9E"/>
              </w:rPr>
            </w:pPr>
            <w:hyperlink r:id="rId290">
              <w:r>
                <w:rPr>
                  <w:rFonts w:ascii="Times New Roman" w:cs="Times New Roman" w:eastAsia="Times New Roman" w:hAnsi="Times New Roman"/>
                  <w:sz w:val="18"/>
                  <w:szCs w:val="18"/>
                  <w:color w:val="215E9E"/>
                </w:rPr>
                <w:t>filed with the Securities and Exchange Commission on December 22, 2020)</w:t>
              </w:r>
            </w:hyperlink>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17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5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8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1000" w:type="dxa"/>
            <w:vAlign w:val="bottom"/>
            <w:tcBorders>
              <w:top w:val="single" w:sz="8" w:color="215E9E"/>
            </w:tcBorders>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215E9E"/>
            </w:tcBorders>
            <w:gridSpan w:val="28"/>
            <w:shd w:val="clear" w:color="auto" w:fill="CCEEFF"/>
          </w:tcPr>
          <w:p>
            <w:pPr>
              <w:spacing w:after="0" w:line="176" w:lineRule="exact"/>
              <w:rPr>
                <w:rFonts w:ascii="Times New Roman" w:cs="Times New Roman" w:eastAsia="Times New Roman" w:hAnsi="Times New Roman"/>
                <w:sz w:val="18"/>
                <w:szCs w:val="18"/>
                <w:color w:val="215E9E"/>
                <w:w w:val="99"/>
              </w:rPr>
            </w:pPr>
            <w:hyperlink r:id="rId291">
              <w:r>
                <w:rPr>
                  <w:rFonts w:ascii="Times New Roman" w:cs="Times New Roman" w:eastAsia="Times New Roman" w:hAnsi="Times New Roman"/>
                  <w:sz w:val="18"/>
                  <w:szCs w:val="18"/>
                  <w:color w:val="215E9E"/>
                  <w:w w:val="99"/>
                </w:rPr>
                <w:t>Form of Employment Agreement of Raymond Chang** (incorporated by reference to Exhibit 10.5</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215E9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215E9E"/>
                <w:w w:val="99"/>
              </w:rPr>
            </w:pPr>
            <w:hyperlink r:id="rId291">
              <w:r>
                <w:rPr>
                  <w:rFonts w:ascii="Times New Roman" w:cs="Times New Roman" w:eastAsia="Times New Roman" w:hAnsi="Times New Roman"/>
                  <w:sz w:val="18"/>
                  <w:szCs w:val="18"/>
                  <w:color w:val="215E9E"/>
                  <w:w w:val="99"/>
                </w:rPr>
                <w:t>to the Registrant’s Amendment No. 1 to Registration Statement on Form S-1 filed with the</w:t>
              </w:r>
            </w:hyperlink>
          </w:p>
        </w:tc>
        <w:tc>
          <w:tcPr>
            <w:tcW w:w="680" w:type="dxa"/>
            <w:vAlign w:val="bottom"/>
            <w:tcBorders>
              <w:left w:val="single" w:sz="8" w:color="CCEEFF"/>
              <w:bottom w:val="single" w:sz="8" w:color="CCEEFF"/>
            </w:tcBorders>
            <w:gridSpan w:val="16"/>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91">
              <w:r>
                <w:rPr>
                  <w:rFonts w:ascii="Times New Roman" w:cs="Times New Roman" w:eastAsia="Times New Roman" w:hAnsi="Times New Roman"/>
                  <w:sz w:val="18"/>
                  <w:szCs w:val="18"/>
                  <w:color w:val="215E9E"/>
                </w:rPr>
                <w:t>Securities and Exchange Commission on January 13, 2021)</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8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5"/>
                <w:szCs w:val="15"/>
                <w:color w:val="auto"/>
              </w:rPr>
            </w:pPr>
          </w:p>
        </w:tc>
        <w:tc>
          <w:tcPr>
            <w:tcW w:w="7220" w:type="dxa"/>
            <w:vAlign w:val="bottom"/>
            <w:gridSpan w:val="32"/>
          </w:tcPr>
          <w:p>
            <w:pPr>
              <w:spacing w:after="0" w:line="176" w:lineRule="exact"/>
              <w:rPr>
                <w:rFonts w:ascii="Times New Roman" w:cs="Times New Roman" w:eastAsia="Times New Roman" w:hAnsi="Times New Roman"/>
                <w:sz w:val="18"/>
                <w:szCs w:val="18"/>
                <w:color w:val="215E9E"/>
              </w:rPr>
            </w:pPr>
            <w:hyperlink r:id="rId292">
              <w:r>
                <w:rPr>
                  <w:rFonts w:ascii="Times New Roman" w:cs="Times New Roman" w:eastAsia="Times New Roman" w:hAnsi="Times New Roman"/>
                  <w:sz w:val="18"/>
                  <w:szCs w:val="18"/>
                  <w:color w:val="215E9E"/>
                </w:rPr>
                <w:t>Employment Agreement of Former Chief Technology Officer, Matthew Liotta** (incorporated by</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tcBorders>
              <w:top w:val="single" w:sz="8" w:color="215E9E"/>
            </w:tcBorders>
            <w:gridSpan w:val="24"/>
          </w:tcPr>
          <w:p>
            <w:pPr>
              <w:spacing w:after="0" w:line="196" w:lineRule="exact"/>
              <w:rPr>
                <w:rFonts w:ascii="Times New Roman" w:cs="Times New Roman" w:eastAsia="Times New Roman" w:hAnsi="Times New Roman"/>
                <w:sz w:val="18"/>
                <w:szCs w:val="18"/>
                <w:color w:val="215E9E"/>
              </w:rPr>
            </w:pPr>
            <w:hyperlink r:id="rId292">
              <w:r>
                <w:rPr>
                  <w:rFonts w:ascii="Times New Roman" w:cs="Times New Roman" w:eastAsia="Times New Roman" w:hAnsi="Times New Roman"/>
                  <w:sz w:val="18"/>
                  <w:szCs w:val="18"/>
                  <w:color w:val="215E9E"/>
                </w:rPr>
                <w:t>reference to Exhibit 10.7 to the Registrant’s Registration Statement on Form S-1 filed with the</w:t>
              </w:r>
            </w:hyperlink>
          </w:p>
        </w:tc>
        <w:tc>
          <w:tcPr>
            <w:tcW w:w="18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80" w:type="dxa"/>
            <w:vAlign w:val="bottom"/>
            <w:tcBorders>
              <w:top w:val="single" w:sz="8" w:color="215E9E"/>
            </w:tcBorders>
            <w:gridSpan w:val="18"/>
          </w:tcPr>
          <w:p>
            <w:pPr>
              <w:spacing w:after="0" w:line="196" w:lineRule="exact"/>
              <w:rPr>
                <w:rFonts w:ascii="Times New Roman" w:cs="Times New Roman" w:eastAsia="Times New Roman" w:hAnsi="Times New Roman"/>
                <w:sz w:val="18"/>
                <w:szCs w:val="18"/>
                <w:color w:val="215E9E"/>
              </w:rPr>
            </w:pPr>
            <w:hyperlink r:id="rId292">
              <w:r>
                <w:rPr>
                  <w:rFonts w:ascii="Times New Roman" w:cs="Times New Roman" w:eastAsia="Times New Roman" w:hAnsi="Times New Roman"/>
                  <w:sz w:val="18"/>
                  <w:szCs w:val="18"/>
                  <w:color w:val="215E9E"/>
                </w:rPr>
                <w:t>Securities and Exchange Commission on December 22, 2020)</w:t>
              </w:r>
            </w:hyperlink>
          </w:p>
        </w:tc>
        <w:tc>
          <w:tcPr>
            <w:tcW w:w="440" w:type="dxa"/>
            <w:vAlign w:val="bottom"/>
            <w:gridSpan w:val="14"/>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17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5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8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6500" w:type="dxa"/>
            <w:vAlign w:val="bottom"/>
            <w:tcBorders>
              <w:bottom w:val="single" w:sz="8" w:color="215E9E"/>
            </w:tcBorders>
            <w:gridSpan w:val="15"/>
            <w:shd w:val="clear" w:color="auto" w:fill="CCEEFF"/>
          </w:tcPr>
          <w:p>
            <w:pPr>
              <w:spacing w:after="0" w:line="176" w:lineRule="exact"/>
              <w:rPr>
                <w:rFonts w:ascii="Times New Roman" w:cs="Times New Roman" w:eastAsia="Times New Roman" w:hAnsi="Times New Roman"/>
                <w:sz w:val="18"/>
                <w:szCs w:val="18"/>
                <w:color w:val="215E9E"/>
                <w:w w:val="99"/>
              </w:rPr>
            </w:pPr>
            <w:hyperlink r:id="rId293">
              <w:r>
                <w:rPr>
                  <w:rFonts w:ascii="Times New Roman" w:cs="Times New Roman" w:eastAsia="Times New Roman" w:hAnsi="Times New Roman"/>
                  <w:sz w:val="18"/>
                  <w:szCs w:val="18"/>
                  <w:color w:val="215E9E"/>
                  <w:w w:val="99"/>
                </w:rPr>
                <w:t>Separation Agreement dated August 5, 2020 between the Company and Matthew Liotta**</w:t>
              </w:r>
            </w:hyperlink>
          </w:p>
        </w:tc>
        <w:tc>
          <w:tcPr>
            <w:tcW w:w="720" w:type="dxa"/>
            <w:vAlign w:val="bottom"/>
            <w:tcBorders>
              <w:bottom w:val="single" w:sz="8" w:color="CCEEFF"/>
            </w:tcBorders>
            <w:gridSpan w:val="17"/>
            <w:shd w:val="clear" w:color="auto" w:fill="CCEEFF"/>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215E9E"/>
            </w:tcBorders>
            <w:gridSpan w:val="23"/>
            <w:shd w:val="clear" w:color="auto" w:fill="CCEEFF"/>
          </w:tcPr>
          <w:p>
            <w:pPr>
              <w:spacing w:after="0" w:line="196" w:lineRule="exact"/>
              <w:rPr>
                <w:rFonts w:ascii="Times New Roman" w:cs="Times New Roman" w:eastAsia="Times New Roman" w:hAnsi="Times New Roman"/>
                <w:sz w:val="18"/>
                <w:szCs w:val="18"/>
                <w:color w:val="215E9E"/>
                <w:w w:val="99"/>
              </w:rPr>
            </w:pPr>
            <w:hyperlink r:id="rId293">
              <w:r>
                <w:rPr>
                  <w:rFonts w:ascii="Times New Roman" w:cs="Times New Roman" w:eastAsia="Times New Roman" w:hAnsi="Times New Roman"/>
                  <w:sz w:val="18"/>
                  <w:szCs w:val="18"/>
                  <w:color w:val="215E9E"/>
                  <w:w w:val="99"/>
                </w:rPr>
                <w:t>(incorporated by reference to Exhibit 10.8 to the Registrant’s Registration Statement on Form S-1</w:t>
              </w:r>
            </w:hyperlink>
          </w:p>
        </w:tc>
        <w:tc>
          <w:tcPr>
            <w:tcW w:w="2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93">
              <w:r>
                <w:rPr>
                  <w:rFonts w:ascii="Times New Roman" w:cs="Times New Roman" w:eastAsia="Times New Roman" w:hAnsi="Times New Roman"/>
                  <w:sz w:val="18"/>
                  <w:szCs w:val="18"/>
                  <w:color w:val="215E9E"/>
                </w:rPr>
                <w:t>filed with the Securities and Exchange Commission on December 22, 2020)</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8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1000" w:type="dxa"/>
            <w:vAlign w:val="bottom"/>
            <w:tcBorders>
              <w:top w:val="single" w:sz="8" w:color="215E9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5"/>
                <w:szCs w:val="15"/>
                <w:color w:val="auto"/>
              </w:rPr>
            </w:pPr>
          </w:p>
        </w:tc>
        <w:tc>
          <w:tcPr>
            <w:tcW w:w="7220" w:type="dxa"/>
            <w:vAlign w:val="bottom"/>
            <w:gridSpan w:val="32"/>
          </w:tcPr>
          <w:p>
            <w:pPr>
              <w:spacing w:after="0" w:line="176" w:lineRule="exact"/>
              <w:rPr>
                <w:rFonts w:ascii="Times New Roman" w:cs="Times New Roman" w:eastAsia="Times New Roman" w:hAnsi="Times New Roman"/>
                <w:sz w:val="18"/>
                <w:szCs w:val="18"/>
                <w:color w:val="215E9E"/>
              </w:rPr>
            </w:pPr>
            <w:hyperlink r:id="rId294">
              <w:r>
                <w:rPr>
                  <w:rFonts w:ascii="Times New Roman" w:cs="Times New Roman" w:eastAsia="Times New Roman" w:hAnsi="Times New Roman"/>
                  <w:sz w:val="18"/>
                  <w:szCs w:val="18"/>
                  <w:color w:val="215E9E"/>
                </w:rPr>
                <w:t>Profits Interest Agreement dated January 21, 2020 between the Company and CCI Finance, LLC**</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40" w:type="dxa"/>
            <w:vAlign w:val="bottom"/>
            <w:tcBorders>
              <w:top w:val="single" w:sz="8" w:color="215E9E"/>
            </w:tcBorders>
            <w:gridSpan w:val="29"/>
          </w:tcPr>
          <w:p>
            <w:pPr>
              <w:spacing w:after="0" w:line="196" w:lineRule="exact"/>
              <w:rPr>
                <w:rFonts w:ascii="Times New Roman" w:cs="Times New Roman" w:eastAsia="Times New Roman" w:hAnsi="Times New Roman"/>
                <w:sz w:val="18"/>
                <w:szCs w:val="18"/>
                <w:color w:val="215E9E"/>
                <w:w w:val="99"/>
              </w:rPr>
            </w:pPr>
            <w:hyperlink r:id="rId294">
              <w:r>
                <w:rPr>
                  <w:rFonts w:ascii="Times New Roman" w:cs="Times New Roman" w:eastAsia="Times New Roman" w:hAnsi="Times New Roman"/>
                  <w:sz w:val="18"/>
                  <w:szCs w:val="18"/>
                  <w:color w:val="215E9E"/>
                  <w:w w:val="99"/>
                </w:rPr>
                <w:t>(incorporated by reference to Exhibit 10.11 to the Registrant’s Registration Statement on Form S-1</w:t>
              </w:r>
            </w:hyperlink>
          </w:p>
        </w:tc>
        <w:tc>
          <w:tcPr>
            <w:tcW w:w="8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top w:val="single" w:sz="8" w:color="215E9E"/>
            </w:tcBorders>
            <w:gridSpan w:val="27"/>
          </w:tcPr>
          <w:p>
            <w:pPr>
              <w:spacing w:after="0" w:line="196" w:lineRule="exact"/>
              <w:rPr>
                <w:rFonts w:ascii="Times New Roman" w:cs="Times New Roman" w:eastAsia="Times New Roman" w:hAnsi="Times New Roman"/>
                <w:sz w:val="18"/>
                <w:szCs w:val="18"/>
                <w:color w:val="215E9E"/>
              </w:rPr>
            </w:pPr>
            <w:hyperlink r:id="rId294">
              <w:r>
                <w:rPr>
                  <w:rFonts w:ascii="Times New Roman" w:cs="Times New Roman" w:eastAsia="Times New Roman" w:hAnsi="Times New Roman"/>
                  <w:sz w:val="18"/>
                  <w:szCs w:val="18"/>
                  <w:color w:val="215E9E"/>
                </w:rPr>
                <w:t>filed with the Securities and Exchange Commission on December 22, 2020)</w:t>
              </w:r>
            </w:hyperlink>
          </w:p>
        </w:tc>
        <w:tc>
          <w:tcPr>
            <w:tcW w:w="120" w:type="dxa"/>
            <w:vAlign w:val="bottom"/>
            <w:gridSpan w:val="5"/>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17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5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8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1000" w:type="dxa"/>
            <w:vAlign w:val="bottom"/>
            <w:tcBorders>
              <w:top w:val="single" w:sz="8" w:color="215E9E"/>
            </w:tcBorders>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15"/>
                <w:szCs w:val="15"/>
                <w:color w:val="auto"/>
              </w:rPr>
            </w:pPr>
          </w:p>
        </w:tc>
        <w:tc>
          <w:tcPr>
            <w:tcW w:w="6480" w:type="dxa"/>
            <w:vAlign w:val="bottom"/>
            <w:tcBorders>
              <w:bottom w:val="single" w:sz="8" w:color="215E9E"/>
            </w:tcBorders>
            <w:gridSpan w:val="14"/>
            <w:shd w:val="clear" w:color="auto" w:fill="CCEEFF"/>
          </w:tcPr>
          <w:p>
            <w:pPr>
              <w:spacing w:after="0" w:line="176" w:lineRule="exact"/>
              <w:rPr>
                <w:rFonts w:ascii="Times New Roman" w:cs="Times New Roman" w:eastAsia="Times New Roman" w:hAnsi="Times New Roman"/>
                <w:sz w:val="18"/>
                <w:szCs w:val="18"/>
                <w:color w:val="215E9E"/>
                <w:w w:val="99"/>
              </w:rPr>
            </w:pPr>
            <w:hyperlink r:id="rId295">
              <w:r>
                <w:rPr>
                  <w:rFonts w:ascii="Times New Roman" w:cs="Times New Roman" w:eastAsia="Times New Roman" w:hAnsi="Times New Roman"/>
                  <w:sz w:val="18"/>
                  <w:szCs w:val="18"/>
                  <w:color w:val="215E9E"/>
                  <w:w w:val="99"/>
                </w:rPr>
                <w:t>Form of Registration Rights Agreement between the Company and the Series A Preferred</w:t>
              </w:r>
            </w:hyperlink>
          </w:p>
        </w:tc>
        <w:tc>
          <w:tcPr>
            <w:tcW w:w="740" w:type="dxa"/>
            <w:vAlign w:val="bottom"/>
            <w:tcBorders>
              <w:bottom w:val="single" w:sz="8" w:color="CCEEFF"/>
            </w:tcBorders>
            <w:gridSpan w:val="18"/>
            <w:shd w:val="clear" w:color="auto" w:fill="CCEEFF"/>
          </w:tcPr>
          <w:p>
            <w:pPr>
              <w:spacing w:after="0"/>
              <w:rPr>
                <w:sz w:val="15"/>
                <w:szCs w:val="15"/>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95">
              <w:r>
                <w:rPr>
                  <w:rFonts w:ascii="Times New Roman" w:cs="Times New Roman" w:eastAsia="Times New Roman" w:hAnsi="Times New Roman"/>
                  <w:sz w:val="18"/>
                  <w:szCs w:val="18"/>
                  <w:color w:val="215E9E"/>
                </w:rPr>
                <w:t>stockholders** (incorporated by reference to Exhibit 10.12 to the Registrant’s Registration</w:t>
              </w:r>
            </w:hyperlink>
          </w:p>
        </w:tc>
      </w:tr>
      <w:tr>
        <w:trPr>
          <w:trHeight w:val="20"/>
        </w:trPr>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215E9E"/>
          </w:tcPr>
          <w:p>
            <w:pPr>
              <w:spacing w:after="0" w:line="20" w:lineRule="exact"/>
              <w:rPr>
                <w:sz w:val="1"/>
                <w:szCs w:val="1"/>
                <w:color w:val="auto"/>
              </w:rPr>
            </w:pPr>
          </w:p>
        </w:tc>
        <w:tc>
          <w:tcPr>
            <w:tcW w:w="1960" w:type="dxa"/>
            <w:vAlign w:val="bottom"/>
            <w:gridSpan w:val="2"/>
            <w:shd w:val="clear" w:color="auto" w:fill="215E9E"/>
          </w:tcPr>
          <w:p>
            <w:pPr>
              <w:spacing w:after="0" w:line="20" w:lineRule="exact"/>
              <w:rPr>
                <w:sz w:val="1"/>
                <w:szCs w:val="1"/>
                <w:color w:val="auto"/>
              </w:rPr>
            </w:pPr>
          </w:p>
        </w:tc>
        <w:tc>
          <w:tcPr>
            <w:tcW w:w="1820" w:type="dxa"/>
            <w:vAlign w:val="bottom"/>
            <w:gridSpan w:val="4"/>
            <w:shd w:val="clear" w:color="auto" w:fill="215E9E"/>
          </w:tcPr>
          <w:p>
            <w:pPr>
              <w:spacing w:after="0" w:line="20" w:lineRule="exact"/>
              <w:rPr>
                <w:sz w:val="1"/>
                <w:szCs w:val="1"/>
                <w:color w:val="auto"/>
              </w:rPr>
            </w:pPr>
          </w:p>
        </w:tc>
        <w:tc>
          <w:tcPr>
            <w:tcW w:w="2000" w:type="dxa"/>
            <w:vAlign w:val="bottom"/>
            <w:gridSpan w:val="5"/>
            <w:shd w:val="clear" w:color="auto" w:fill="215E9E"/>
          </w:tcPr>
          <w:p>
            <w:pPr>
              <w:spacing w:after="0" w:line="20" w:lineRule="exact"/>
              <w:rPr>
                <w:sz w:val="1"/>
                <w:szCs w:val="1"/>
                <w:color w:val="auto"/>
              </w:rPr>
            </w:pPr>
          </w:p>
        </w:tc>
        <w:tc>
          <w:tcPr>
            <w:tcW w:w="80" w:type="dxa"/>
            <w:vAlign w:val="bottom"/>
            <w:tcBorders>
              <w:right w:val="single" w:sz="8" w:color="CCEEFF"/>
            </w:tcBorders>
            <w:gridSpan w:val="3"/>
            <w:shd w:val="clear" w:color="auto" w:fill="215E9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9"/>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32"/>
            <w:shd w:val="clear" w:color="auto" w:fill="CCEEFF"/>
          </w:tcPr>
          <w:p>
            <w:pPr>
              <w:spacing w:after="0"/>
              <w:rPr>
                <w:rFonts w:ascii="Times New Roman" w:cs="Times New Roman" w:eastAsia="Times New Roman" w:hAnsi="Times New Roman"/>
                <w:sz w:val="18"/>
                <w:szCs w:val="18"/>
                <w:u w:val="single" w:color="auto"/>
                <w:color w:val="215E9E"/>
              </w:rPr>
            </w:pPr>
            <w:hyperlink r:id="rId295">
              <w:r>
                <w:rPr>
                  <w:rFonts w:ascii="Times New Roman" w:cs="Times New Roman" w:eastAsia="Times New Roman" w:hAnsi="Times New Roman"/>
                  <w:sz w:val="18"/>
                  <w:szCs w:val="18"/>
                  <w:u w:val="single" w:color="auto"/>
                  <w:color w:val="215E9E"/>
                </w:rPr>
                <w:t>Statement on Form S-1 filed with the Securities and Exchange Commission on December 22, 2020)</w:t>
              </w:r>
            </w:hyperlink>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5"/>
                <w:szCs w:val="15"/>
                <w:color w:val="auto"/>
              </w:rPr>
            </w:pPr>
          </w:p>
        </w:tc>
        <w:tc>
          <w:tcPr>
            <w:tcW w:w="6640" w:type="dxa"/>
            <w:vAlign w:val="bottom"/>
            <w:tcBorders>
              <w:bottom w:val="single" w:sz="8" w:color="215E9E"/>
            </w:tcBorders>
            <w:gridSpan w:val="17"/>
          </w:tcPr>
          <w:p>
            <w:pPr>
              <w:spacing w:after="0" w:line="176" w:lineRule="exact"/>
              <w:rPr>
                <w:rFonts w:ascii="Times New Roman" w:cs="Times New Roman" w:eastAsia="Times New Roman" w:hAnsi="Times New Roman"/>
                <w:sz w:val="18"/>
                <w:szCs w:val="18"/>
                <w:color w:val="215E9E"/>
                <w:w w:val="99"/>
              </w:rPr>
            </w:pPr>
            <w:hyperlink r:id="rId296">
              <w:r>
                <w:rPr>
                  <w:rFonts w:ascii="Times New Roman" w:cs="Times New Roman" w:eastAsia="Times New Roman" w:hAnsi="Times New Roman"/>
                  <w:sz w:val="18"/>
                  <w:szCs w:val="18"/>
                  <w:color w:val="215E9E"/>
                  <w:w w:val="99"/>
                </w:rPr>
                <w:t>Form of Series A Subscription Agreement between the Company and the Series A Preferred</w:t>
              </w:r>
            </w:hyperlink>
          </w:p>
        </w:tc>
        <w:tc>
          <w:tcPr>
            <w:tcW w:w="580" w:type="dxa"/>
            <w:vAlign w:val="bottom"/>
            <w:gridSpan w:val="15"/>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215E9E"/>
              </w:rPr>
            </w:pPr>
            <w:hyperlink r:id="rId296">
              <w:r>
                <w:rPr>
                  <w:rFonts w:ascii="Times New Roman" w:cs="Times New Roman" w:eastAsia="Times New Roman" w:hAnsi="Times New Roman"/>
                  <w:sz w:val="18"/>
                  <w:szCs w:val="18"/>
                  <w:color w:val="215E9E"/>
                </w:rPr>
                <w:t>stockholders** (incorporated by reference to Exhibit 10.10 to the Registrant’s Amendment No. 1 to</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215E9E"/>
          </w:tcPr>
          <w:p>
            <w:pPr>
              <w:spacing w:after="0" w:line="20" w:lineRule="exact"/>
              <w:rPr>
                <w:sz w:val="1"/>
                <w:szCs w:val="1"/>
                <w:color w:val="auto"/>
              </w:rPr>
            </w:pPr>
          </w:p>
        </w:tc>
        <w:tc>
          <w:tcPr>
            <w:tcW w:w="1960" w:type="dxa"/>
            <w:vAlign w:val="bottom"/>
            <w:gridSpan w:val="2"/>
            <w:shd w:val="clear" w:color="auto" w:fill="215E9E"/>
          </w:tcPr>
          <w:p>
            <w:pPr>
              <w:spacing w:after="0" w:line="20" w:lineRule="exact"/>
              <w:rPr>
                <w:sz w:val="1"/>
                <w:szCs w:val="1"/>
                <w:color w:val="auto"/>
              </w:rPr>
            </w:pPr>
          </w:p>
        </w:tc>
        <w:tc>
          <w:tcPr>
            <w:tcW w:w="1820" w:type="dxa"/>
            <w:vAlign w:val="bottom"/>
            <w:gridSpan w:val="4"/>
            <w:shd w:val="clear" w:color="auto" w:fill="215E9E"/>
          </w:tcPr>
          <w:p>
            <w:pPr>
              <w:spacing w:after="0" w:line="20" w:lineRule="exact"/>
              <w:rPr>
                <w:sz w:val="1"/>
                <w:szCs w:val="1"/>
                <w:color w:val="auto"/>
              </w:rPr>
            </w:pPr>
          </w:p>
        </w:tc>
        <w:tc>
          <w:tcPr>
            <w:tcW w:w="2000" w:type="dxa"/>
            <w:vAlign w:val="bottom"/>
            <w:gridSpan w:val="5"/>
            <w:shd w:val="clear" w:color="auto" w:fill="215E9E"/>
          </w:tcPr>
          <w:p>
            <w:pPr>
              <w:spacing w:after="0" w:line="20" w:lineRule="exact"/>
              <w:rPr>
                <w:sz w:val="1"/>
                <w:szCs w:val="1"/>
                <w:color w:val="auto"/>
              </w:rPr>
            </w:pPr>
          </w:p>
        </w:tc>
        <w:tc>
          <w:tcPr>
            <w:tcW w:w="80" w:type="dxa"/>
            <w:vAlign w:val="bottom"/>
            <w:tcBorders>
              <w:right w:val="single" w:sz="8" w:color="215E9E"/>
            </w:tcBorders>
            <w:gridSpan w:val="3"/>
            <w:shd w:val="clear" w:color="auto" w:fill="215E9E"/>
          </w:tcPr>
          <w:p>
            <w:pPr>
              <w:spacing w:after="0" w:line="20" w:lineRule="exact"/>
              <w:rPr>
                <w:sz w:val="1"/>
                <w:szCs w:val="1"/>
                <w:color w:val="auto"/>
              </w:rPr>
            </w:pPr>
          </w:p>
        </w:tc>
        <w:tc>
          <w:tcPr>
            <w:tcW w:w="260" w:type="dxa"/>
            <w:vAlign w:val="bottom"/>
            <w:tcBorders>
              <w:left w:val="single" w:sz="8" w:color="215E9E"/>
            </w:tcBorders>
            <w:gridSpan w:val="3"/>
            <w:shd w:val="clear" w:color="auto" w:fill="215E9E"/>
          </w:tcPr>
          <w:p>
            <w:pPr>
              <w:spacing w:after="0" w:line="20" w:lineRule="exact"/>
              <w:rPr>
                <w:sz w:val="1"/>
                <w:szCs w:val="1"/>
                <w:color w:val="auto"/>
              </w:rPr>
            </w:pPr>
          </w:p>
        </w:tc>
        <w:tc>
          <w:tcPr>
            <w:tcW w:w="140" w:type="dxa"/>
            <w:vAlign w:val="bottom"/>
            <w:tcBorders>
              <w:right w:val="single" w:sz="8" w:color="215E9E"/>
            </w:tcBorders>
            <w:shd w:val="clear" w:color="auto" w:fill="215E9E"/>
          </w:tcPr>
          <w:p>
            <w:pPr>
              <w:spacing w:after="0" w:line="20" w:lineRule="exact"/>
              <w:rPr>
                <w:sz w:val="1"/>
                <w:szCs w:val="1"/>
                <w:color w:val="auto"/>
              </w:rPr>
            </w:pPr>
          </w:p>
        </w:tc>
        <w:tc>
          <w:tcPr>
            <w:tcW w:w="20" w:type="dxa"/>
            <w:vAlign w:val="bottom"/>
            <w:shd w:val="clear" w:color="auto" w:fill="215E9E"/>
          </w:tcPr>
          <w:p>
            <w:pPr>
              <w:spacing w:after="0" w:line="20" w:lineRule="exact"/>
              <w:rPr>
                <w:sz w:val="1"/>
                <w:szCs w:val="1"/>
                <w:color w:val="auto"/>
              </w:rPr>
            </w:pPr>
          </w:p>
        </w:tc>
        <w:tc>
          <w:tcPr>
            <w:tcW w:w="200" w:type="dxa"/>
            <w:vAlign w:val="bottom"/>
            <w:gridSpan w:val="9"/>
            <w:shd w:val="clear" w:color="auto" w:fill="215E9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0" w:type="dxa"/>
            <w:vAlign w:val="bottom"/>
            <w:tcBorders>
              <w:bottom w:val="single" w:sz="8" w:color="215E9E"/>
            </w:tcBorders>
            <w:gridSpan w:val="31"/>
          </w:tcPr>
          <w:p>
            <w:pPr>
              <w:spacing w:after="0" w:line="196" w:lineRule="exact"/>
              <w:rPr>
                <w:rFonts w:ascii="Times New Roman" w:cs="Times New Roman" w:eastAsia="Times New Roman" w:hAnsi="Times New Roman"/>
                <w:sz w:val="18"/>
                <w:szCs w:val="18"/>
                <w:color w:val="215E9E"/>
                <w:w w:val="99"/>
              </w:rPr>
            </w:pPr>
            <w:hyperlink r:id="rId296">
              <w:r>
                <w:rPr>
                  <w:rFonts w:ascii="Times New Roman" w:cs="Times New Roman" w:eastAsia="Times New Roman" w:hAnsi="Times New Roman"/>
                  <w:sz w:val="18"/>
                  <w:szCs w:val="18"/>
                  <w:color w:val="215E9E"/>
                  <w:w w:val="99"/>
                </w:rPr>
                <w:t>Registration Statement on Form S-1 filed with the Securities and Exchange Commission on January</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540" w:type="dxa"/>
            <w:vAlign w:val="bottom"/>
            <w:gridSpan w:val="4"/>
          </w:tcPr>
          <w:p>
            <w:pPr>
              <w:ind w:left="80"/>
              <w:spacing w:after="0" w:line="196" w:lineRule="exact"/>
              <w:rPr>
                <w:rFonts w:ascii="Times New Roman" w:cs="Times New Roman" w:eastAsia="Times New Roman" w:hAnsi="Times New Roman"/>
                <w:sz w:val="18"/>
                <w:szCs w:val="18"/>
                <w:color w:val="215E9E"/>
              </w:rPr>
            </w:pPr>
            <w:hyperlink r:id="rId296">
              <w:r>
                <w:rPr>
                  <w:rFonts w:ascii="Times New Roman" w:cs="Times New Roman" w:eastAsia="Times New Roman" w:hAnsi="Times New Roman"/>
                  <w:sz w:val="18"/>
                  <w:szCs w:val="18"/>
                  <w:color w:val="215E9E"/>
                </w:rPr>
                <w:t>13, 2021)</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1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Borders>
              <w:bottom w:val="single" w:sz="8" w:color="CCEEFF"/>
            </w:tcBorders>
            <w:shd w:val="clear" w:color="auto" w:fill="CCEEFF"/>
          </w:tcPr>
          <w:p>
            <w:pPr>
              <w:spacing w:after="0"/>
              <w:rPr>
                <w:sz w:val="15"/>
                <w:szCs w:val="15"/>
                <w:color w:val="auto"/>
              </w:rPr>
            </w:pPr>
          </w:p>
        </w:tc>
        <w:tc>
          <w:tcPr>
            <w:tcW w:w="6460" w:type="dxa"/>
            <w:vAlign w:val="bottom"/>
            <w:tcBorders>
              <w:bottom w:val="single" w:sz="8" w:color="215E9E"/>
            </w:tcBorders>
            <w:gridSpan w:val="13"/>
            <w:shd w:val="clear" w:color="auto" w:fill="CCEEFF"/>
          </w:tcPr>
          <w:p>
            <w:pPr>
              <w:spacing w:after="0" w:line="176" w:lineRule="exact"/>
              <w:rPr>
                <w:rFonts w:ascii="Times New Roman" w:cs="Times New Roman" w:eastAsia="Times New Roman" w:hAnsi="Times New Roman"/>
                <w:sz w:val="18"/>
                <w:szCs w:val="18"/>
                <w:color w:val="215E9E"/>
                <w:w w:val="99"/>
              </w:rPr>
            </w:pPr>
            <w:hyperlink r:id="rId297">
              <w:r>
                <w:rPr>
                  <w:rFonts w:ascii="Times New Roman" w:cs="Times New Roman" w:eastAsia="Times New Roman" w:hAnsi="Times New Roman"/>
                  <w:sz w:val="18"/>
                  <w:szCs w:val="18"/>
                  <w:color w:val="215E9E"/>
                  <w:w w:val="99"/>
                </w:rPr>
                <w:t>2020 Omnibus Equity Incentive Plan** (incorporated by reference to Exhibit 10.13 to the</w:t>
              </w:r>
            </w:hyperlink>
          </w:p>
        </w:tc>
        <w:tc>
          <w:tcPr>
            <w:tcW w:w="760" w:type="dxa"/>
            <w:vAlign w:val="bottom"/>
            <w:tcBorders>
              <w:bottom w:val="single" w:sz="8" w:color="CCEEFF"/>
            </w:tcBorders>
            <w:gridSpan w:val="19"/>
            <w:shd w:val="clear" w:color="auto" w:fill="CCEEFF"/>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215E9E"/>
            </w:tcBorders>
            <w:gridSpan w:val="11"/>
            <w:shd w:val="clear" w:color="auto" w:fill="CCEEFF"/>
          </w:tcPr>
          <w:p>
            <w:pPr>
              <w:spacing w:after="0" w:line="196" w:lineRule="exact"/>
              <w:rPr>
                <w:rFonts w:ascii="Times New Roman" w:cs="Times New Roman" w:eastAsia="Times New Roman" w:hAnsi="Times New Roman"/>
                <w:sz w:val="18"/>
                <w:szCs w:val="18"/>
                <w:color w:val="215E9E"/>
                <w:w w:val="99"/>
              </w:rPr>
            </w:pPr>
            <w:hyperlink r:id="rId297">
              <w:r>
                <w:rPr>
                  <w:rFonts w:ascii="Times New Roman" w:cs="Times New Roman" w:eastAsia="Times New Roman" w:hAnsi="Times New Roman"/>
                  <w:sz w:val="18"/>
                  <w:szCs w:val="18"/>
                  <w:color w:val="215E9E"/>
                  <w:w w:val="99"/>
                </w:rPr>
                <w:t>Registrant’s Registration Statement on Form S-1 filed with the Securities and Exchange</w:t>
              </w:r>
            </w:hyperlink>
          </w:p>
        </w:tc>
        <w:tc>
          <w:tcPr>
            <w:tcW w:w="900" w:type="dxa"/>
            <w:vAlign w:val="bottom"/>
            <w:tcBorders>
              <w:bottom w:val="single" w:sz="8" w:color="CCEEFF"/>
            </w:tcBorders>
            <w:gridSpan w:val="21"/>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97">
              <w:r>
                <w:rPr>
                  <w:rFonts w:ascii="Times New Roman" w:cs="Times New Roman" w:eastAsia="Times New Roman" w:hAnsi="Times New Roman"/>
                  <w:sz w:val="18"/>
                  <w:szCs w:val="18"/>
                  <w:color w:val="215E9E"/>
                </w:rPr>
                <w:t>Commission on December 22, 2020)</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5"/>
                <w:szCs w:val="15"/>
                <w:color w:val="auto"/>
              </w:rPr>
            </w:pPr>
          </w:p>
        </w:tc>
        <w:tc>
          <w:tcPr>
            <w:tcW w:w="7220" w:type="dxa"/>
            <w:vAlign w:val="bottom"/>
            <w:gridSpan w:val="32"/>
          </w:tcPr>
          <w:p>
            <w:pPr>
              <w:spacing w:after="0" w:line="176" w:lineRule="exact"/>
              <w:rPr>
                <w:rFonts w:ascii="Times New Roman" w:cs="Times New Roman" w:eastAsia="Times New Roman" w:hAnsi="Times New Roman"/>
                <w:sz w:val="18"/>
                <w:szCs w:val="18"/>
                <w:color w:val="215E9E"/>
              </w:rPr>
            </w:pPr>
            <w:hyperlink r:id="rId298">
              <w:r>
                <w:rPr>
                  <w:rFonts w:ascii="Times New Roman" w:cs="Times New Roman" w:eastAsia="Times New Roman" w:hAnsi="Times New Roman"/>
                  <w:sz w:val="18"/>
                  <w:szCs w:val="18"/>
                  <w:color w:val="215E9E"/>
                </w:rPr>
                <w:t>Form of Note and Warrant Purchase Agreement** (incorporated by reference to Exhibit 10.14 to</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Borders>
              <w:top w:val="single" w:sz="8" w:color="215E9E"/>
              <w:bottom w:val="single" w:sz="8" w:color="215E9E"/>
            </w:tcBorders>
            <w:gridSpan w:val="16"/>
          </w:tcPr>
          <w:p>
            <w:pPr>
              <w:spacing w:after="0" w:line="196" w:lineRule="exact"/>
              <w:rPr>
                <w:rFonts w:ascii="Times New Roman" w:cs="Times New Roman" w:eastAsia="Times New Roman" w:hAnsi="Times New Roman"/>
                <w:sz w:val="18"/>
                <w:szCs w:val="18"/>
                <w:color w:val="215E9E"/>
                <w:w w:val="98"/>
              </w:rPr>
            </w:pPr>
            <w:hyperlink r:id="rId298">
              <w:r>
                <w:rPr>
                  <w:rFonts w:ascii="Times New Roman" w:cs="Times New Roman" w:eastAsia="Times New Roman" w:hAnsi="Times New Roman"/>
                  <w:sz w:val="18"/>
                  <w:szCs w:val="18"/>
                  <w:color w:val="215E9E"/>
                  <w:w w:val="98"/>
                </w:rPr>
                <w:t>the Registrant’s Registration Statement on Form S-1 filed with the Securities and Exchange</w:t>
              </w:r>
            </w:hyperlink>
          </w:p>
        </w:tc>
        <w:tc>
          <w:tcPr>
            <w:tcW w:w="420" w:type="dxa"/>
            <w:vAlign w:val="bottom"/>
            <w:tcBorders>
              <w:top w:val="single" w:sz="8" w:color="215E9E"/>
            </w:tcBorders>
            <w:gridSpan w:val="5"/>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215E9E"/>
              </w:rPr>
            </w:pPr>
            <w:hyperlink r:id="rId298">
              <w:r>
                <w:rPr>
                  <w:rFonts w:ascii="Times New Roman" w:cs="Times New Roman" w:eastAsia="Times New Roman" w:hAnsi="Times New Roman"/>
                  <w:sz w:val="18"/>
                  <w:szCs w:val="18"/>
                  <w:color w:val="215E9E"/>
                </w:rPr>
                <w:t>Commission on December 22, 2020)</w:t>
              </w:r>
            </w:hyperlink>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215E9E"/>
            </w:tcBorders>
          </w:tcPr>
          <w:p>
            <w:pPr>
              <w:spacing w:after="0"/>
              <w:rPr>
                <w:sz w:val="5"/>
                <w:szCs w:val="5"/>
                <w:color w:val="auto"/>
              </w:rPr>
            </w:pPr>
          </w:p>
        </w:tc>
        <w:tc>
          <w:tcPr>
            <w:tcW w:w="1780" w:type="dxa"/>
            <w:vAlign w:val="bottom"/>
            <w:tcBorders>
              <w:top w:val="single" w:sz="8" w:color="215E9E"/>
            </w:tcBorders>
          </w:tcPr>
          <w:p>
            <w:pPr>
              <w:spacing w:after="0"/>
              <w:rPr>
                <w:sz w:val="5"/>
                <w:szCs w:val="5"/>
                <w:color w:val="auto"/>
              </w:rPr>
            </w:pPr>
          </w:p>
        </w:tc>
        <w:tc>
          <w:tcPr>
            <w:tcW w:w="180" w:type="dxa"/>
            <w:vAlign w:val="bottom"/>
            <w:tcBorders>
              <w:top w:val="single" w:sz="8" w:color="215E9E"/>
            </w:tcBorders>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5"/>
                <w:szCs w:val="15"/>
                <w:color w:val="auto"/>
              </w:rPr>
            </w:pPr>
          </w:p>
        </w:tc>
        <w:tc>
          <w:tcPr>
            <w:tcW w:w="7220" w:type="dxa"/>
            <w:vAlign w:val="bottom"/>
            <w:gridSpan w:val="32"/>
            <w:shd w:val="clear" w:color="auto" w:fill="CCEEFF"/>
          </w:tcPr>
          <w:p>
            <w:pPr>
              <w:spacing w:after="0" w:line="176" w:lineRule="exact"/>
              <w:rPr>
                <w:rFonts w:ascii="Times New Roman" w:cs="Times New Roman" w:eastAsia="Times New Roman" w:hAnsi="Times New Roman"/>
                <w:sz w:val="18"/>
                <w:szCs w:val="18"/>
                <w:color w:val="215E9E"/>
              </w:rPr>
            </w:pPr>
            <w:hyperlink r:id="rId299">
              <w:r>
                <w:rPr>
                  <w:rFonts w:ascii="Times New Roman" w:cs="Times New Roman" w:eastAsia="Times New Roman" w:hAnsi="Times New Roman"/>
                  <w:sz w:val="18"/>
                  <w:szCs w:val="18"/>
                  <w:color w:val="215E9E"/>
                </w:rPr>
                <w:t>Form of Convertible Promissory Note** (incorporated by reference to Exhibit 10.13 to the</w:t>
              </w:r>
            </w:hyperlink>
          </w:p>
        </w:tc>
      </w:tr>
      <w:tr>
        <w:trPr>
          <w:trHeight w:val="20"/>
        </w:trPr>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60" w:type="dxa"/>
            <w:vAlign w:val="bottom"/>
            <w:gridSpan w:val="8"/>
            <w:shd w:val="clear" w:color="auto" w:fill="215E9E"/>
          </w:tcPr>
          <w:p>
            <w:pPr>
              <w:spacing w:after="0" w:line="20" w:lineRule="exact"/>
              <w:rPr>
                <w:sz w:val="1"/>
                <w:szCs w:val="1"/>
                <w:color w:val="auto"/>
              </w:rPr>
            </w:pPr>
          </w:p>
        </w:tc>
        <w:tc>
          <w:tcPr>
            <w:tcW w:w="2080" w:type="dxa"/>
            <w:vAlign w:val="bottom"/>
            <w:tcBorders>
              <w:right w:val="single" w:sz="8" w:color="CCEEFF"/>
            </w:tcBorders>
            <w:gridSpan w:val="8"/>
            <w:shd w:val="clear" w:color="auto" w:fill="215E9E"/>
          </w:tcPr>
          <w:p>
            <w:pPr>
              <w:spacing w:after="0" w:line="20" w:lineRule="exact"/>
              <w:rPr>
                <w:sz w:val="1"/>
                <w:szCs w:val="1"/>
                <w:color w:val="auto"/>
              </w:rPr>
            </w:pPr>
          </w:p>
        </w:tc>
        <w:tc>
          <w:tcPr>
            <w:tcW w:w="260" w:type="dxa"/>
            <w:vAlign w:val="bottom"/>
            <w:tcBorders>
              <w:left w:val="single" w:sz="8" w:color="CCEEFF"/>
            </w:tcBorders>
            <w:gridSpan w:val="3"/>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12"/>
            <w:shd w:val="clear" w:color="auto" w:fill="CCEEFF"/>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32"/>
            <w:shd w:val="clear" w:color="auto" w:fill="CCEEFF"/>
          </w:tcPr>
          <w:p>
            <w:pPr>
              <w:spacing w:after="0" w:line="196" w:lineRule="exact"/>
              <w:rPr>
                <w:rFonts w:ascii="Times New Roman" w:cs="Times New Roman" w:eastAsia="Times New Roman" w:hAnsi="Times New Roman"/>
                <w:sz w:val="18"/>
                <w:szCs w:val="18"/>
                <w:color w:val="215E9E"/>
              </w:rPr>
            </w:pPr>
            <w:hyperlink r:id="rId299">
              <w:r>
                <w:rPr>
                  <w:rFonts w:ascii="Times New Roman" w:cs="Times New Roman" w:eastAsia="Times New Roman" w:hAnsi="Times New Roman"/>
                  <w:sz w:val="18"/>
                  <w:szCs w:val="18"/>
                  <w:color w:val="215E9E"/>
                </w:rPr>
                <w:t>Registrant’s Amendment No. 1 to Registration Statement on Form S-1 filed with the Securities and</w:t>
              </w:r>
            </w:hyperlink>
          </w:p>
        </w:tc>
      </w:tr>
      <w:tr>
        <w:trPr>
          <w:trHeight w:val="196"/>
        </w:trPr>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215E9E"/>
            </w:tcBorders>
            <w:gridSpan w:val="28"/>
            <w:shd w:val="clear" w:color="auto" w:fill="CCEEFF"/>
          </w:tcPr>
          <w:p>
            <w:pPr>
              <w:spacing w:after="0" w:line="196" w:lineRule="exact"/>
              <w:rPr>
                <w:rFonts w:ascii="Times New Roman" w:cs="Times New Roman" w:eastAsia="Times New Roman" w:hAnsi="Times New Roman"/>
                <w:sz w:val="18"/>
                <w:szCs w:val="18"/>
                <w:color w:val="215E9E"/>
              </w:rPr>
            </w:pPr>
            <w:hyperlink r:id="rId299">
              <w:r>
                <w:rPr>
                  <w:rFonts w:ascii="Times New Roman" w:cs="Times New Roman" w:eastAsia="Times New Roman" w:hAnsi="Times New Roman"/>
                  <w:sz w:val="18"/>
                  <w:szCs w:val="18"/>
                  <w:color w:val="215E9E"/>
                </w:rPr>
                <w:t>Exchange Commission on January 13, 2021)</w:t>
              </w:r>
            </w:hyperlink>
          </w:p>
        </w:tc>
        <w:tc>
          <w:tcPr>
            <w:tcW w:w="100" w:type="dxa"/>
            <w:vAlign w:val="bottom"/>
            <w:tcBorders>
              <w:top w:val="single" w:sz="8" w:color="CCEEFF"/>
            </w:tcBorders>
            <w:gridSpan w:val="4"/>
            <w:shd w:val="clear" w:color="auto" w:fill="CCEEFF"/>
          </w:tcPr>
          <w:p>
            <w:pPr>
              <w:spacing w:after="0"/>
              <w:rPr>
                <w:sz w:val="17"/>
                <w:szCs w:val="17"/>
                <w:color w:val="auto"/>
              </w:rPr>
            </w:pPr>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215E9E"/>
            </w:tcBorders>
            <w:shd w:val="clear" w:color="auto" w:fill="CCEEFF"/>
          </w:tcPr>
          <w:p>
            <w:pPr>
              <w:spacing w:after="0"/>
              <w:rPr>
                <w:sz w:val="5"/>
                <w:szCs w:val="5"/>
                <w:color w:val="auto"/>
              </w:rPr>
            </w:pPr>
          </w:p>
        </w:tc>
        <w:tc>
          <w:tcPr>
            <w:tcW w:w="17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215E9E"/>
            </w:tcBorders>
            <w:shd w:val="clear" w:color="auto" w:fill="CCEEFF"/>
          </w:tcPr>
          <w:p>
            <w:pPr>
              <w:spacing w:after="0"/>
              <w:rPr>
                <w:sz w:val="5"/>
                <w:szCs w:val="5"/>
                <w:color w:val="auto"/>
              </w:rPr>
            </w:pPr>
          </w:p>
        </w:tc>
        <w:tc>
          <w:tcPr>
            <w:tcW w:w="580" w:type="dxa"/>
            <w:vAlign w:val="bottom"/>
            <w:tcBorders>
              <w:top w:val="single" w:sz="8" w:color="215E9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5"/>
                <w:szCs w:val="15"/>
                <w:color w:val="auto"/>
              </w:rPr>
            </w:pPr>
          </w:p>
        </w:tc>
        <w:tc>
          <w:tcPr>
            <w:tcW w:w="6800" w:type="dxa"/>
            <w:vAlign w:val="bottom"/>
            <w:tcBorders>
              <w:bottom w:val="single" w:sz="8" w:color="215E9E"/>
            </w:tcBorders>
            <w:gridSpan w:val="19"/>
          </w:tcPr>
          <w:p>
            <w:pPr>
              <w:spacing w:after="0" w:line="176" w:lineRule="exact"/>
              <w:rPr>
                <w:rFonts w:ascii="Times New Roman" w:cs="Times New Roman" w:eastAsia="Times New Roman" w:hAnsi="Times New Roman"/>
                <w:sz w:val="18"/>
                <w:szCs w:val="18"/>
                <w:color w:val="215E9E"/>
                <w:w w:val="99"/>
              </w:rPr>
            </w:pPr>
            <w:hyperlink r:id="rId300">
              <w:r>
                <w:rPr>
                  <w:rFonts w:ascii="Times New Roman" w:cs="Times New Roman" w:eastAsia="Times New Roman" w:hAnsi="Times New Roman"/>
                  <w:sz w:val="18"/>
                  <w:szCs w:val="18"/>
                  <w:color w:val="215E9E"/>
                  <w:w w:val="99"/>
                </w:rPr>
                <w:t>Intellectual Property Assignment and Transfer Agreement by and among the Company, Agrify</w:t>
              </w:r>
            </w:hyperlink>
          </w:p>
        </w:tc>
        <w:tc>
          <w:tcPr>
            <w:tcW w:w="420" w:type="dxa"/>
            <w:vAlign w:val="bottom"/>
            <w:gridSpan w:val="13"/>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gridSpan w:val="32"/>
          </w:tcPr>
          <w:p>
            <w:pPr>
              <w:spacing w:after="0" w:line="196" w:lineRule="exact"/>
              <w:rPr>
                <w:rFonts w:ascii="Times New Roman" w:cs="Times New Roman" w:eastAsia="Times New Roman" w:hAnsi="Times New Roman"/>
                <w:sz w:val="18"/>
                <w:szCs w:val="18"/>
                <w:color w:val="215E9E"/>
              </w:rPr>
            </w:pPr>
            <w:hyperlink r:id="rId300">
              <w:r>
                <w:rPr>
                  <w:rFonts w:ascii="Times New Roman" w:cs="Times New Roman" w:eastAsia="Times New Roman" w:hAnsi="Times New Roman"/>
                  <w:sz w:val="18"/>
                  <w:szCs w:val="18"/>
                  <w:color w:val="215E9E"/>
                </w:rPr>
                <w:t>Brands, LLC and The Holden Company effective as of January 1, 2020** (incorporated by</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gridSpan w:val="8"/>
            <w:shd w:val="clear" w:color="auto" w:fill="215E9E"/>
          </w:tcPr>
          <w:p>
            <w:pPr>
              <w:spacing w:after="0" w:line="20" w:lineRule="exact"/>
              <w:rPr>
                <w:sz w:val="1"/>
                <w:szCs w:val="1"/>
                <w:color w:val="auto"/>
              </w:rPr>
            </w:pPr>
          </w:p>
        </w:tc>
        <w:tc>
          <w:tcPr>
            <w:tcW w:w="2080" w:type="dxa"/>
            <w:vAlign w:val="bottom"/>
            <w:tcBorders>
              <w:right w:val="single" w:sz="8" w:color="215E9E"/>
            </w:tcBorders>
            <w:gridSpan w:val="8"/>
            <w:shd w:val="clear" w:color="auto" w:fill="215E9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40" w:type="dxa"/>
            <w:vAlign w:val="bottom"/>
            <w:tcBorders>
              <w:bottom w:val="single" w:sz="8" w:color="215E9E"/>
            </w:tcBorders>
            <w:gridSpan w:val="20"/>
          </w:tcPr>
          <w:p>
            <w:pPr>
              <w:spacing w:after="0" w:line="196" w:lineRule="exact"/>
              <w:rPr>
                <w:rFonts w:ascii="Times New Roman" w:cs="Times New Roman" w:eastAsia="Times New Roman" w:hAnsi="Times New Roman"/>
                <w:sz w:val="18"/>
                <w:szCs w:val="18"/>
                <w:color w:val="215E9E"/>
              </w:rPr>
            </w:pPr>
            <w:hyperlink r:id="rId300">
              <w:r>
                <w:rPr>
                  <w:rFonts w:ascii="Times New Roman" w:cs="Times New Roman" w:eastAsia="Times New Roman" w:hAnsi="Times New Roman"/>
                  <w:sz w:val="18"/>
                  <w:szCs w:val="18"/>
                  <w:color w:val="215E9E"/>
                </w:rPr>
                <w:t>reference to Exhibit 10.16 to the Registrant’s Registration Statement on Form S-1 filed with the</w:t>
              </w:r>
            </w:hyperlink>
          </w:p>
        </w:tc>
        <w:tc>
          <w:tcPr>
            <w:tcW w:w="280" w:type="dxa"/>
            <w:vAlign w:val="bottom"/>
            <w:gridSpan w:val="1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60" w:type="dxa"/>
            <w:vAlign w:val="bottom"/>
            <w:tcBorders>
              <w:bottom w:val="single" w:sz="8" w:color="215E9E"/>
            </w:tcBorders>
            <w:gridSpan w:val="8"/>
          </w:tcPr>
          <w:p>
            <w:pPr>
              <w:spacing w:after="0" w:line="196" w:lineRule="exact"/>
              <w:rPr>
                <w:rFonts w:ascii="Times New Roman" w:cs="Times New Roman" w:eastAsia="Times New Roman" w:hAnsi="Times New Roman"/>
                <w:sz w:val="18"/>
                <w:szCs w:val="18"/>
                <w:color w:val="215E9E"/>
                <w:w w:val="99"/>
              </w:rPr>
            </w:pPr>
            <w:hyperlink r:id="rId300">
              <w:r>
                <w:rPr>
                  <w:rFonts w:ascii="Times New Roman" w:cs="Times New Roman" w:eastAsia="Times New Roman" w:hAnsi="Times New Roman"/>
                  <w:sz w:val="18"/>
                  <w:szCs w:val="18"/>
                  <w:color w:val="215E9E"/>
                  <w:w w:val="99"/>
                </w:rPr>
                <w:t>Securities and Exchange Commission on December 22, 2020)</w:t>
              </w:r>
            </w:hyperlink>
          </w:p>
        </w:tc>
        <w:tc>
          <w:tcPr>
            <w:tcW w:w="2760" w:type="dxa"/>
            <w:vAlign w:val="bottom"/>
            <w:gridSpan w:val="24"/>
          </w:tcPr>
          <w:p>
            <w:pPr>
              <w:spacing w:after="0"/>
              <w:rPr>
                <w:sz w:val="17"/>
                <w:szCs w:val="17"/>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tabs>
          <w:tab w:leader="none" w:pos="452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70" w:lineRule="exact"/>
        <w:rPr>
          <w:sz w:val="20"/>
          <w:szCs w:val="20"/>
          <w:color w:val="auto"/>
        </w:rPr>
      </w:pPr>
    </w:p>
    <w:p>
      <w:pPr>
        <w:ind w:left="1340" w:right="479" w:hanging="876"/>
        <w:spacing w:after="0" w:line="261" w:lineRule="auto"/>
        <w:tabs>
          <w:tab w:leader="none" w:pos="1320" w:val="left"/>
        </w:tabs>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color w:val="auto"/>
        </w:rPr>
        <w:t>10.15</w:t>
      </w:r>
      <w:r>
        <w:rPr>
          <w:sz w:val="20"/>
          <w:szCs w:val="20"/>
          <w:color w:val="auto"/>
        </w:rPr>
        <w:tab/>
      </w:r>
      <w:hyperlink r:id="rId302">
        <w:r>
          <w:rPr>
            <w:rFonts w:ascii="Times New Roman" w:cs="Times New Roman" w:eastAsia="Times New Roman" w:hAnsi="Times New Roman"/>
            <w:sz w:val="18"/>
            <w:szCs w:val="18"/>
            <w:u w:val="single" w:color="auto"/>
            <w:color w:val="215E9E"/>
          </w:rPr>
          <w:t>Supply Agreement by and among the Company and Mack Molding Co. dated December 7,</w:t>
        </w:r>
      </w:hyperlink>
      <w:r>
        <w:rPr>
          <w:rFonts w:ascii="Times New Roman" w:cs="Times New Roman" w:eastAsia="Times New Roman" w:hAnsi="Times New Roman"/>
          <w:sz w:val="18"/>
          <w:szCs w:val="18"/>
          <w:u w:val="single" w:color="auto"/>
          <w:color w:val="215E9E"/>
        </w:rPr>
        <w:t xml:space="preserve"> </w:t>
      </w:r>
      <w:hyperlink r:id="rId302">
        <w:r>
          <w:rPr>
            <w:rFonts w:ascii="Times New Roman" w:cs="Times New Roman" w:eastAsia="Times New Roman" w:hAnsi="Times New Roman"/>
            <w:sz w:val="18"/>
            <w:szCs w:val="18"/>
            <w:u w:val="single" w:color="auto"/>
            <w:color w:val="215E9E"/>
          </w:rPr>
          <w:t>2020±** (incorporated by reference to Exhibit 10.15 to the Registrant’s Amendment No. 1 to</w:t>
        </w:r>
      </w:hyperlink>
      <w:r>
        <w:rPr>
          <w:rFonts w:ascii="Times New Roman" w:cs="Times New Roman" w:eastAsia="Times New Roman" w:hAnsi="Times New Roman"/>
          <w:sz w:val="18"/>
          <w:szCs w:val="18"/>
          <w:u w:val="single" w:color="auto"/>
          <w:color w:val="215E9E"/>
        </w:rPr>
        <w:t xml:space="preserve"> </w:t>
      </w:r>
      <w:hyperlink r:id="rId302">
        <w:r>
          <w:rPr>
            <w:rFonts w:ascii="Times New Roman" w:cs="Times New Roman" w:eastAsia="Times New Roman" w:hAnsi="Times New Roman"/>
            <w:sz w:val="18"/>
            <w:szCs w:val="18"/>
            <w:u w:val="single" w:color="auto"/>
            <w:color w:val="215E9E"/>
          </w:rPr>
          <w:t>Registration Statement on Form S-1 filed with the Securities and Exchange Commission on January</w:t>
        </w:r>
      </w:hyperlink>
      <w:r>
        <w:rPr>
          <w:rFonts w:ascii="Times New Roman" w:cs="Times New Roman" w:eastAsia="Times New Roman" w:hAnsi="Times New Roman"/>
          <w:sz w:val="18"/>
          <w:szCs w:val="18"/>
          <w:u w:val="single" w:color="auto"/>
          <w:color w:val="215E9E"/>
        </w:rPr>
        <w:t xml:space="preserve"> </w:t>
      </w:r>
      <w:hyperlink r:id="rId302">
        <w:r>
          <w:rPr>
            <w:rFonts w:ascii="Times New Roman" w:cs="Times New Roman" w:eastAsia="Times New Roman" w:hAnsi="Times New Roman"/>
            <w:sz w:val="18"/>
            <w:szCs w:val="18"/>
            <w:u w:val="single" w:color="auto"/>
            <w:color w:val="215E9E"/>
          </w:rPr>
          <w:t>13, 2021)</w:t>
        </w:r>
      </w:hyperlink>
    </w:p>
    <w:p>
      <w:pPr>
        <w:spacing w:after="0" w:line="20" w:lineRule="exact"/>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u w:val="single" w:color="auto"/>
          <w:color w:val="215E9E"/>
        </w:rPr>
        <w:drawing>
          <wp:anchor simplePos="0" relativeHeight="251657728" behindDoc="1" locked="0" layoutInCell="0" allowOverlap="1">
            <wp:simplePos x="0" y="0"/>
            <wp:positionH relativeFrom="column">
              <wp:posOffset>288290</wp:posOffset>
            </wp:positionH>
            <wp:positionV relativeFrom="paragraph">
              <wp:posOffset>-568325</wp:posOffset>
            </wp:positionV>
            <wp:extent cx="5143500" cy="5829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5143500" cy="582930"/>
                    </a:xfrm>
                    <a:prstGeom prst="rect">
                      <a:avLst/>
                    </a:prstGeom>
                    <a:noFill/>
                  </pic:spPr>
                </pic:pic>
              </a:graphicData>
            </a:graphic>
          </wp:anchor>
        </w:drawing>
      </w:r>
    </w:p>
    <w:p>
      <w:pPr>
        <w:jc w:val="both"/>
        <w:ind w:left="1340" w:right="719" w:hanging="876"/>
        <w:spacing w:after="0" w:line="266" w:lineRule="auto"/>
        <w:tabs>
          <w:tab w:leader="none" w:pos="1320" w:val="left"/>
        </w:tabs>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color w:val="auto"/>
        </w:rPr>
        <w:t>10.16</w:t>
      </w:r>
      <w:r>
        <w:rPr>
          <w:sz w:val="20"/>
          <w:szCs w:val="20"/>
          <w:color w:val="auto"/>
        </w:rPr>
        <w:tab/>
      </w:r>
      <w:hyperlink r:id="rId304">
        <w:r>
          <w:rPr>
            <w:rFonts w:ascii="Times New Roman" w:cs="Times New Roman" w:eastAsia="Times New Roman" w:hAnsi="Times New Roman"/>
            <w:sz w:val="18"/>
            <w:szCs w:val="18"/>
            <w:u w:val="single" w:color="auto"/>
            <w:color w:val="215E9E"/>
          </w:rPr>
          <w:t>Amended and Restated Operating Agreement of Agrify Brands, LLC effective as of August 12,</w:t>
        </w:r>
      </w:hyperlink>
      <w:r>
        <w:rPr>
          <w:rFonts w:ascii="Times New Roman" w:cs="Times New Roman" w:eastAsia="Times New Roman" w:hAnsi="Times New Roman"/>
          <w:sz w:val="18"/>
          <w:szCs w:val="18"/>
          <w:u w:val="single" w:color="auto"/>
          <w:color w:val="215E9E"/>
        </w:rPr>
        <w:t xml:space="preserve"> </w:t>
      </w:r>
      <w:hyperlink r:id="rId304">
        <w:r>
          <w:rPr>
            <w:rFonts w:ascii="Times New Roman" w:cs="Times New Roman" w:eastAsia="Times New Roman" w:hAnsi="Times New Roman"/>
            <w:sz w:val="18"/>
            <w:szCs w:val="18"/>
            <w:u w:val="single" w:color="auto"/>
            <w:color w:val="215E9E"/>
          </w:rPr>
          <w:t>2020** (incorporated by reference to Exhibit 10.18 to the Registrant’s Registration Statement on</w:t>
        </w:r>
      </w:hyperlink>
      <w:r>
        <w:rPr>
          <w:rFonts w:ascii="Times New Roman" w:cs="Times New Roman" w:eastAsia="Times New Roman" w:hAnsi="Times New Roman"/>
          <w:sz w:val="18"/>
          <w:szCs w:val="18"/>
          <w:u w:val="single" w:color="auto"/>
          <w:color w:val="215E9E"/>
        </w:rPr>
        <w:t xml:space="preserve"> </w:t>
      </w:r>
      <w:hyperlink r:id="rId304">
        <w:r>
          <w:rPr>
            <w:rFonts w:ascii="Times New Roman" w:cs="Times New Roman" w:eastAsia="Times New Roman" w:hAnsi="Times New Roman"/>
            <w:sz w:val="18"/>
            <w:szCs w:val="18"/>
            <w:u w:val="single" w:color="auto"/>
            <w:color w:val="215E9E"/>
          </w:rPr>
          <w:t>Form S-1 filed with the Securities and Exchange Commission on December 22, 2020)</w:t>
        </w:r>
      </w:hyperlink>
    </w:p>
    <w:p>
      <w:pPr>
        <w:ind w:left="460"/>
        <w:spacing w:after="0"/>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w:anchor="page188">
        <w:r>
          <w:rPr>
            <w:rFonts w:ascii="Times New Roman" w:cs="Times New Roman" w:eastAsia="Times New Roman" w:hAnsi="Times New Roman"/>
            <w:sz w:val="17"/>
            <w:szCs w:val="17"/>
            <w:u w:val="single" w:color="auto"/>
            <w:color w:val="0000EE"/>
          </w:rPr>
          <w:t>Employment Agreement of Niv Krikov</w:t>
        </w:r>
      </w:hyperlink>
    </w:p>
    <w:p>
      <w:pPr>
        <w:spacing w:after="0" w:line="20" w:lineRule="exact"/>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u w:val="single" w:color="auto"/>
          <w:color w:val="215E9E"/>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215E9E"/>
        </w:rPr>
      </w:pPr>
    </w:p>
    <w:p>
      <w:pPr>
        <w:ind w:left="1340" w:right="659" w:hanging="876"/>
        <w:spacing w:after="0" w:line="266" w:lineRule="auto"/>
        <w:tabs>
          <w:tab w:leader="none" w:pos="1320" w:val="left"/>
        </w:tabs>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color w:val="auto"/>
        </w:rPr>
        <w:t>14.1</w:t>
      </w:r>
      <w:r>
        <w:rPr>
          <w:sz w:val="20"/>
          <w:szCs w:val="20"/>
          <w:color w:val="auto"/>
        </w:rPr>
        <w:tab/>
      </w:r>
      <w:hyperlink r:id="rId306">
        <w:r>
          <w:rPr>
            <w:rFonts w:ascii="Times New Roman" w:cs="Times New Roman" w:eastAsia="Times New Roman" w:hAnsi="Times New Roman"/>
            <w:sz w:val="18"/>
            <w:szCs w:val="18"/>
            <w:u w:val="single" w:color="auto"/>
            <w:color w:val="215E9E"/>
          </w:rPr>
          <w:t>Code of Ethics of Agrify Corporation Applicable To Directors, Officers And Employees**</w:t>
        </w:r>
      </w:hyperlink>
      <w:r>
        <w:rPr>
          <w:rFonts w:ascii="Times New Roman" w:cs="Times New Roman" w:eastAsia="Times New Roman" w:hAnsi="Times New Roman"/>
          <w:sz w:val="18"/>
          <w:szCs w:val="18"/>
          <w:u w:val="single" w:color="auto"/>
          <w:color w:val="215E9E"/>
        </w:rPr>
        <w:t xml:space="preserve"> </w:t>
      </w:r>
      <w:hyperlink r:id="rId306">
        <w:r>
          <w:rPr>
            <w:rFonts w:ascii="Times New Roman" w:cs="Times New Roman" w:eastAsia="Times New Roman" w:hAnsi="Times New Roman"/>
            <w:sz w:val="18"/>
            <w:szCs w:val="18"/>
            <w:u w:val="single" w:color="auto"/>
            <w:color w:val="215E9E"/>
          </w:rPr>
          <w:t>(incorporated by reference to Exhibit 14.1 to the Registrant’s Registration Statement on Form S-1</w:t>
        </w:r>
      </w:hyperlink>
      <w:r>
        <w:rPr>
          <w:rFonts w:ascii="Times New Roman" w:cs="Times New Roman" w:eastAsia="Times New Roman" w:hAnsi="Times New Roman"/>
          <w:sz w:val="18"/>
          <w:szCs w:val="18"/>
          <w:u w:val="single" w:color="auto"/>
          <w:color w:val="215E9E"/>
        </w:rPr>
        <w:t xml:space="preserve"> </w:t>
      </w:r>
      <w:hyperlink r:id="rId306">
        <w:r>
          <w:rPr>
            <w:rFonts w:ascii="Times New Roman" w:cs="Times New Roman" w:eastAsia="Times New Roman" w:hAnsi="Times New Roman"/>
            <w:sz w:val="18"/>
            <w:szCs w:val="18"/>
            <w:u w:val="single" w:color="auto"/>
            <w:color w:val="215E9E"/>
          </w:rPr>
          <w:t>filed with the Securities and Exchange Commission on December 22, 2020)</w:t>
        </w:r>
      </w:hyperlink>
    </w:p>
    <w:p>
      <w:pPr>
        <w:ind w:left="1340" w:right="699" w:hanging="876"/>
        <w:spacing w:after="0" w:line="266" w:lineRule="auto"/>
        <w:tabs>
          <w:tab w:leader="none" w:pos="1320" w:val="left"/>
        </w:tabs>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color w:val="auto"/>
        </w:rPr>
        <w:t>21.1</w:t>
      </w:r>
      <w:r>
        <w:rPr>
          <w:sz w:val="20"/>
          <w:szCs w:val="20"/>
          <w:color w:val="auto"/>
        </w:rPr>
        <w:tab/>
      </w:r>
      <w:hyperlink r:id="rId307">
        <w:r>
          <w:rPr>
            <w:rFonts w:ascii="Times New Roman" w:cs="Times New Roman" w:eastAsia="Times New Roman" w:hAnsi="Times New Roman"/>
            <w:sz w:val="18"/>
            <w:szCs w:val="18"/>
            <w:u w:val="single" w:color="auto"/>
            <w:color w:val="215E9E"/>
          </w:rPr>
          <w:t>Subsidiaries of the Registrant** (incorporated by reference to Exhibit 21.1 to the Registrant’s</w:t>
        </w:r>
      </w:hyperlink>
      <w:r>
        <w:rPr>
          <w:rFonts w:ascii="Times New Roman" w:cs="Times New Roman" w:eastAsia="Times New Roman" w:hAnsi="Times New Roman"/>
          <w:sz w:val="18"/>
          <w:szCs w:val="18"/>
          <w:u w:val="single" w:color="auto"/>
          <w:color w:val="215E9E"/>
        </w:rPr>
        <w:t xml:space="preserve"> </w:t>
      </w:r>
      <w:hyperlink r:id="rId307">
        <w:r>
          <w:rPr>
            <w:rFonts w:ascii="Times New Roman" w:cs="Times New Roman" w:eastAsia="Times New Roman" w:hAnsi="Times New Roman"/>
            <w:sz w:val="18"/>
            <w:szCs w:val="18"/>
            <w:u w:val="single" w:color="auto"/>
            <w:color w:val="215E9E"/>
          </w:rPr>
          <w:t>Amendment No. 1 to Registration Statement on Form S-1 filed with the Securities and Exchange</w:t>
        </w:r>
      </w:hyperlink>
      <w:r>
        <w:rPr>
          <w:rFonts w:ascii="Times New Roman" w:cs="Times New Roman" w:eastAsia="Times New Roman" w:hAnsi="Times New Roman"/>
          <w:sz w:val="18"/>
          <w:szCs w:val="18"/>
          <w:u w:val="single" w:color="auto"/>
          <w:color w:val="215E9E"/>
        </w:rPr>
        <w:t xml:space="preserve"> </w:t>
      </w:r>
      <w:hyperlink r:id="rId307">
        <w:r>
          <w:rPr>
            <w:rFonts w:ascii="Times New Roman" w:cs="Times New Roman" w:eastAsia="Times New Roman" w:hAnsi="Times New Roman"/>
            <w:sz w:val="18"/>
            <w:szCs w:val="18"/>
            <w:u w:val="single" w:color="auto"/>
            <w:color w:val="215E9E"/>
          </w:rPr>
          <w:t>Commission on January 13, 2021)</w:t>
        </w:r>
      </w:hyperlink>
    </w:p>
    <w:p>
      <w:pPr>
        <w:spacing w:after="0" w:line="20" w:lineRule="exact"/>
        <w:rPr>
          <w:rFonts w:ascii="Times New Roman" w:cs="Times New Roman" w:eastAsia="Times New Roman" w:hAnsi="Times New Roman"/>
          <w:sz w:val="18"/>
          <w:szCs w:val="18"/>
          <w:u w:val="single" w:color="auto"/>
          <w:color w:val="215E9E"/>
        </w:rPr>
      </w:pPr>
      <w:r>
        <w:rPr>
          <w:rFonts w:ascii="Times New Roman" w:cs="Times New Roman" w:eastAsia="Times New Roman" w:hAnsi="Times New Roman"/>
          <w:sz w:val="18"/>
          <w:szCs w:val="18"/>
          <w:u w:val="single" w:color="auto"/>
          <w:color w:val="215E9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6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460"/>
        <w:spacing w:after="0"/>
        <w:tabs>
          <w:tab w:leader="none" w:pos="1320" w:val="left"/>
        </w:tabs>
        <w:rPr>
          <w:rFonts w:ascii="Times New Roman" w:cs="Times New Roman" w:eastAsia="Times New Roman" w:hAnsi="Times New Roman"/>
          <w:sz w:val="17"/>
          <w:szCs w:val="17"/>
          <w:u w:val="single" w:color="auto"/>
          <w:color w:val="215E9E"/>
        </w:rPr>
      </w:pPr>
      <w:r>
        <w:rPr>
          <w:rFonts w:ascii="Times New Roman" w:cs="Times New Roman" w:eastAsia="Times New Roman" w:hAnsi="Times New Roman"/>
          <w:sz w:val="18"/>
          <w:szCs w:val="18"/>
          <w:color w:val="auto"/>
        </w:rPr>
        <w:t>23.1</w:t>
      </w:r>
      <w:r>
        <w:rPr>
          <w:sz w:val="20"/>
          <w:szCs w:val="20"/>
          <w:color w:val="auto"/>
        </w:rPr>
        <w:tab/>
      </w:r>
      <w:hyperlink w:anchor="page190">
        <w:r>
          <w:rPr>
            <w:rFonts w:ascii="Times New Roman" w:cs="Times New Roman" w:eastAsia="Times New Roman" w:hAnsi="Times New Roman"/>
            <w:sz w:val="17"/>
            <w:szCs w:val="17"/>
            <w:u w:val="single" w:color="auto"/>
            <w:color w:val="215E9E"/>
          </w:rPr>
          <w:t>Consent of Marcum LLP, independent registered public accounting firm</w:t>
        </w:r>
      </w:hyperlink>
    </w:p>
    <w:p>
      <w:pPr>
        <w:spacing w:after="0" w:line="77" w:lineRule="exact"/>
        <w:rPr>
          <w:rFonts w:ascii="Times New Roman" w:cs="Times New Roman" w:eastAsia="Times New Roman" w:hAnsi="Times New Roman"/>
          <w:sz w:val="18"/>
          <w:szCs w:val="18"/>
          <w:u w:val="single" w:color="auto"/>
          <w:color w:val="215E9E"/>
        </w:rPr>
      </w:pPr>
    </w:p>
    <w:p>
      <w:pPr>
        <w:ind w:left="1340" w:right="539" w:hanging="876"/>
        <w:spacing w:after="0" w:line="266" w:lineRule="auto"/>
        <w:tabs>
          <w:tab w:leader="none" w:pos="1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286">
        <w:r>
          <w:rPr>
            <w:rFonts w:ascii="Times New Roman" w:cs="Times New Roman" w:eastAsia="Times New Roman" w:hAnsi="Times New Roman"/>
            <w:sz w:val="18"/>
            <w:szCs w:val="18"/>
            <w:u w:val="single" w:color="auto"/>
            <w:color w:val="0000EE"/>
          </w:rPr>
          <w:t>Consent of Loeb &amp; Loeb LLP (included in Exhibit 5.1)** (incorporated by reference to Exhibit 5.1</w:t>
        </w:r>
      </w:hyperlink>
      <w:r>
        <w:rPr>
          <w:rFonts w:ascii="Times New Roman" w:cs="Times New Roman" w:eastAsia="Times New Roman" w:hAnsi="Times New Roman"/>
          <w:sz w:val="18"/>
          <w:szCs w:val="18"/>
          <w:u w:val="single" w:color="auto"/>
          <w:color w:val="0000EE"/>
        </w:rPr>
        <w:t xml:space="preserve"> </w:t>
      </w:r>
      <w:hyperlink r:id="rId286">
        <w:r>
          <w:rPr>
            <w:rFonts w:ascii="Times New Roman" w:cs="Times New Roman" w:eastAsia="Times New Roman" w:hAnsi="Times New Roman"/>
            <w:sz w:val="18"/>
            <w:szCs w:val="18"/>
            <w:u w:val="single" w:color="auto"/>
            <w:color w:val="0000EE"/>
          </w:rPr>
          <w:t>to the Registrant’s Amendment No. 2 to Registration Statement on Form S-1 filed with the</w:t>
        </w:r>
      </w:hyperlink>
      <w:r>
        <w:rPr>
          <w:rFonts w:ascii="Times New Roman" w:cs="Times New Roman" w:eastAsia="Times New Roman" w:hAnsi="Times New Roman"/>
          <w:sz w:val="18"/>
          <w:szCs w:val="18"/>
          <w:u w:val="single" w:color="auto"/>
          <w:color w:val="0000EE"/>
        </w:rPr>
        <w:t xml:space="preserve"> </w:t>
      </w:r>
      <w:hyperlink r:id="rId286">
        <w:r>
          <w:rPr>
            <w:rFonts w:ascii="Times New Roman" w:cs="Times New Roman" w:eastAsia="Times New Roman" w:hAnsi="Times New Roman"/>
            <w:sz w:val="18"/>
            <w:szCs w:val="18"/>
            <w:u w:val="single" w:color="auto"/>
            <w:color w:val="0000EE"/>
          </w:rPr>
          <w:t>Securities and Exchange Commission on January 26, 2021)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ind w:left="460"/>
        <w:spacing w:after="0"/>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310">
        <w:r>
          <w:rPr>
            <w:rFonts w:ascii="Times New Roman" w:cs="Times New Roman" w:eastAsia="Times New Roman" w:hAnsi="Times New Roman"/>
            <w:sz w:val="17"/>
            <w:szCs w:val="17"/>
            <w:u w:val="single" w:color="auto"/>
            <w:color w:val="0000EE"/>
          </w:rPr>
          <w:t>Power of Attorney (included on signature page)**</w:t>
        </w:r>
      </w:hyperlink>
    </w:p>
    <w:p>
      <w:pPr>
        <w:spacing w:after="0" w:line="135"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rFonts w:ascii="Times New Roman" w:cs="Times New Roman" w:eastAsia="Times New Roman" w:hAnsi="Times New Roman"/>
          <w:sz w:val="18"/>
          <w:szCs w:val="18"/>
          <w:u w:val="single" w:color="auto"/>
          <w:color w:val="0000EE"/>
        </w:rPr>
      </w:pPr>
    </w:p>
    <w:p>
      <w:pPr>
        <w:ind w:left="860" w:hanging="406"/>
        <w:spacing w:after="0"/>
        <w:tabs>
          <w:tab w:leader="none" w:pos="8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26" w:lineRule="exact"/>
        <w:rPr>
          <w:rFonts w:ascii="Times New Roman" w:cs="Times New Roman" w:eastAsia="Times New Roman" w:hAnsi="Times New Roman"/>
          <w:sz w:val="18"/>
          <w:szCs w:val="18"/>
          <w:u w:val="single" w:color="auto"/>
          <w:color w:val="0000EE"/>
        </w:rPr>
      </w:pPr>
    </w:p>
    <w:p>
      <w:pPr>
        <w:ind w:left="860" w:hanging="406"/>
        <w:spacing w:after="0"/>
        <w:tabs>
          <w:tab w:leader="none" w:pos="8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from this exhibit in reliance upon Item 601(b)(10) of Regulation S-K.</w:t>
      </w:r>
    </w:p>
    <w:p>
      <w:pPr>
        <w:spacing w:after="0" w:line="218" w:lineRule="exact"/>
        <w:rPr>
          <w:rFonts w:ascii="Times New Roman" w:cs="Times New Roman" w:eastAsia="Times New Roman" w:hAnsi="Times New Roman"/>
          <w:sz w:val="18"/>
          <w:szCs w:val="18"/>
          <w:u w:val="single" w:color="auto"/>
          <w:color w:val="0000EE"/>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rFonts w:ascii="Times New Roman" w:cs="Times New Roman" w:eastAsia="Times New Roman" w:hAnsi="Times New Roman"/>
          <w:sz w:val="18"/>
          <w:szCs w:val="18"/>
          <w:u w:val="single" w:color="auto"/>
          <w:color w:val="0000EE"/>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8" w:lineRule="exact"/>
        <w:rPr>
          <w:rFonts w:ascii="Times New Roman" w:cs="Times New Roman" w:eastAsia="Times New Roman" w:hAnsi="Times New Roman"/>
          <w:sz w:val="18"/>
          <w:szCs w:val="18"/>
          <w:u w:val="single" w:color="auto"/>
          <w:color w:val="0000EE"/>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9" w:lineRule="exact"/>
        <w:rPr>
          <w:rFonts w:ascii="Times New Roman" w:cs="Times New Roman" w:eastAsia="Times New Roman" w:hAnsi="Times New Roman"/>
          <w:sz w:val="18"/>
          <w:szCs w:val="18"/>
          <w:u w:val="single" w:color="auto"/>
          <w:color w:val="0000EE"/>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rFonts w:ascii="Times New Roman" w:cs="Times New Roman" w:eastAsia="Times New Roman" w:hAnsi="Times New Roman"/>
          <w:sz w:val="18"/>
          <w:szCs w:val="18"/>
          <w:u w:val="single" w:color="auto"/>
          <w:color w:val="0000EE"/>
        </w:rPr>
      </w:pPr>
    </w:p>
    <w:p>
      <w:pPr>
        <w:ind w:left="1320" w:right="619" w:hanging="434"/>
        <w:spacing w:after="0" w:line="258" w:lineRule="auto"/>
        <w:tabs>
          <w:tab w:leader="none" w:pos="12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320" w:right="699" w:hanging="434"/>
        <w:spacing w:after="0" w:line="261" w:lineRule="auto"/>
        <w:tabs>
          <w:tab w:leader="none" w:pos="12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Burlington, Massachusetts, on January 26, 2021.</w:t>
      </w:r>
    </w:p>
    <w:p>
      <w:pPr>
        <w:spacing w:after="0" w:line="14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81" w:lineRule="exact"/>
        <w:rPr>
          <w:sz w:val="20"/>
          <w:szCs w:val="20"/>
          <w:color w:val="auto"/>
        </w:rPr>
      </w:pPr>
    </w:p>
    <w:p>
      <w:pPr>
        <w:ind w:left="4160"/>
        <w:spacing w:after="0"/>
        <w:tabs>
          <w:tab w:leader="none" w:pos="4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7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-119380</wp:posOffset>
            </wp:positionV>
            <wp:extent cx="24174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4160"/>
        <w:spacing w:after="0"/>
        <w:tabs>
          <w:tab w:leader="none" w:pos="4720" w:val="left"/>
        </w:tabs>
        <w:rPr>
          <w:sz w:val="20"/>
          <w:szCs w:val="20"/>
          <w:color w:val="auto"/>
        </w:rPr>
      </w:pPr>
      <w:r>
        <w:rPr>
          <w:rFonts w:ascii="Times New Roman" w:cs="Times New Roman" w:eastAsia="Times New Roman" w:hAnsi="Times New Roman"/>
          <w:sz w:val="18"/>
          <w:szCs w:val="18"/>
          <w:color w:val="auto"/>
        </w:rPr>
        <w:t>Title:</w:t>
        <w:tab/>
        <w:t>Chief Executive Officer (principal executive officer)</w:t>
      </w:r>
    </w:p>
    <w:p>
      <w:pPr>
        <w:spacing w:after="0" w:line="252"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8"/>
                <w:szCs w:val="18"/>
                <w:color w:val="auto"/>
              </w:rPr>
            </w:pPr>
          </w:p>
        </w:tc>
        <w:tc>
          <w:tcPr>
            <w:tcW w:w="384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1"/>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Niv Krikov</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Niv Krikov</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/s/ Thomas Massie</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/s/ Guichao Hua</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/s/ Krishnan Varier</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/s/ Timothy Oakes</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/s/ Timothy Mahoney</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Matthew Kressy</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Matthew Kressy</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/s/ Niv Krikov</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II-6</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7" w:name="page188"/>
    <w:bookmarkEnd w:id="187"/>
    <w:p>
      <w:pPr>
        <w:ind w:left="10220"/>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628775" cy="4972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16287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Niv Krikov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 nkrikov@gmail.com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Niv</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am pleased to confirm our offer to you of full-time employment as Chief Financial Officer at Agrify Corporation (the “Company”), based in our offices currently located in Burlington, MA, with a start date of February 1, 2020 (the “Start Date”). You will report directly to Raymond Chang, CEO.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will confirm our understanding of your acceptance of this employee at-will position. All compensation and benefits below are subject in all cases to your actual commencement of employment with the Company on the Start Date. In the event your employment does not commence on the Start Date for any reason whatsoever, this letter will be deemed void and of no effect.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 Your salary will be payable at the semi-monthly rate of $7,291.66 per pay period, which if annualized is $175,000, paid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general payroll policies. You will be classified as a salaried exempt employee. All compensation payments (including any bonus payments) are reduced for applicable withholding and payroll taxes and authorized and required deductions. You will also be entitled to a bonus which will be established at a future date.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 You will be eligible to participate on the same basis as similarly situated employees in our benefit plans in effect from time to time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employment, including any Company’s health insurance program. Employee contributions to health insurance premiums, if coverage is elected, may be paid (to the extent entitled by law) with a pre-tax deduction from your payroll. The Company reserves the right in its sole discretion to amend or terminate its benefit plans at any time. As a chief officer, your health, dental and vision premiums will be paid 100% by the Company. At this time no other policies are offered.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GRANT: </w:t>
      </w:r>
      <w:r>
        <w:rPr>
          <w:rFonts w:ascii="Times New Roman" w:cs="Times New Roman" w:eastAsia="Times New Roman" w:hAnsi="Times New Roman"/>
          <w:sz w:val="18"/>
          <w:szCs w:val="18"/>
          <w:color w:val="auto"/>
        </w:rPr>
        <w:t>Subject to the requisite approval by the Company’s Board of Directors, you will be granted shares of the Company’s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Shares”), subject to a restricted stock agreement in form delivered with this letter, which will provide for, among other things, vesting of the Restricted Shares such that one-quarter of the Restricted Shares will vest on the first anniversary of the Start Date and the remaining three-quarters will vest in equal monthly installments over the following 36 months. The grant amount will be determined within 30 days of Start Date, however it will not be less than 2% at the time of job offer. In the event that the Company completes a successful IPO or Reverse Merger, 50% of the options will be accelerated at the time of completion.</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PAID TIME OFF</w:t>
      </w:r>
      <w:r>
        <w:rPr>
          <w:rFonts w:ascii="Times New Roman" w:cs="Times New Roman" w:eastAsia="Times New Roman" w:hAnsi="Times New Roman"/>
          <w:sz w:val="18"/>
          <w:szCs w:val="18"/>
          <w:color w:val="auto"/>
        </w:rPr>
        <w:t>: You will be entitled to 20 days of Personal Time Off (“PTO”) on an annual basis, accrued in accordance with Company policy.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each calendar year, up to five days of accrued and unused PTO time may be rolled over to the following year. The Company’s paid time off policy is subject to change at the discretion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28775" cy="4972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97205"/>
                    </a:xfrm>
                    <a:prstGeom prst="rect">
                      <a:avLst/>
                    </a:prstGeom>
                    <a:noFill/>
                  </pic:spPr>
                </pic:pic>
              </a:graphicData>
            </a:graphic>
          </wp:anchor>
        </w:drawing>
      </w:r>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EMPLOYMENT REQUIREMENTS</w:t>
      </w:r>
      <w:r>
        <w:rPr>
          <w:rFonts w:ascii="Times New Roman" w:cs="Times New Roman" w:eastAsia="Times New Roman" w:hAnsi="Times New Roman"/>
          <w:sz w:val="18"/>
          <w:szCs w:val="18"/>
          <w:color w:val="auto"/>
        </w:rPr>
        <w:t>: You are required as a condition of your employment to comply at all times with the Company’s policies affecting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as in effect from time to time. You will also be required by the Company to sign its standard form of proprietary information, inventions and restrictions agreement delivered with this letter as a condition to your employment by the Company. Furthermore, this offer is contingent on your satisfying the eligibility requirements for employment in the United States.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employment with the Company is on an “at will” basis. Either you or the Company may terminate your employment at any time and for any reason.</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CONFLICTS</w:t>
      </w:r>
      <w:r>
        <w:rPr>
          <w:rFonts w:ascii="Times New Roman" w:cs="Times New Roman" w:eastAsia="Times New Roman" w:hAnsi="Times New Roman"/>
          <w:sz w:val="18"/>
          <w:szCs w:val="18"/>
          <w:color w:val="auto"/>
        </w:rPr>
        <w:t>: You acknowledge that you are not a party to any agreement that in any way prohibits or imposes any restriction on your employment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your acceptance of this employment offer will not constitute a breach of any agreement to which you are a party. By signing this letter, you acknowledge that the terms described in this letter, together with the proprietary information, inventions and restrictions agreement referenced above, set forth the entire understanding between us and supersedes any prior representations or agreements, whether written or oral; there are no terms, conditions, representations, warranties or covenants other than those contained herein.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agree with and accept the terms of this offer of employment, please sign below and return this letter to our office via scan/e-mail upon acceptance. This offer of employment will become void if not countersigned by January 24, 2020. We are confident that your employment with the Company will prove mutually beneficial, and we look forward to you joining the team.</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Anne Squillace, CPA, CGMA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Mary Anne Squillace, CPA, CGMA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VP Finance, Accounting &amp; HR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/s/ Niv Krikov</w:t>
      </w:r>
      <w:r>
        <w:rPr>
          <w:sz w:val="20"/>
          <w:szCs w:val="20"/>
          <w:color w:val="auto"/>
        </w:rPr>
        <w:tab/>
      </w:r>
      <w:r>
        <w:rPr>
          <w:rFonts w:ascii="Times New Roman" w:cs="Times New Roman" w:eastAsia="Times New Roman" w:hAnsi="Times New Roman"/>
          <w:sz w:val="18"/>
          <w:szCs w:val="18"/>
          <w:color w:val="auto"/>
        </w:rPr>
        <w:t>Date 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Agrify Corporation on Amendment No. 3 to Form S-1 (File No. 333-251616) which includes an explanatory paragraph as to the Company’s ability to continue as a Going Concern, of our report dated March 19, 2020 with respect to our audits of the consolidated financial statements of Agrify Corporation and Subsidiary as of December 31, 2019 and 2018 and for the two years in the period ended December 31, 2019,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lvl w:ilvl="1">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upperLetter"/>
      <w:start w:val="68"/>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3"/>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lvl w:ilvl="1">
      <w:lvlJc w:val="left"/>
      <w:lvlText w:val="(%2)"/>
      <w:numFmt w:val="lowerRoman"/>
      <w:start w:val="3"/>
    </w:lvl>
  </w:abstractNum>
  <w:abstractNum w:abstractNumId="52">
    <w:nsid w:val="61574095"/>
    <w:multiLevelType w:val="hybridMultilevel"/>
    <w:lvl w:ilvl="0">
      <w:lvlJc w:val="left"/>
      <w:lvlText w:val="%1"/>
      <w:numFmt w:val="decimal"/>
      <w:start w:val="1"/>
    </w:lvl>
    <w:lvl w:ilvl="1">
      <w:lvlJc w:val="left"/>
      <w:lvlText w:val="(%2)"/>
      <w:numFmt w:val="lowerRoman"/>
      <w:start w:val="2"/>
    </w:lvl>
  </w:abstractNum>
  <w:abstractNum w:abstractNumId="53">
    <w:nsid w:val="7E0C57B1"/>
    <w:multiLevelType w:val="hybridMultilevel"/>
    <w:lvl w:ilvl="0">
      <w:lvlJc w:val="left"/>
      <w:lvlText w:val="(%1)"/>
      <w:numFmt w:val="decimal"/>
      <w:start w:val="6"/>
    </w:lvl>
    <w:lvl w:ilvl="1">
      <w:lvlJc w:val="left"/>
      <w:lvlText w:val="%2"/>
      <w:numFmt w:val="lowerRoman"/>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lowerRoman"/>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lowerRoman"/>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82" Type="http://schemas.openxmlformats.org/officeDocument/2006/relationships/image" Target="media/image270.png"/><Relationship Id="rId301" Type="http://schemas.openxmlformats.org/officeDocument/2006/relationships/image" Target="media/image271.png"/><Relationship Id="rId303" Type="http://schemas.openxmlformats.org/officeDocument/2006/relationships/image" Target="media/image272.png"/><Relationship Id="rId305"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jpeg"/><Relationship Id="rId314" Type="http://schemas.openxmlformats.org/officeDocument/2006/relationships/image" Target="media/image279.png"/><Relationship Id="rId315" Type="http://schemas.openxmlformats.org/officeDocument/2006/relationships/image" Target="media/image280.jpeg"/><Relationship Id="rId316" Type="http://schemas.openxmlformats.org/officeDocument/2006/relationships/image" Target="media/image281.png"/><Relationship Id="rId277" Type="http://schemas.openxmlformats.org/officeDocument/2006/relationships/hyperlink" Target="http://www.sec.gov/Archives/edgar/data/1800637/000121390021004220/fs12021a2ex1-1_agrifycorp.htm" TargetMode="External"/><Relationship Id="rId278" Type="http://schemas.openxmlformats.org/officeDocument/2006/relationships/hyperlink" Target="http://www.sec.gov/Archives/edgar/data/1800637/000121390020044121/fs12020ex2-1_agrifycorp.htm" TargetMode="External"/><Relationship Id="rId279" Type="http://schemas.openxmlformats.org/officeDocument/2006/relationships/hyperlink" Target="http://www.sec.gov/Archives/edgar/data/1800637/000121390021001799/fs12020a1ex3-1_agrify.htm" TargetMode="External"/><Relationship Id="rId280" Type="http://schemas.openxmlformats.org/officeDocument/2006/relationships/hyperlink" Target="http://www.sec.gov/Archives/edgar/data/1800637/000121390021001799/fs12020a1ex3-2_agrify.htm" TargetMode="External"/><Relationship Id="rId281" Type="http://schemas.openxmlformats.org/officeDocument/2006/relationships/hyperlink" Target="http://www.sec.gov/Archives/edgar/data/1800637/000121390021004220/fs12021a2ex3-3_agrifycorp.htm" TargetMode="External"/><Relationship Id="rId283" Type="http://schemas.openxmlformats.org/officeDocument/2006/relationships/hyperlink" Target="http://www.sec.gov/Archives/edgar/data/1800637/000121390021004220/fs12021a2ex4-1_agrifycorp.htm" TargetMode="External"/><Relationship Id="rId284" Type="http://schemas.openxmlformats.org/officeDocument/2006/relationships/hyperlink" Target="http://www.sec.gov/Archives/edgar/data/1800637/000121390021004220/fs12021a2ex4-2_agrifycorp.htm" TargetMode="External"/><Relationship Id="rId285" Type="http://schemas.openxmlformats.org/officeDocument/2006/relationships/hyperlink" Target="http://www.sec.gov/Archives/edgar/data/1800637/000121390020044121/fs12020ex4-3_agrifycorp.htm" TargetMode="External"/><Relationship Id="rId286" Type="http://schemas.openxmlformats.org/officeDocument/2006/relationships/hyperlink" Target="http://www.sec.gov/Archives/edgar/data/1800637/000121390021004220/fs12021a2ex5-1_agrifycorp.htm" TargetMode="External"/><Relationship Id="rId287" Type="http://schemas.openxmlformats.org/officeDocument/2006/relationships/hyperlink" Target="http://www.sec.gov/Archives/edgar/data/1800637/000121390020044121/fs12020ex10-1_agrifycorp.htm" TargetMode="External"/><Relationship Id="rId288" Type="http://schemas.openxmlformats.org/officeDocument/2006/relationships/hyperlink" Target="http://www.sec.gov/Archives/edgar/data/1800637/000121390020044121/fs12020ex10-2_agrifycorp.htm" TargetMode="External"/><Relationship Id="rId289" Type="http://schemas.openxmlformats.org/officeDocument/2006/relationships/hyperlink" Target="http://www.sec.gov/Archives/edgar/data/1800637/000121390020044121/fs12020ex10-3_agrifycorp.htm" TargetMode="External"/><Relationship Id="rId290" Type="http://schemas.openxmlformats.org/officeDocument/2006/relationships/hyperlink" Target="http://www.sec.gov/Archives/edgar/data/1800637/000121390020044121/fs12020ex10-4_agrifycorp.htm" TargetMode="External"/><Relationship Id="rId291" Type="http://schemas.openxmlformats.org/officeDocument/2006/relationships/hyperlink" Target="http://www.sec.gov/Archives/edgar/data/1800637/000121390021001799/fs12020a1ex10-5_agrify.htm" TargetMode="External"/><Relationship Id="rId292" Type="http://schemas.openxmlformats.org/officeDocument/2006/relationships/hyperlink" Target="http://www.sec.gov/Archives/edgar/data/1800637/000121390020044121/fs12020ex10-7_agrifycorp.htm" TargetMode="External"/><Relationship Id="rId293" Type="http://schemas.openxmlformats.org/officeDocument/2006/relationships/hyperlink" Target="http://www.sec.gov/Archives/edgar/data/1800637/000121390020044121/fs12020ex10-8_agrifycorp.htm" TargetMode="External"/><Relationship Id="rId294" Type="http://schemas.openxmlformats.org/officeDocument/2006/relationships/hyperlink" Target="http://www.sec.gov/Archives/edgar/data/1800637/000121390020044121/fs12020ex10-11_agrifycorp.htm" TargetMode="External"/><Relationship Id="rId295" Type="http://schemas.openxmlformats.org/officeDocument/2006/relationships/hyperlink" Target="http://www.sec.gov/Archives/edgar/data/1800637/000121390020044121/fs12020ex10-12_agrifycorp.htm" TargetMode="External"/><Relationship Id="rId296" Type="http://schemas.openxmlformats.org/officeDocument/2006/relationships/hyperlink" Target="http://www.sec.gov/Archives/edgar/data/1800637/000121390021001799/fs12020a1ex10-10_agrify.htm" TargetMode="External"/><Relationship Id="rId297" Type="http://schemas.openxmlformats.org/officeDocument/2006/relationships/hyperlink" Target="http://www.sec.gov/Archives/edgar/data/1800637/000121390020044121/fs12020ex10-13_agrifycorp.htm" TargetMode="External"/><Relationship Id="rId298" Type="http://schemas.openxmlformats.org/officeDocument/2006/relationships/hyperlink" Target="http://www.sec.gov/Archives/edgar/data/1800637/000121390020044121/fs12020ex10-14_agrifycorp.htm" TargetMode="External"/><Relationship Id="rId299" Type="http://schemas.openxmlformats.org/officeDocument/2006/relationships/hyperlink" Target="http://www.sec.gov/Archives/edgar/data/1800637/000121390021001799/fs12020a1ex10-13_agrify.htm" TargetMode="External"/><Relationship Id="rId300" Type="http://schemas.openxmlformats.org/officeDocument/2006/relationships/hyperlink" Target="http://www.sec.gov/Archives/edgar/data/1800637/000121390020044121/fs12020ex10-16_agrifycorp.htm" TargetMode="External"/><Relationship Id="rId302" Type="http://schemas.openxmlformats.org/officeDocument/2006/relationships/hyperlink" Target="http://www.sec.gov/Archives/edgar/data/1800637/000121390021001799/fs12020a1ex10-15_agrify.htm" TargetMode="External"/><Relationship Id="rId304" Type="http://schemas.openxmlformats.org/officeDocument/2006/relationships/hyperlink" Target="http://www.sec.gov/Archives/edgar/data/1800637/000121390020044121/fs12020ex10-18_agrifycorp.htm" TargetMode="External"/><Relationship Id="rId306" Type="http://schemas.openxmlformats.org/officeDocument/2006/relationships/hyperlink" Target="http://www.sec.gov/Archives/edgar/data/1800637/000121390020044121/fs12020ex14-1_agrifycorp.htm" TargetMode="External"/><Relationship Id="rId307" Type="http://schemas.openxmlformats.org/officeDocument/2006/relationships/hyperlink" Target="http://www.sec.gov/Archives/edgar/data/1800637/000121390021001799/fs12020a1ex21-1_agrify.htm" TargetMode="External"/><Relationship Id="rId310" Type="http://schemas.openxmlformats.org/officeDocument/2006/relationships/hyperlink" Target="http://www.sec.gov/Archives/edgar/data/1800637/000121390021001799/fs12020a1_agrifycorp.htm#T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2021-01-26T16:33:16Z</dcterms:created>
  <dcterms:modified xsi:type="dcterms:W3CDTF">2021-01-26T16:33:16Z</dcterms:modified>
</cp:coreProperties>
</file>