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8)</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305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Agrify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2468 Industrial Drive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6583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583680"/>
                    </a:xfrm>
                    <a:prstGeom prst="rect">
                      <a:avLst/>
                    </a:prstGeom>
                    <a:noFill/>
                  </pic:spPr>
                </pic:pic>
              </a:graphicData>
            </a:graphic>
          </wp:anchor>
        </w:drawing>
      </w:r>
    </w:p>
    <w:p>
      <w:pPr>
        <w:spacing w:after="0" w:line="165" w:lineRule="exact"/>
        <w:rPr>
          <w:sz w:val="20"/>
          <w:szCs w:val="20"/>
          <w:color w:val="auto"/>
        </w:rPr>
      </w:pPr>
    </w:p>
    <w:p>
      <w:pPr>
        <w:ind w:left="920" w:right="814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Raymond Nobu Chang</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920" w:right="906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PF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95" w:lineRule="auto"/>
        <w:tabs>
          <w:tab w:leader="none" w:pos="2600" w:val="left"/>
        </w:tabs>
        <w:numPr>
          <w:ilvl w:val="2"/>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6,909</w:t>
      </w:r>
      <w:r>
        <w:rPr>
          <w:rFonts w:ascii="Times New Roman" w:cs="Times New Roman" w:eastAsia="Times New Roman" w:hAnsi="Times New Roman"/>
          <w:sz w:val="29"/>
          <w:szCs w:val="29"/>
          <w:color w:val="auto"/>
          <w:vertAlign w:val="superscript"/>
        </w:rPr>
        <w:t>(1)</w:t>
      </w:r>
    </w:p>
    <w:p>
      <w:pPr>
        <w:spacing w:after="0" w:line="7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17,824,872</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6"/>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line="276" w:lineRule="exact"/>
              <w:rPr>
                <w:sz w:val="20"/>
                <w:szCs w:val="20"/>
                <w:color w:val="auto"/>
              </w:rPr>
            </w:pPr>
            <w:r>
              <w:rPr>
                <w:rFonts w:ascii="Times New Roman" w:cs="Times New Roman" w:eastAsia="Times New Roman" w:hAnsi="Times New Roman"/>
                <w:sz w:val="18"/>
                <w:szCs w:val="18"/>
                <w:color w:val="auto"/>
              </w:rPr>
              <w:t>6,909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600" w:right="6680" w:hanging="774"/>
        <w:spacing w:after="0" w:line="295" w:lineRule="auto"/>
        <w:tabs>
          <w:tab w:leader="none" w:pos="260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 xml:space="preserve">17,824,872 </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 xml:space="preserve">17,831,781 </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(3)</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393" w:lineRule="exact"/>
        <w:rPr>
          <w:rFonts w:ascii="Times New Roman" w:cs="Times New Roman" w:eastAsia="Times New Roman" w:hAnsi="Times New Roman"/>
          <w:sz w:val="18"/>
          <w:szCs w:val="18"/>
          <w:b w:val="1"/>
          <w:bCs w:val="1"/>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575 shares of common stock, par value $0.001(“</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Agrify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held individually and (ii) up to 6,334 shares of Common Stock issuable upon exercise of stock options held by Mr. Chang that are exercisable within 60 days of the date hereof. Does not include 337,743 shares of Common Stock underlying time-based restricted stock units that will not vest within 60 days of the day hereof granted to Mr. Chang under the Agrify Corporation 2022 Omnibus Equity Incentive Plan, as amended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5,739,881 shares of Common Stock held by RTC3 2020 Irrevocable Trust (“</w:t>
      </w:r>
      <w:r>
        <w:rPr>
          <w:rFonts w:ascii="Times New Roman" w:cs="Times New Roman" w:eastAsia="Times New Roman" w:hAnsi="Times New Roman"/>
          <w:sz w:val="18"/>
          <w:szCs w:val="18"/>
          <w:i w:val="1"/>
          <w:iCs w:val="1"/>
          <w:color w:val="auto"/>
        </w:rPr>
        <w:t>RTC3</w:t>
      </w:r>
      <w:r>
        <w:rPr>
          <w:rFonts w:ascii="Times New Roman" w:cs="Times New Roman" w:eastAsia="Times New Roman" w:hAnsi="Times New Roman"/>
          <w:sz w:val="18"/>
          <w:szCs w:val="18"/>
          <w:color w:val="auto"/>
        </w:rPr>
        <w:t>”), of which Mr. Chang retains the ability to remove the independent trustee, (ii) warrants to purchase 231,223 shares of Common Stock held by RTC3 that are exercisable within 60 days of the date hereof, subject to a 9.99% beneficial ownership limitation, (iii) 648 shares of Common Stock held by NXT3J Capital, LLC (“</w:t>
      </w:r>
      <w:r>
        <w:rPr>
          <w:rFonts w:ascii="Times New Roman" w:cs="Times New Roman" w:eastAsia="Times New Roman" w:hAnsi="Times New Roman"/>
          <w:sz w:val="18"/>
          <w:szCs w:val="18"/>
          <w:i w:val="1"/>
          <w:iCs w:val="1"/>
          <w:color w:val="auto"/>
        </w:rPr>
        <w:t>NXT3J</w:t>
      </w:r>
      <w:r>
        <w:rPr>
          <w:rFonts w:ascii="Times New Roman" w:cs="Times New Roman" w:eastAsia="Times New Roman" w:hAnsi="Times New Roman"/>
          <w:sz w:val="18"/>
          <w:szCs w:val="18"/>
          <w:color w:val="auto"/>
        </w:rPr>
        <w:t>”), an entity controlled by Mr. Chang, (iv) that number of shares of Common Stock issuable to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an entity controlled by Mr. Chang, issuable to Mr. Chang upon the conversion of that certain Senior Secured Amended, Restated and Consolidated Convertible Note, as amended (the “</w:t>
      </w:r>
      <w:r>
        <w:rPr>
          <w:rFonts w:ascii="Times New Roman" w:cs="Times New Roman" w:eastAsia="Times New Roman" w:hAnsi="Times New Roman"/>
          <w:sz w:val="18"/>
          <w:szCs w:val="18"/>
          <w:i w:val="1"/>
          <w:iCs w:val="1"/>
          <w:color w:val="auto"/>
        </w:rPr>
        <w:t>Convertible Note</w:t>
      </w:r>
      <w:r>
        <w:rPr>
          <w:rFonts w:ascii="Times New Roman" w:cs="Times New Roman" w:eastAsia="Times New Roman" w:hAnsi="Times New Roman"/>
          <w:sz w:val="18"/>
          <w:szCs w:val="18"/>
          <w:color w:val="auto"/>
        </w:rPr>
        <w:t xml:space="preserve">”) due 2025 described herein with an outstanding principal amount of $3,500,000.00 and a conversion price of $1.46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Chang and/or Ms. I-Tseng Jenny Chan, each a member of the Board of Directors of the Issuer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in which case the 49.99% beneficial ownership limitation will apply to each of them individually, (v) that number of shares of Common Stock issuable to CP Acquisitions or, at CP Acquisition’s election, pre-funded warrants to purchase shares of Common Stock issuable to CP Acquisitions upon conversion of that certain Junior Secured Convertible Promissory Note (“</w:t>
      </w:r>
      <w:r>
        <w:rPr>
          <w:rFonts w:ascii="Times New Roman" w:cs="Times New Roman" w:eastAsia="Times New Roman" w:hAnsi="Times New Roman"/>
          <w:sz w:val="18"/>
          <w:szCs w:val="18"/>
          <w:i w:val="1"/>
          <w:iCs w:val="1"/>
          <w:color w:val="auto"/>
        </w:rPr>
        <w:t>New Junior Note</w:t>
      </w:r>
      <w:r>
        <w:rPr>
          <w:rFonts w:ascii="Times New Roman" w:cs="Times New Roman" w:eastAsia="Times New Roman" w:hAnsi="Times New Roman"/>
          <w:sz w:val="18"/>
          <w:szCs w:val="18"/>
          <w:color w:val="auto"/>
        </w:rPr>
        <w:t>”) due July 1, 2025 described herein with an outstanding principal amount of $1,500,000.00 and a conversion price of $0.2633 (as may be adjusted per the New Junior Note), which pre-funded warrants are exercisable subject to a 49.99% beneficial ownership limitation, (vi) pre-funded warrants to purchase 81,784,320 shares of Common Stock held by CP Acquisitions that are exercisable within 60 days of the date hereof, as amended by that certain Amendment to Pre-Funded Common Stock Purchase Warrant, dated August 28, 2024, by and between Issuer and CP Acquisitions (the “</w:t>
      </w:r>
      <w:r>
        <w:rPr>
          <w:rFonts w:ascii="Times New Roman" w:cs="Times New Roman" w:eastAsia="Times New Roman" w:hAnsi="Times New Roman"/>
          <w:sz w:val="18"/>
          <w:szCs w:val="18"/>
          <w:i w:val="1"/>
          <w:iCs w:val="1"/>
          <w:color w:val="auto"/>
        </w:rPr>
        <w:t>CP Warrant Amendment</w:t>
      </w:r>
      <w:r>
        <w:rPr>
          <w:rFonts w:ascii="Times New Roman" w:cs="Times New Roman" w:eastAsia="Times New Roman" w:hAnsi="Times New Roman"/>
          <w:sz w:val="18"/>
          <w:szCs w:val="18"/>
          <w:color w:val="auto"/>
        </w:rPr>
        <w:t>”), and subject to (A) a 49.99% beneficial ownership limitation, and (B) an agreement between CP Acquisitions and the Issuer whereby CP Acquisitions agreed not to exercise the CP Warrant for more than 4,000,000 shares of Common Stock until the Issuer completes a reverse stock split or increase in authorized shares resulting in sufficient</w:t>
      </w:r>
    </w:p>
    <w:p>
      <w:pPr>
        <w:sectPr>
          <w:pgSz w:w="11900" w:h="16838" w:orient="portrait"/>
          <w:cols w:equalWidth="0" w:num="1">
            <w:col w:w="11240"/>
          </w:cols>
          <w:pgMar w:left="320" w:top="806" w:right="339" w:bottom="0" w:gutter="0" w:footer="0" w:header="0"/>
        </w:sectPr>
      </w:pPr>
    </w:p>
    <w:bookmarkStart w:id="2" w:name="page3"/>
    <w:bookmarkEnd w:id="2"/>
    <w:p>
      <w:pPr>
        <w:jc w:val="both"/>
        <w:ind w:left="332"/>
        <w:spacing w:after="0" w:line="254" w:lineRule="auto"/>
        <w:rPr>
          <w:sz w:val="20"/>
          <w:szCs w:val="20"/>
          <w:color w:val="auto"/>
        </w:rPr>
      </w:pPr>
      <w:r>
        <w:rPr>
          <w:rFonts w:ascii="Times New Roman" w:cs="Times New Roman" w:eastAsia="Times New Roman" w:hAnsi="Times New Roman"/>
          <w:sz w:val="18"/>
          <w:szCs w:val="18"/>
          <w:color w:val="auto"/>
        </w:rPr>
        <w:t>authorized but unissued shares to permit such conversion or exercise, (vii) pre-funded warrants to purchase 16,276,832 shares of Common Stock held by GIC Acquisition LLC (“</w:t>
      </w:r>
      <w:r>
        <w:rPr>
          <w:rFonts w:ascii="Times New Roman" w:cs="Times New Roman" w:eastAsia="Times New Roman" w:hAnsi="Times New Roman"/>
          <w:sz w:val="18"/>
          <w:szCs w:val="18"/>
          <w:i w:val="1"/>
          <w:iCs w:val="1"/>
          <w:color w:val="auto"/>
        </w:rPr>
        <w:t>GIC Acquisition</w:t>
      </w:r>
      <w:r>
        <w:rPr>
          <w:rFonts w:ascii="Times New Roman" w:cs="Times New Roman" w:eastAsia="Times New Roman" w:hAnsi="Times New Roman"/>
          <w:sz w:val="18"/>
          <w:szCs w:val="18"/>
          <w:color w:val="auto"/>
        </w:rPr>
        <w:t>”) that are exercisable within 60 days of the date hereof, as amended by that certain Amendment to Pre-Funded Common Stock Purchase Warrant, dated August 28, 2024, by and between Issuer and GIC Acquisition (the “</w:t>
      </w:r>
      <w:r>
        <w:rPr>
          <w:rFonts w:ascii="Times New Roman" w:cs="Times New Roman" w:eastAsia="Times New Roman" w:hAnsi="Times New Roman"/>
          <w:sz w:val="18"/>
          <w:szCs w:val="18"/>
          <w:i w:val="1"/>
          <w:iCs w:val="1"/>
          <w:color w:val="auto"/>
        </w:rPr>
        <w:t>GIC Warrant Amendment</w:t>
      </w:r>
      <w:r>
        <w:rPr>
          <w:rFonts w:ascii="Times New Roman" w:cs="Times New Roman" w:eastAsia="Times New Roman" w:hAnsi="Times New Roman"/>
          <w:sz w:val="18"/>
          <w:szCs w:val="18"/>
          <w:color w:val="auto"/>
        </w:rPr>
        <w:t>”), and subject to (A) a 49.99% beneficial ownership limitation, and (B) an agreement between GIC Acquisition and the Issuer whereby GIC Acquisition agreed not to exercise the GIC Warrant for more than 7,383,053 shares of Common Stock until the Issuer completes a reverse stock split or increase in authorized shares resulting in sufficient authorized but unissued shares to permit such conversion or exercise, (viii) options to purchase 203 shares of Common Stock that are held by Raymond Chang Jr., Mr. Chang’s son, that are exercisable within 60 days of the date hereof, and (ix) 1,578,947 shares of Common Stock held individually by Chinwei Wang, Mr. Chang’s spouse. Does not include 105,139 shares of Common Stock underlying time-based restricted stock units that will not vest within 60 days of the day hereof granted to Raymond Chang, Jr., under the Plan.</w:t>
      </w:r>
    </w:p>
    <w:p>
      <w:pPr>
        <w:spacing w:after="0" w:line="107" w:lineRule="exact"/>
        <w:rPr>
          <w:sz w:val="20"/>
          <w:szCs w:val="20"/>
          <w:color w:val="auto"/>
        </w:rPr>
      </w:pPr>
    </w:p>
    <w:p>
      <w:pPr>
        <w:jc w:val="both"/>
        <w:ind w:left="332"/>
        <w:spacing w:after="0" w:line="266" w:lineRule="auto"/>
        <w:rPr>
          <w:sz w:val="20"/>
          <w:szCs w:val="20"/>
          <w:color w:val="auto"/>
        </w:rPr>
      </w:pPr>
      <w:r>
        <w:rPr>
          <w:rFonts w:ascii="Times New Roman" w:cs="Times New Roman" w:eastAsia="Times New Roman" w:hAnsi="Times New Roman"/>
          <w:sz w:val="18"/>
          <w:szCs w:val="18"/>
          <w:color w:val="auto"/>
        </w:rPr>
        <w:t>Mr. Chang disclaims beneficial ownership with respect to the shares and warrants held by RTC3, the shares held by NXT3J, the shares entitled to CP Acquisitions upon conversion of its Convertible Note, the options and shares held by Raymond Chang Jr., and the shares held by Chinwei Wang, in each case except to the extent of his pecuniary interest therein.</w:t>
      </w:r>
    </w:p>
    <w:p>
      <w:pPr>
        <w:spacing w:after="0" w:line="95" w:lineRule="exact"/>
        <w:rPr>
          <w:sz w:val="20"/>
          <w:szCs w:val="20"/>
          <w:color w:val="auto"/>
        </w:rPr>
      </w:pPr>
    </w:p>
    <w:p>
      <w:pPr>
        <w:ind w:left="332" w:hanging="332"/>
        <w:spacing w:after="0" w:line="282" w:lineRule="auto"/>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19,977,347 shares of Common Stock outstanding as of the date hereof, plus the shares of Common Stock issuable upon exercise of the warrants and options and conversion of the Convertible Note in footnotes (1) and (2) above, subject to applicable beneficial ownership limitations.</w:t>
      </w:r>
    </w:p>
    <w:p>
      <w:pPr>
        <w:spacing w:after="0" w:line="2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RTC3 2020 Irrevocable Trust</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5,971,104</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5,971,104</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5,971,104</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29.55%</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5,739,881 shares of Common Stock held by RTC3, and (ii) warrants to purchase 231,223 shares of Common Stock held by RTC3 that are exercisable within 60 days of the date hereof, subject to a 9.99% beneficial ownership limitation. Does not include the 1,578,947 shares of Common Stock held individually by Chinwei Wang which may in the future be transferred to RTC3 for estate planning purposes.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19,977,347 shares of Common Stock outstanding as of the date hereof, plus the shares of Common Stock issuable upon exercise of the warrants and options and conversion of the Convertible Note in footnotes (1) and (2) above, subject to applicable beneficial ownership limitations.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NXT3J Capital, LLC</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40"/>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0"/>
                <w:szCs w:val="20"/>
                <w:color w:val="auto"/>
              </w:rPr>
            </w:pPr>
          </w:p>
        </w:tc>
        <w:tc>
          <w:tcPr>
            <w:tcW w:w="8960" w:type="dxa"/>
            <w:vAlign w:val="bottom"/>
          </w:tcPr>
          <w:p>
            <w:pPr>
              <w:ind w:left="320"/>
              <w:spacing w:after="0" w:line="240" w:lineRule="exact"/>
              <w:rPr>
                <w:sz w:val="20"/>
                <w:szCs w:val="20"/>
                <w:color w:val="auto"/>
              </w:rPr>
            </w:pPr>
            <w:r>
              <w:rPr>
                <w:rFonts w:ascii="Times New Roman" w:cs="Times New Roman" w:eastAsia="Times New Roman" w:hAnsi="Times New Roman"/>
                <w:sz w:val="17"/>
                <w:szCs w:val="17"/>
                <w:color w:val="auto"/>
              </w:rPr>
              <w:t>648</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192"/>
        </w:trPr>
        <w:tc>
          <w:tcPr>
            <w:tcW w:w="1340" w:type="dxa"/>
            <w:vAlign w:val="bottom"/>
          </w:tcPr>
          <w:p>
            <w:pPr>
              <w:jc w:val="center"/>
              <w:ind w:right="23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191" w:lineRule="auto"/>
        <w:tabs>
          <w:tab w:leader="none" w:pos="2600"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35"/>
          <w:szCs w:val="35"/>
          <w:color w:val="auto"/>
          <w:vertAlign w:val="subscript"/>
        </w:rPr>
        <w:t>648</w:t>
      </w:r>
      <w:r>
        <w:rPr>
          <w:rFonts w:ascii="Times New Roman" w:cs="Times New Roman" w:eastAsia="Times New Roman" w:hAnsi="Times New Roman"/>
          <w:sz w:val="14"/>
          <w:szCs w:val="14"/>
          <w:color w:val="auto"/>
        </w:rPr>
        <w:t>(1)</w:t>
      </w:r>
    </w:p>
    <w:p>
      <w:pPr>
        <w:spacing w:after="0" w:line="27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648</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648 shares of Common Stock held by NXT3J.</w:t>
      </w:r>
    </w:p>
    <w:p>
      <w:pPr>
        <w:spacing w:after="0" w:line="25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19,977,347 shares of Common Stock outstanding as of the date hereof.</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40" w:right="906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00" w:type="dxa"/>
            <w:vAlign w:val="bottom"/>
            <w:tcBorders>
              <w:bottom w:val="single" w:sz="8" w:color="auto"/>
            </w:tcBorders>
          </w:tcPr>
          <w:p>
            <w:pPr>
              <w:spacing w:after="0"/>
              <w:rPr>
                <w:sz w:val="21"/>
                <w:szCs w:val="21"/>
                <w:color w:val="auto"/>
              </w:rPr>
            </w:pPr>
          </w:p>
        </w:tc>
        <w:tc>
          <w:tcPr>
            <w:tcW w:w="8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60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4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600" w:type="dxa"/>
            <w:vAlign w:val="bottom"/>
          </w:tcPr>
          <w:p>
            <w:pPr>
              <w:spacing w:after="0"/>
              <w:rPr>
                <w:sz w:val="21"/>
                <w:szCs w:val="21"/>
                <w:color w:val="auto"/>
              </w:rPr>
            </w:pPr>
          </w:p>
        </w:tc>
        <w:tc>
          <w:tcPr>
            <w:tcW w:w="894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84,181,581</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0" w:type="dxa"/>
            <w:vAlign w:val="bottom"/>
          </w:tcPr>
          <w:p>
            <w:pPr>
              <w:spacing w:after="0"/>
              <w:rPr>
                <w:sz w:val="15"/>
                <w:szCs w:val="15"/>
                <w:color w:val="auto"/>
              </w:rPr>
            </w:pPr>
          </w:p>
        </w:tc>
        <w:tc>
          <w:tcPr>
            <w:tcW w:w="8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6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60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0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60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20" w:right="6660" w:hanging="781"/>
        <w:spacing w:after="0" w:line="289" w:lineRule="auto"/>
        <w:tabs>
          <w:tab w:leader="none" w:pos="2620"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84,181,581</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40" w:right="5240" w:hanging="788"/>
        <w:spacing w:after="0" w:line="295" w:lineRule="auto"/>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84,181,581</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53"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(i) that number of shares of Common Stock issuable to CP Acquisitions, an entity controlled by Mr. Chang, issuable to Mr. Chang upon the conversion of the Convertible Note due 2025 described herein with an outstanding principal amount of $3,500,000.00 and a conversion price of $1.46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Chang and/or Ms. I-Tseng Jenny Chan, each a member of the Board, in which case the 49.99% beneficial ownership limitation will apply to each of them individually, (ii) pre-funded warrants to purchase 81,784,320 shares of Common Stock held by CP Acquisitions that are exercisable within 60 days of the date hereof, as amended by the CP Warrant Amendment, and subject to (A) a 49.99% beneficial ownership limitation, and (B) an agreement between CP Acquisitions and the Issuer whereby CP Acquisitions agreed not to exercise the CP Warrant for more than 4,000,000 shares of Common Stock until the Issuer completes a reverse stock split or increase in authorized shares resulting in sufficient authorized but unissued shares to permit such conversion or exercise, and (iii) that number of shares of Common Stock issuable to CP Acquisitions or, at CP Acquisition’s election, pre-funded warrants to purchase shares of Common Stock issuable to CP Acquisitions upon conversion of the New Junior Note due July 1, 2025 described herein with an outstanding principal amount of $1,500,000.00 and a conversion price of $0.2633 (as may be adjusted per the New Junior Note), which pre-funded warrants are exercisable subject to a 49.99% beneficial ownership limitation.</w:t>
      </w:r>
    </w:p>
    <w:p>
      <w:pPr>
        <w:spacing w:after="0" w:line="10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19,977,347 shares of Common Stock outstanding as of the date hereof, plus the shares of Common Stock issuable and issued upon exercise of the warrants and options and conversion of the Convertible Note in footnotes (1) and (2) above, subject to applicable beneficial ownership limitations.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42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GIC Acquisition LLC</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40" w:right="906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00" w:type="dxa"/>
            <w:vAlign w:val="bottom"/>
            <w:tcBorders>
              <w:bottom w:val="single" w:sz="8" w:color="auto"/>
            </w:tcBorders>
          </w:tcPr>
          <w:p>
            <w:pPr>
              <w:spacing w:after="0"/>
              <w:rPr>
                <w:sz w:val="21"/>
                <w:szCs w:val="21"/>
                <w:color w:val="auto"/>
              </w:rPr>
            </w:pPr>
          </w:p>
        </w:tc>
        <w:tc>
          <w:tcPr>
            <w:tcW w:w="8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60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4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600" w:type="dxa"/>
            <w:vAlign w:val="bottom"/>
          </w:tcPr>
          <w:p>
            <w:pPr>
              <w:spacing w:after="0"/>
              <w:rPr>
                <w:sz w:val="21"/>
                <w:szCs w:val="21"/>
                <w:color w:val="auto"/>
              </w:rPr>
            </w:pPr>
          </w:p>
        </w:tc>
        <w:tc>
          <w:tcPr>
            <w:tcW w:w="894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16,276,832</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0" w:type="dxa"/>
            <w:vAlign w:val="bottom"/>
          </w:tcPr>
          <w:p>
            <w:pPr>
              <w:spacing w:after="0"/>
              <w:rPr>
                <w:sz w:val="15"/>
                <w:szCs w:val="15"/>
                <w:color w:val="auto"/>
              </w:rPr>
            </w:pPr>
          </w:p>
        </w:tc>
        <w:tc>
          <w:tcPr>
            <w:tcW w:w="8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6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60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0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60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20" w:right="6660" w:hanging="781"/>
        <w:spacing w:after="0" w:line="289" w:lineRule="auto"/>
        <w:tabs>
          <w:tab w:leader="none" w:pos="2620"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16,276,832</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40" w:right="5240" w:hanging="788"/>
        <w:spacing w:after="0" w:line="295" w:lineRule="auto"/>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16,276,832</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5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pre-funded warrants to purchase 16,276,832 shares of Common Stock held by GIC Acquisition that are exercisable within 60 days of the date hereof, as amended by the GIC Warrant Amendment, and subject to (A) a 49.99% beneficial ownership limitation, and (B) an agreement between GIC Acquisition and the Issuer whereby GIC Acquisition agreed not to exercise the GIC Warrant for more than 7,383,053 shares of Common Stock until the Issuer completes a reverse stock split or increase in authorized shares resulting in sufficient authorized but unissued shares to permit such conversion or exercise.</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19,977,347 shares of Common Stock outstanding as of the date hereof, plus the shares of Common Stock issuable and issued upon exercise of the warrants and options and conversion of the Convertible Note in footnote (1) above, subject to applicable beneficial ownership limitations.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Raymond Chang Jr.</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3"/>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3"/>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40"/>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0"/>
                <w:szCs w:val="20"/>
                <w:color w:val="auto"/>
              </w:rPr>
            </w:pPr>
          </w:p>
        </w:tc>
        <w:tc>
          <w:tcPr>
            <w:tcW w:w="8960" w:type="dxa"/>
            <w:vAlign w:val="bottom"/>
          </w:tcPr>
          <w:p>
            <w:pPr>
              <w:ind w:left="320"/>
              <w:spacing w:after="0" w:line="240" w:lineRule="exact"/>
              <w:rPr>
                <w:sz w:val="20"/>
                <w:szCs w:val="20"/>
                <w:color w:val="auto"/>
              </w:rPr>
            </w:pPr>
            <w:r>
              <w:rPr>
                <w:rFonts w:ascii="Times New Roman" w:cs="Times New Roman" w:eastAsia="Times New Roman" w:hAnsi="Times New Roman"/>
                <w:sz w:val="17"/>
                <w:szCs w:val="17"/>
                <w:color w:val="auto"/>
              </w:rPr>
              <w:t>203</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192"/>
        </w:trPr>
        <w:tc>
          <w:tcPr>
            <w:tcW w:w="1340" w:type="dxa"/>
            <w:vAlign w:val="bottom"/>
          </w:tcPr>
          <w:p>
            <w:pPr>
              <w:jc w:val="center"/>
              <w:ind w:right="23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203</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203</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to 203 shares of Common Stock issuable upon exercise of stock options held by Mr. Chang, Jr., that are exercisable within 60 days of the date hereof. Does not consist of 105,139 shares of Common Stock underlying time-based restricted stock units that will not vest within 60 days of the day hereof granted to Mr. Chang, Jr. under the Plan.</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19,977,347 shares of Common Stock outstanding as of the date hereof, plus 203 shares of Common Stock issuable upon exercise of the options described in footnote (1)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Chinwei Wang</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314" w:lineRule="auto"/>
        <w:tabs>
          <w:tab w:leader="none" w:pos="2600" w:val="left"/>
        </w:tabs>
        <w:numPr>
          <w:ilvl w:val="2"/>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Sole Voting Power </w:t>
      </w:r>
      <w:r>
        <w:rPr>
          <w:rFonts w:ascii="Times New Roman" w:cs="Times New Roman" w:eastAsia="Times New Roman" w:hAnsi="Times New Roman"/>
          <w:sz w:val="17"/>
          <w:szCs w:val="17"/>
          <w:color w:val="auto"/>
        </w:rPr>
        <w:t>1,578,947</w:t>
      </w:r>
      <w:r>
        <w:rPr>
          <w:rFonts w:ascii="Times New Roman" w:cs="Times New Roman" w:eastAsia="Times New Roman" w:hAnsi="Times New Roman"/>
          <w:sz w:val="28"/>
          <w:szCs w:val="28"/>
          <w:color w:val="auto"/>
          <w:vertAlign w:val="superscript"/>
        </w:rPr>
        <w:t>(1)</w:t>
      </w:r>
    </w:p>
    <w:p>
      <w:pPr>
        <w:spacing w:after="0" w:line="25" w:lineRule="exact"/>
        <w:rPr>
          <w:sz w:val="20"/>
          <w:szCs w:val="20"/>
          <w:color w:val="auto"/>
        </w:rPr>
      </w:pPr>
    </w:p>
    <w:tbl>
      <w:tblPr>
        <w:tblLayout w:type="fixed"/>
        <w:tblInd w:w="360" w:type="dxa"/>
        <w:tblCellMar>
          <w:top w:w="0" w:type="dxa"/>
          <w:left w:w="0" w:type="dxa"/>
          <w:bottom w:w="0" w:type="dxa"/>
          <w:right w:w="0" w:type="dxa"/>
        </w:tblCellMar>
      </w:tblPr>
      <w:tr>
        <w:trPr>
          <w:trHeight w:val="4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340" w:type="dxa"/>
            <w:vAlign w:val="bottom"/>
            <w:vMerge w:val="continue"/>
          </w:tcPr>
          <w:p>
            <w:pPr>
              <w:spacing w:after="0"/>
              <w:rPr>
                <w:sz w:val="13"/>
                <w:szCs w:val="13"/>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vMerge w:val="continue"/>
          </w:tcPr>
          <w:p>
            <w:pPr>
              <w:spacing w:after="0"/>
              <w:rPr>
                <w:sz w:val="6"/>
                <w:szCs w:val="6"/>
                <w:color w:val="auto"/>
              </w:rPr>
            </w:pPr>
          </w:p>
        </w:tc>
        <w:tc>
          <w:tcPr>
            <w:tcW w:w="8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3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7"/>
                <w:szCs w:val="7"/>
                <w:color w:val="auto"/>
              </w:rPr>
            </w:pPr>
          </w:p>
        </w:tc>
        <w:tc>
          <w:tcPr>
            <w:tcW w:w="8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6"/>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line="276" w:lineRule="exact"/>
              <w:rPr>
                <w:sz w:val="20"/>
                <w:szCs w:val="20"/>
                <w:color w:val="auto"/>
              </w:rPr>
            </w:pPr>
            <w:r>
              <w:rPr>
                <w:rFonts w:ascii="Times New Roman" w:cs="Times New Roman" w:eastAsia="Times New Roman" w:hAnsi="Times New Roman"/>
                <w:sz w:val="18"/>
                <w:szCs w:val="18"/>
                <w:color w:val="auto"/>
              </w:rPr>
              <w:t>1,578,947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600" w:right="6680" w:hanging="774"/>
        <w:spacing w:after="0" w:line="286" w:lineRule="auto"/>
        <w:tabs>
          <w:tab w:leader="none" w:pos="2600"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spacing w:after="0" w:line="23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1,578,947</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7.90%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1,578,947 shares of Common Stock held individually, which may be transferred to RTC3 for estate planning purposes.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19,977,347 shares of Common Stock outstanding as of the date 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Amendment No. 8 to the statement on Schedule 13D (“</w:t>
      </w:r>
      <w:r>
        <w:rPr>
          <w:rFonts w:ascii="Times New Roman" w:cs="Times New Roman" w:eastAsia="Times New Roman" w:hAnsi="Times New Roman"/>
          <w:sz w:val="18"/>
          <w:szCs w:val="18"/>
          <w:i w:val="1"/>
          <w:iCs w:val="1"/>
          <w:color w:val="auto"/>
        </w:rPr>
        <w:t>Amendment No. 8</w:t>
      </w:r>
      <w:r>
        <w:rPr>
          <w:rFonts w:ascii="Times New Roman" w:cs="Times New Roman" w:eastAsia="Times New Roman" w:hAnsi="Times New Roman"/>
          <w:sz w:val="18"/>
          <w:szCs w:val="18"/>
          <w:color w:val="auto"/>
        </w:rPr>
        <w:t>”) amends the Schedule 13D originally filed by the Reporting Persons (as defined herein) on December 30, 2022, as amended by that certain Amendment No. 1 filed on October 31, 2023, Amendment No. 2 filed on January 29, 2024, Amendment No. 3 filed on March 1, 2024, Amendment No. 4 filed on March 29, 2024, Amendment No. 5 filed on May 23, 2024, Amendment No. 6 filed on August 6, 2024, and Amendment No. 7 filed on August 16, 2024 (collectively,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and relates to the shares of common stock, par value $0.001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Agrify Corporation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beneficially owned by Raymond Nobu Chang (“</w:t>
      </w:r>
      <w:r>
        <w:rPr>
          <w:rFonts w:ascii="Times New Roman" w:cs="Times New Roman" w:eastAsia="Times New Roman" w:hAnsi="Times New Roman"/>
          <w:sz w:val="18"/>
          <w:szCs w:val="18"/>
          <w:i w:val="1"/>
          <w:iCs w:val="1"/>
          <w:color w:val="auto"/>
        </w:rPr>
        <w:t>Mr. Chang</w:t>
      </w:r>
      <w:r>
        <w:rPr>
          <w:rFonts w:ascii="Times New Roman" w:cs="Times New Roman" w:eastAsia="Times New Roman" w:hAnsi="Times New Roman"/>
          <w:sz w:val="18"/>
          <w:szCs w:val="18"/>
          <w:color w:val="auto"/>
        </w:rPr>
        <w:t>”), RTC3 2020 Irrevocable Trust (“</w:t>
      </w:r>
      <w:r>
        <w:rPr>
          <w:rFonts w:ascii="Times New Roman" w:cs="Times New Roman" w:eastAsia="Times New Roman" w:hAnsi="Times New Roman"/>
          <w:sz w:val="18"/>
          <w:szCs w:val="18"/>
          <w:i w:val="1"/>
          <w:iCs w:val="1"/>
          <w:color w:val="auto"/>
        </w:rPr>
        <w:t>RTC3</w:t>
      </w:r>
      <w:r>
        <w:rPr>
          <w:rFonts w:ascii="Times New Roman" w:cs="Times New Roman" w:eastAsia="Times New Roman" w:hAnsi="Times New Roman"/>
          <w:sz w:val="18"/>
          <w:szCs w:val="18"/>
          <w:color w:val="auto"/>
        </w:rPr>
        <w:t>”), NXT3J Capital, LLC (“</w:t>
      </w:r>
      <w:r>
        <w:rPr>
          <w:rFonts w:ascii="Times New Roman" w:cs="Times New Roman" w:eastAsia="Times New Roman" w:hAnsi="Times New Roman"/>
          <w:sz w:val="18"/>
          <w:szCs w:val="18"/>
          <w:i w:val="1"/>
          <w:iCs w:val="1"/>
          <w:color w:val="auto"/>
        </w:rPr>
        <w:t>NXT3J</w:t>
      </w:r>
      <w:r>
        <w:rPr>
          <w:rFonts w:ascii="Times New Roman" w:cs="Times New Roman" w:eastAsia="Times New Roman" w:hAnsi="Times New Roman"/>
          <w:sz w:val="18"/>
          <w:szCs w:val="18"/>
          <w:color w:val="auto"/>
        </w:rPr>
        <w:t>”),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GIC Acquisition LLC (“</w:t>
      </w:r>
      <w:r>
        <w:rPr>
          <w:rFonts w:ascii="Times New Roman" w:cs="Times New Roman" w:eastAsia="Times New Roman" w:hAnsi="Times New Roman"/>
          <w:sz w:val="18"/>
          <w:szCs w:val="18"/>
          <w:i w:val="1"/>
          <w:iCs w:val="1"/>
          <w:color w:val="auto"/>
        </w:rPr>
        <w:t>GIC Acquisition</w:t>
      </w:r>
      <w:r>
        <w:rPr>
          <w:rFonts w:ascii="Times New Roman" w:cs="Times New Roman" w:eastAsia="Times New Roman" w:hAnsi="Times New Roman"/>
          <w:sz w:val="18"/>
          <w:szCs w:val="18"/>
          <w:color w:val="auto"/>
        </w:rPr>
        <w:t>”), Raymond Chang Jr. and Chinwei Wang (each, a “</w:t>
      </w:r>
      <w:r>
        <w:rPr>
          <w:rFonts w:ascii="Times New Roman" w:cs="Times New Roman" w:eastAsia="Times New Roman" w:hAnsi="Times New Roman"/>
          <w:sz w:val="18"/>
          <w:szCs w:val="18"/>
          <w:i w:val="1"/>
          <w:iCs w:val="1"/>
          <w:color w:val="auto"/>
        </w:rPr>
        <w:t>Reporting Person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with respect to shares of Common Stock that they may be deemed to have beneficial ownership.</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13d-2 of the Securities Exchange Act of 1934, as amended, except as specifically provided herein, this Amendment No. 8 does not modify any of the information previously reported on the Schedule 13D. Capitalized terms used but not otherwise defined in this Amendment No. 8 shall have the meanings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5(c) of the Schedule 13D is hereby amended and supplemented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Pre-Funded Warrant Amendments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reported, on June 30, 2024, the Issuer amended the terms of a pre-funded warrant (the “</w:t>
      </w:r>
      <w:r>
        <w:rPr>
          <w:rFonts w:ascii="Times New Roman" w:cs="Times New Roman" w:eastAsia="Times New Roman" w:hAnsi="Times New Roman"/>
          <w:sz w:val="18"/>
          <w:szCs w:val="18"/>
          <w:i w:val="1"/>
          <w:iCs w:val="1"/>
          <w:color w:val="auto"/>
        </w:rPr>
        <w:t>CP Warrant</w:t>
      </w:r>
      <w:r>
        <w:rPr>
          <w:rFonts w:ascii="Times New Roman" w:cs="Times New Roman" w:eastAsia="Times New Roman" w:hAnsi="Times New Roman"/>
          <w:sz w:val="18"/>
          <w:szCs w:val="18"/>
          <w:color w:val="auto"/>
        </w:rPr>
        <w:t>”) held by CP Acquisitions, an entity affiliated with and controlled by Raymond Chang, the Chairman and Chief Executive Officer of the Issuer and by I-Tseng Jenny Chan, a member of the Issuer’s Board of Directors, and a pre-funded warrant (the “</w:t>
      </w:r>
      <w:r>
        <w:rPr>
          <w:rFonts w:ascii="Times New Roman" w:cs="Times New Roman" w:eastAsia="Times New Roman" w:hAnsi="Times New Roman"/>
          <w:sz w:val="18"/>
          <w:szCs w:val="18"/>
          <w:i w:val="1"/>
          <w:iCs w:val="1"/>
          <w:color w:val="auto"/>
        </w:rPr>
        <w:t>GIC Warrant</w:t>
      </w:r>
      <w:r>
        <w:rPr>
          <w:rFonts w:ascii="Times New Roman" w:cs="Times New Roman" w:eastAsia="Times New Roman" w:hAnsi="Times New Roman"/>
          <w:sz w:val="18"/>
          <w:szCs w:val="18"/>
          <w:color w:val="auto"/>
        </w:rPr>
        <w:t>”) held by GIC Acquisition, an entity affiliated with and controlled by Mr. Chang. Among other things, the June 30, 2024 amendments removed certain adjustment provisions (the “</w:t>
      </w:r>
      <w:r>
        <w:rPr>
          <w:rFonts w:ascii="Times New Roman" w:cs="Times New Roman" w:eastAsia="Times New Roman" w:hAnsi="Times New Roman"/>
          <w:sz w:val="18"/>
          <w:szCs w:val="18"/>
          <w:i w:val="1"/>
          <w:iCs w:val="1"/>
          <w:color w:val="auto"/>
        </w:rPr>
        <w:t>Adjustment Provisions</w:t>
      </w:r>
      <w:r>
        <w:rPr>
          <w:rFonts w:ascii="Times New Roman" w:cs="Times New Roman" w:eastAsia="Times New Roman" w:hAnsi="Times New Roman"/>
          <w:sz w:val="18"/>
          <w:szCs w:val="18"/>
          <w:color w:val="auto"/>
        </w:rPr>
        <w:t>”) from the CP Warrant and the GIC Warrant. Pursuant to the Adjustment Provisions, each time the Issuer consummated any bona fide equity financing with the primary purpose of raising capital, then the number of shares of common stock underlying the CP Warrant or the GIC Warrant, as applicable, would be increased to an amount equal to (i) the amount of the convertible note that was originally converted into CP Warrant or the GIC Warrant, as applicable, divided by (ii) the purchase or conversion price in the equity financing transaction, subject to proportional adjustment in the event the CP Warrant or GIC Warrant, as applicable, has been partially exercised.</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Also as previously reported, on August 12, 2024, the shareholders of the Issuer approved a proposal to amend the CP Warrant and the GIC Warrant to add the Adjustment Provisions at a future date. Pursuant to that approval, on August 28, 2024, the Issuer entered into an amendment to the CP Warrant (the “</w:t>
      </w:r>
      <w:r>
        <w:rPr>
          <w:rFonts w:ascii="Times New Roman" w:cs="Times New Roman" w:eastAsia="Times New Roman" w:hAnsi="Times New Roman"/>
          <w:sz w:val="18"/>
          <w:szCs w:val="18"/>
          <w:i w:val="1"/>
          <w:iCs w:val="1"/>
          <w:color w:val="auto"/>
        </w:rPr>
        <w:t>CP Warrant Amendment</w:t>
      </w:r>
      <w:r>
        <w:rPr>
          <w:rFonts w:ascii="Times New Roman" w:cs="Times New Roman" w:eastAsia="Times New Roman" w:hAnsi="Times New Roman"/>
          <w:sz w:val="18"/>
          <w:szCs w:val="18"/>
          <w:color w:val="auto"/>
        </w:rPr>
        <w:t>”) and an amendment to the GIC Warrant (the “</w:t>
      </w:r>
      <w:r>
        <w:rPr>
          <w:rFonts w:ascii="Times New Roman" w:cs="Times New Roman" w:eastAsia="Times New Roman" w:hAnsi="Times New Roman"/>
          <w:sz w:val="18"/>
          <w:szCs w:val="18"/>
          <w:i w:val="1"/>
          <w:iCs w:val="1"/>
          <w:color w:val="auto"/>
        </w:rPr>
        <w:t>GIC Warrant Amendment</w:t>
      </w:r>
      <w:r>
        <w:rPr>
          <w:rFonts w:ascii="Times New Roman" w:cs="Times New Roman" w:eastAsia="Times New Roman" w:hAnsi="Times New Roman"/>
          <w:sz w:val="18"/>
          <w:szCs w:val="18"/>
          <w:color w:val="auto"/>
        </w:rPr>
        <w:t>”). The CP Warrant Amendment and the GIC Warrant Amendment inserted the Adjustment Provisions into the CP Warrant and the GIC Warrant, respectively. As a result of the CP Warrant Amendment and the GIC Warrant Amendment and the subsequent issuance of 2,844,672 shares of Common Stock to Ionic Ventures, LLC (“</w:t>
      </w:r>
      <w:r>
        <w:rPr>
          <w:rFonts w:ascii="Times New Roman" w:cs="Times New Roman" w:eastAsia="Times New Roman" w:hAnsi="Times New Roman"/>
          <w:sz w:val="18"/>
          <w:szCs w:val="18"/>
          <w:i w:val="1"/>
          <w:iCs w:val="1"/>
          <w:color w:val="auto"/>
        </w:rPr>
        <w:t>Ionic</w:t>
      </w:r>
      <w:r>
        <w:rPr>
          <w:rFonts w:ascii="Times New Roman" w:cs="Times New Roman" w:eastAsia="Times New Roman" w:hAnsi="Times New Roman"/>
          <w:sz w:val="18"/>
          <w:szCs w:val="18"/>
          <w:color w:val="auto"/>
        </w:rPr>
        <w:t>”) pursuant to that Purchase Agreement (“</w:t>
      </w:r>
      <w:r>
        <w:rPr>
          <w:rFonts w:ascii="Times New Roman" w:cs="Times New Roman" w:eastAsia="Times New Roman" w:hAnsi="Times New Roman"/>
          <w:sz w:val="18"/>
          <w:szCs w:val="18"/>
          <w:i w:val="1"/>
          <w:iCs w:val="1"/>
          <w:color w:val="auto"/>
        </w:rPr>
        <w:t>Purchase Agreement</w:t>
      </w:r>
      <w:r>
        <w:rPr>
          <w:rFonts w:ascii="Times New Roman" w:cs="Times New Roman" w:eastAsia="Times New Roman" w:hAnsi="Times New Roman"/>
          <w:sz w:val="18"/>
          <w:szCs w:val="18"/>
          <w:color w:val="auto"/>
        </w:rPr>
        <w:t>”) entered into on August 28, 2024 between Ionic and Issuer, at an effective purchase price of approximately $0.1406 per share of Common Stock, the number of shares of Common Stock underlying the CP Warrant was adjusted to 81,784,320 and the number of shares of Common Stock underlying the GIC Warrant was adjusted to 16,276,832. As a result of such adjustment and the issuance to Ionic, CP Acquisitions agreed not to exercise the CP Warrant for more than 4,000,000 shares of Common Stock or to convert its outstanding convertible notes, and GIC Acquisition agreed not to exercise the GIC Warrant for more than 7,383,053 shares of Common Stock, in each case until the Issuer completes a reverse stock split or increase in authorized shares resulting in sufficient authorized but unissued shares to permit such conversion or exercise.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summaries of the Purchase Agreement, CP Warrant Amendment, and the GIC Warrant Amendment do not purport to be complete, and are qualified in their entirety by reference to copies of the CP Warrant Amendment and the GIC Warrant Amendment, which are filed as Exhibits 10.1, 10.3 and 10.4, respectively, to the Issuer’s Current Report on Form 8-K, filed with the SEC on August 29, 2024, which are attached as exhibits 1, 2, and 3, respectively, to this Schedule 13D and are incorporated herein by reference.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The information provided or incorporated by reference in </w:t>
      </w:r>
      <w:r>
        <w:rPr>
          <w:rFonts w:ascii="Times New Roman" w:cs="Times New Roman" w:eastAsia="Times New Roman" w:hAnsi="Times New Roman"/>
          <w:sz w:val="18"/>
          <w:szCs w:val="18"/>
          <w:i w:val="1"/>
          <w:iCs w:val="1"/>
          <w:u w:val="single" w:color="auto"/>
          <w:color w:val="auto"/>
        </w:rPr>
        <w:t>Item 5</w:t>
      </w:r>
      <w:r>
        <w:rPr>
          <w:rFonts w:ascii="Times New Roman" w:cs="Times New Roman" w:eastAsia="Times New Roman" w:hAnsi="Times New Roman"/>
          <w:sz w:val="18"/>
          <w:szCs w:val="18"/>
          <w:i w:val="1"/>
          <w:iCs w:val="1"/>
          <w:color w:val="auto"/>
        </w:rPr>
        <w:t xml:space="preserve"> of this Schedule 13D, is hereby incorporated herein by this reference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Item 6 is hereby amended and modified to include the following (which shall be in addition to the information previously included in the Schedule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in the CP Warrant Amendment and the GIC Warrant Amendment, or herein, the Reporting Persons do not have any contracts, arrangements, understandings or relationships (legal or otherwise) with any person with respect to any securities of the Issuer, including, but not limited to, any contracts, arrangements, understandings or relationships concerning the call options, put options, security-based swaps or any other derivative securities, transfer or voting of such securities, finder’s fees, joint ventures, loan or option arrangements, guarantees of profits, division of profits or losses, or the giving or withholding of proxies.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p>
    <w:p>
      <w:pPr>
        <w:ind w:left="1140" w:hanging="1132"/>
        <w:spacing w:after="0" w:line="261" w:lineRule="auto"/>
        <w:tabs>
          <w:tab w:leader="none" w:pos="1140" w:val="left"/>
        </w:tabs>
        <w:numPr>
          <w:ilvl w:val="0"/>
          <w:numId w:val="31"/>
        </w:numPr>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Purchase Agreement, dated as of August 28, 2024, by and between Agrify Corporation and Ionic Ventures, LLC (incorporated by reference</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to Exhibit 10.1 to the Issuer's Current Report on Form 8-K, filed with the SEC on August 29, 2024).</w:t>
        </w:r>
      </w:hyperlink>
    </w:p>
    <w:p>
      <w:pPr>
        <w:jc w:val="both"/>
        <w:ind w:left="1140" w:hanging="1132"/>
        <w:spacing w:after="0" w:line="250" w:lineRule="auto"/>
        <w:tabs>
          <w:tab w:leader="none" w:pos="1140" w:val="left"/>
        </w:tabs>
        <w:numPr>
          <w:ilvl w:val="0"/>
          <w:numId w:val="32"/>
        </w:numPr>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Amendment to Pre-Funded Common Stock Purchase Warrant, dated as of August 28, 2024, by and between Agrify Corporation and CP</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Acquisitions, LLC (incorporated by reference to Exhibit 10.3 to the Issuer's Current Report on Form 8-K, filed with the SEC on August 29,</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2024).</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140" w:hanging="1132"/>
        <w:spacing w:after="0" w:line="255" w:lineRule="auto"/>
        <w:tabs>
          <w:tab w:leader="none" w:pos="1140" w:val="left"/>
        </w:tabs>
        <w:numPr>
          <w:ilvl w:val="0"/>
          <w:numId w:val="33"/>
        </w:numPr>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Amendment to Pre-Funded Common Stock Purchase Warrant, dated as of August 28, 2024, by and between Agrify Corporation and GIC</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Acquisition LLC (incorporated by reference to Exhibit 10.4 to the Issuer’s Current Report on Form 8-K, filed with the SEC on August 29,</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2024).</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2"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Nobu Chang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Nobu Chang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RTC3 2020 Irrevocable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Johanna Wise Sullivan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Johanna Wise Sullivan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NXT3J Capital,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GIC Acquisition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Chang, Jr.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Chang,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Chang, Jr.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Chinwei Wang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Chinwei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Chinwei Wang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431BD7B7"/>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3F2DBA31"/>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7C83E45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257130A3"/>
    <w:multiLevelType w:val="hybridMultilevel"/>
    <w:lvl w:ilvl="0">
      <w:lvlJc w:val="left"/>
      <w:lvlText w:val="(%1)"/>
      <w:numFmt w:val="decimal"/>
      <w:start w:val="3"/>
    </w:lvl>
  </w:abstractNum>
  <w:abstractNum w:abstractNumId="6">
    <w:nsid w:val="62BBD9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7">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8">
    <w:nsid w:val="628C895D"/>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9">
    <w:nsid w:val="333AB10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721DA317"/>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1">
    <w:nsid w:val="2443A858"/>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2">
    <w:nsid w:val="2D1D5AE9"/>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3">
    <w:nsid w:val="6763845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75A2A8D4"/>
    <w:multiLevelType w:val="hybridMultilevel"/>
    <w:lvl w:ilvl="0">
      <w:lvlJc w:val="left"/>
      <w:lvlText w:val="%1."/>
      <w:numFmt w:val="decimal"/>
      <w:start w:val="1"/>
    </w:lvl>
    <w:lvl w:ilvl="1">
      <w:lvlJc w:val="left"/>
      <w:lvlText w:val="(%2)"/>
      <w:numFmt w:val="lowerLetter"/>
      <w:start w:val="1"/>
    </w:lvl>
  </w:abstractNum>
  <w:abstractNum w:abstractNumId="15">
    <w:nsid w:val="8EDBDA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6">
    <w:nsid w:val="79838CB2"/>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7">
    <w:nsid w:val="4353D0C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B03E0C6"/>
    <w:multiLevelType w:val="hybridMultilevel"/>
    <w:lvl w:ilvl="0">
      <w:lvlJc w:val="left"/>
      <w:lvlText w:val="%1."/>
      <w:numFmt w:val="decimal"/>
      <w:start w:val="1"/>
    </w:lvl>
    <w:lvl w:ilvl="1">
      <w:lvlJc w:val="left"/>
      <w:lvlText w:val="(%2)"/>
      <w:numFmt w:val="lowerLetter"/>
      <w:start w:val="1"/>
    </w:lvl>
  </w:abstractNum>
  <w:abstractNum w:abstractNumId="19">
    <w:nsid w:val="189A769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0">
    <w:nsid w:val="54E49EB4"/>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1">
    <w:nsid w:val="71F3245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2">
    <w:nsid w:val="2CA88611"/>
    <w:multiLevelType w:val="hybridMultilevel"/>
    <w:lvl w:ilvl="0">
      <w:lvlJc w:val="left"/>
      <w:lvlText w:val="%1."/>
      <w:numFmt w:val="decimal"/>
      <w:start w:val="1"/>
    </w:lvl>
    <w:lvl w:ilvl="1">
      <w:lvlJc w:val="left"/>
      <w:lvlText w:val="(%2)"/>
      <w:numFmt w:val="lowerLetter"/>
      <w:start w:val="1"/>
    </w:lvl>
  </w:abstractNum>
  <w:abstractNum w:abstractNumId="23">
    <w:nsid w:val="836C40E"/>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4">
    <w:nsid w:val="2901D82"/>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5">
    <w:nsid w:val="3A95F87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6">
    <w:nsid w:val="8138641"/>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7">
    <w:nsid w:val="1E7FF52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8">
    <w:nsid w:val="7C3DBD3D"/>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9">
    <w:nsid w:val="737B8DD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0">
    <w:nsid w:val="6CEAF087"/>
    <w:multiLevelType w:val="hybridMultilevel"/>
    <w:lvl w:ilvl="0">
      <w:lvlJc w:val="left"/>
      <w:lvlText w:val="1"/>
      <w:numFmt w:val="bullet"/>
      <w:start w:val="1"/>
    </w:lvl>
  </w:abstractNum>
  <w:abstractNum w:abstractNumId="31">
    <w:nsid w:val="22221A70"/>
    <w:multiLevelType w:val="hybridMultilevel"/>
    <w:lvl w:ilvl="0">
      <w:lvlJc w:val="left"/>
      <w:lvlText w:val="2"/>
      <w:numFmt w:val="bullet"/>
      <w:start w:val="1"/>
    </w:lvl>
  </w:abstractNum>
  <w:abstractNum w:abstractNumId="32">
    <w:nsid w:val="4516DDE9"/>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1"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29" Type="http://schemas.openxmlformats.org/officeDocument/2006/relationships/hyperlink" Target="http://www.sec.gov/Archives/edgar/data/1800637/000121390024073911/ea021277101ex10-1_agrify.htm" TargetMode="External"/><Relationship Id="rId30" Type="http://schemas.openxmlformats.org/officeDocument/2006/relationships/hyperlink" Target="http://www.sec.gov/Archives/edgar/data/1800637/000121390024073911/ea021277101ex10-3_agrify.htm" TargetMode="External"/><Relationship Id="rId32" Type="http://schemas.openxmlformats.org/officeDocument/2006/relationships/hyperlink" Target="http://www.sec.gov/Archives/edgar/data/1800637/000121390024073911/ea021277101ex10-4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2024-09-04T20:27:34Z</dcterms:created>
  <dcterms:modified xsi:type="dcterms:W3CDTF">2024-09-04T20:27:34Z</dcterms:modified>
</cp:coreProperties>
</file>