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7, 2024</w:t>
      </w:r>
    </w:p>
    <w:p>
      <w:pPr>
        <w:spacing w:after="0" w:line="31" w:lineRule="exact"/>
        <w:rPr>
          <w:sz w:val="24"/>
          <w:szCs w:val="24"/>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Registration No. 333-276724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125730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168910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w:t>
      </w: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Agrify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w:t>
      </w:r>
    </w:p>
    <w:p>
      <w:pPr>
        <w:spacing w:after="0" w:line="150"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0700</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c>
          <w:tcPr>
            <w:tcW w:w="0" w:type="dxa"/>
            <w:vAlign w:val="bottom"/>
          </w:tcPr>
          <w:p>
            <w:pPr>
              <w:spacing w:after="0"/>
              <w:rPr>
                <w:sz w:val="1"/>
                <w:szCs w:val="1"/>
                <w:color w:val="auto"/>
              </w:rPr>
            </w:pPr>
          </w:p>
        </w:tc>
      </w:tr>
      <w:tr>
        <w:trPr>
          <w:trHeight w:val="68"/>
        </w:trPr>
        <w:tc>
          <w:tcPr>
            <w:tcW w:w="260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600" w:type="dxa"/>
            <w:vAlign w:val="bottom"/>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6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Drive, Troy, Michigan 48084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Raymond Nobu Chang</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Drive, Troy, Michigan 48084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7" w:lineRule="exact"/>
        <w:rPr>
          <w:sz w:val="24"/>
          <w:szCs w:val="24"/>
          <w:color w:val="auto"/>
        </w:rPr>
      </w:pPr>
    </w:p>
    <w:tbl>
      <w:tblPr>
        <w:tblLayout w:type="fixed"/>
        <w:tblInd w:w="1540" w:type="dxa"/>
        <w:tblCellMar>
          <w:top w:w="0" w:type="dxa"/>
          <w:left w:w="0" w:type="dxa"/>
          <w:bottom w:w="0" w:type="dxa"/>
          <w:right w:w="0" w:type="dxa"/>
        </w:tblCellMar>
      </w:tblPr>
      <w:tr>
        <w:trPr>
          <w:trHeight w:val="141"/>
        </w:trPr>
        <w:tc>
          <w:tcPr>
            <w:tcW w:w="1820" w:type="dxa"/>
            <w:vAlign w:val="bottom"/>
          </w:tcPr>
          <w:p>
            <w:pPr>
              <w:spacing w:after="0"/>
              <w:rPr>
                <w:sz w:val="12"/>
                <w:szCs w:val="12"/>
                <w:color w:val="auto"/>
              </w:rPr>
            </w:pPr>
          </w:p>
        </w:tc>
        <w:tc>
          <w:tcPr>
            <w:tcW w:w="4480" w:type="dxa"/>
            <w:vAlign w:val="bottom"/>
          </w:tcPr>
          <w:p>
            <w:pPr>
              <w:jc w:val="center"/>
              <w:ind w:right="2098"/>
              <w:spacing w:after="0"/>
              <w:rPr>
                <w:sz w:val="20"/>
                <w:szCs w:val="20"/>
                <w:color w:val="auto"/>
              </w:rPr>
            </w:pPr>
            <w:r>
              <w:rPr>
                <w:rFonts w:ascii="Times New Roman" w:cs="Times New Roman" w:eastAsia="Times New Roman" w:hAnsi="Times New Roman"/>
                <w:sz w:val="11"/>
                <w:szCs w:val="11"/>
                <w:b w:val="1"/>
                <w:bCs w:val="1"/>
                <w:color w:val="auto"/>
                <w:w w:val="97"/>
              </w:rPr>
              <w:t>__________________________________________</w:t>
            </w:r>
          </w:p>
        </w:tc>
      </w:tr>
      <w:tr>
        <w:trPr>
          <w:trHeight w:val="238"/>
        </w:trPr>
        <w:tc>
          <w:tcPr>
            <w:tcW w:w="1820" w:type="dxa"/>
            <w:vAlign w:val="bottom"/>
          </w:tcPr>
          <w:p>
            <w:pPr>
              <w:spacing w:after="0"/>
              <w:rPr>
                <w:sz w:val="20"/>
                <w:szCs w:val="20"/>
                <w:color w:val="auto"/>
              </w:rPr>
            </w:pPr>
          </w:p>
        </w:tc>
        <w:tc>
          <w:tcPr>
            <w:tcW w:w="4480" w:type="dxa"/>
            <w:vAlign w:val="bottom"/>
          </w:tcPr>
          <w:p>
            <w:pPr>
              <w:jc w:val="center"/>
              <w:ind w:right="2098"/>
              <w:spacing w:after="0"/>
              <w:rPr>
                <w:sz w:val="20"/>
                <w:szCs w:val="20"/>
                <w:color w:val="auto"/>
              </w:rPr>
            </w:pPr>
            <w:r>
              <w:rPr>
                <w:rFonts w:ascii="Times New Roman" w:cs="Times New Roman" w:eastAsia="Times New Roman" w:hAnsi="Times New Roman"/>
                <w:sz w:val="18"/>
                <w:szCs w:val="18"/>
                <w:b w:val="1"/>
                <w:bCs w:val="1"/>
                <w:i w:val="1"/>
                <w:iCs w:val="1"/>
                <w:color w:val="auto"/>
                <w:w w:val="99"/>
              </w:rPr>
              <w:t>With copies to:</w:t>
            </w:r>
          </w:p>
        </w:tc>
      </w:tr>
      <w:tr>
        <w:trPr>
          <w:trHeight w:val="369"/>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Frank A. Segall, Esq.</w:t>
            </w:r>
          </w:p>
        </w:tc>
        <w:tc>
          <w:tcPr>
            <w:tcW w:w="44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w w:val="99"/>
              </w:rPr>
              <w:t>Joseph M. Lucosky, Esq.</w:t>
            </w: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Robert A. Petitt, Esq.</w:t>
            </w:r>
          </w:p>
        </w:tc>
        <w:tc>
          <w:tcPr>
            <w:tcW w:w="44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w w:val="99"/>
              </w:rPr>
              <w:t>Steven A. Lipstein, Esq.</w:t>
            </w: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Burns &amp; Levinson LLP</w:t>
            </w:r>
          </w:p>
        </w:tc>
        <w:tc>
          <w:tcPr>
            <w:tcW w:w="44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w w:val="99"/>
              </w:rPr>
              <w:t>Lucosky Brookman LLP</w:t>
            </w: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125 High Street</w:t>
            </w:r>
          </w:p>
        </w:tc>
        <w:tc>
          <w:tcPr>
            <w:tcW w:w="4480" w:type="dxa"/>
            <w:vAlign w:val="bottom"/>
          </w:tcPr>
          <w:p>
            <w:pPr>
              <w:jc w:val="center"/>
              <w:ind w:left="1778"/>
              <w:spacing w:after="0" w:line="216" w:lineRule="exact"/>
              <w:rPr>
                <w:sz w:val="20"/>
                <w:szCs w:val="20"/>
                <w:color w:val="auto"/>
              </w:rPr>
            </w:pPr>
            <w:r>
              <w:rPr>
                <w:rFonts w:ascii="Times New Roman" w:cs="Times New Roman" w:eastAsia="Times New Roman" w:hAnsi="Times New Roman"/>
                <w:sz w:val="18"/>
                <w:szCs w:val="18"/>
                <w:b w:val="1"/>
                <w:bCs w:val="1"/>
                <w:color w:val="auto"/>
                <w:w w:val="98"/>
              </w:rPr>
              <w:t>101 Wood Avenue South, 5</w:t>
            </w:r>
            <w:r>
              <w:rPr>
                <w:rFonts w:ascii="Times New Roman" w:cs="Times New Roman" w:eastAsia="Times New Roman" w:hAnsi="Times New Roman"/>
                <w:sz w:val="20"/>
                <w:szCs w:val="20"/>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w:t>
            </w: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Boston, MA 02110</w:t>
            </w:r>
          </w:p>
        </w:tc>
        <w:tc>
          <w:tcPr>
            <w:tcW w:w="44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w w:val="98"/>
              </w:rPr>
              <w:t>Woodbridge, NJ 08830</w:t>
            </w:r>
          </w:p>
        </w:tc>
      </w:tr>
      <w:tr>
        <w:trPr>
          <w:trHeight w:val="238"/>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(617) 345-3000</w:t>
            </w:r>
          </w:p>
        </w:tc>
        <w:tc>
          <w:tcPr>
            <w:tcW w:w="44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rPr>
              <w:t>(732) 395-4400</w:t>
            </w:r>
          </w:p>
        </w:tc>
      </w:tr>
      <w:tr>
        <w:trPr>
          <w:trHeight w:val="343"/>
        </w:trPr>
        <w:tc>
          <w:tcPr>
            <w:tcW w:w="1820" w:type="dxa"/>
            <w:vAlign w:val="bottom"/>
          </w:tcPr>
          <w:p>
            <w:pPr>
              <w:spacing w:after="0"/>
              <w:rPr>
                <w:sz w:val="24"/>
                <w:szCs w:val="24"/>
                <w:color w:val="auto"/>
              </w:rPr>
            </w:pPr>
          </w:p>
        </w:tc>
        <w:tc>
          <w:tcPr>
            <w:tcW w:w="4480" w:type="dxa"/>
            <w:vAlign w:val="bottom"/>
          </w:tcPr>
          <w:p>
            <w:pPr>
              <w:jc w:val="center"/>
              <w:ind w:right="2098"/>
              <w:spacing w:after="0"/>
              <w:rPr>
                <w:sz w:val="20"/>
                <w:szCs w:val="20"/>
                <w:color w:val="auto"/>
              </w:rPr>
            </w:pPr>
            <w:r>
              <w:rPr>
                <w:rFonts w:ascii="Times New Roman" w:cs="Times New Roman" w:eastAsia="Times New Roman" w:hAnsi="Times New Roman"/>
                <w:sz w:val="11"/>
                <w:szCs w:val="11"/>
                <w:b w:val="1"/>
                <w:bCs w:val="1"/>
                <w:color w:val="auto"/>
                <w:w w:val="97"/>
              </w:rPr>
              <w:t>__________________________________________</w:t>
            </w:r>
          </w:p>
        </w:tc>
      </w:tr>
    </w:tbl>
    <w:p>
      <w:pPr>
        <w:spacing w:after="0" w:line="60" w:lineRule="exact"/>
        <w:rPr>
          <w:sz w:val="24"/>
          <w:szCs w:val="24"/>
          <w:color w:val="auto"/>
        </w:rPr>
      </w:pPr>
    </w:p>
    <w:p>
      <w:pPr>
        <w:ind w:left="460" w:right="479" w:firstLine="432"/>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the effective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this registration statement.</w:t>
      </w:r>
    </w:p>
    <w:p>
      <w:pPr>
        <w:jc w:val="both"/>
        <w:ind w:left="460" w:right="479" w:firstLine="432"/>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9" w:lineRule="exact"/>
        <w:rPr>
          <w:sz w:val="24"/>
          <w:szCs w:val="24"/>
          <w:color w:val="auto"/>
        </w:rPr>
      </w:pPr>
    </w:p>
    <w:p>
      <w:pPr>
        <w:jc w:val="both"/>
        <w:ind w:left="460" w:right="45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 w:lineRule="exact"/>
        <w:rPr>
          <w:sz w:val="24"/>
          <w:szCs w:val="24"/>
          <w:color w:val="auto"/>
        </w:rPr>
      </w:pPr>
    </w:p>
    <w:p>
      <w:pPr>
        <w:jc w:val="both"/>
        <w:ind w:left="460" w:right="479" w:firstLine="432"/>
        <w:spacing w:after="0" w:line="211"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9" w:lineRule="exact"/>
        <w:rPr>
          <w:sz w:val="24"/>
          <w:szCs w:val="24"/>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01" w:lineRule="exact"/>
        <w:rPr>
          <w:sz w:val="24"/>
          <w:szCs w:val="24"/>
          <w:color w:val="auto"/>
        </w:rPr>
      </w:pPr>
    </w:p>
    <w:tbl>
      <w:tblPr>
        <w:tblLayout w:type="fixed"/>
        <w:tblInd w:w="780" w:type="dxa"/>
        <w:tblCellMar>
          <w:top w:w="0" w:type="dxa"/>
          <w:left w:w="0" w:type="dxa"/>
          <w:bottom w:w="0" w:type="dxa"/>
          <w:right w:w="0" w:type="dxa"/>
        </w:tblCellMar>
      </w:tblPr>
      <w:tr>
        <w:trPr>
          <w:trHeight w:val="272"/>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Accelerated filer</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8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2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36" w:lineRule="exact"/>
        <w:rPr>
          <w:sz w:val="24"/>
          <w:szCs w:val="24"/>
          <w:color w:val="auto"/>
        </w:rPr>
      </w:pPr>
    </w:p>
    <w:p>
      <w:pPr>
        <w:jc w:val="both"/>
        <w:ind w:left="460" w:right="479" w:firstLine="432"/>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 w:lineRule="exact"/>
        <w:rPr>
          <w:sz w:val="24"/>
          <w:szCs w:val="24"/>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153035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196215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478790</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458"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D223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106045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49" w:lineRule="exact"/>
        <w:rPr>
          <w:sz w:val="20"/>
          <w:szCs w:val="20"/>
          <w:color w:val="auto"/>
        </w:rPr>
      </w:pPr>
    </w:p>
    <w:p>
      <w:pPr>
        <w:ind w:left="460"/>
        <w:spacing w:after="0"/>
        <w:tabs>
          <w:tab w:leader="none" w:pos="3800" w:val="left"/>
        </w:tabs>
        <w:rPr>
          <w:sz w:val="20"/>
          <w:szCs w:val="20"/>
          <w:color w:val="auto"/>
        </w:rPr>
      </w:pPr>
      <w:r>
        <w:rPr>
          <w:rFonts w:ascii="Times New Roman" w:cs="Times New Roman" w:eastAsia="Times New Roman" w:hAnsi="Times New Roman"/>
          <w:sz w:val="19"/>
          <w:szCs w:val="19"/>
          <w:b w:val="1"/>
          <w:bCs w:val="1"/>
          <w:color w:val="D2232A"/>
        </w:rPr>
        <w:t>PROSPECTUS</w:t>
      </w:r>
      <w:r>
        <w:rPr>
          <w:sz w:val="20"/>
          <w:szCs w:val="20"/>
          <w:color w:val="auto"/>
        </w:rPr>
        <w:tab/>
      </w:r>
      <w:r>
        <w:rPr>
          <w:rFonts w:ascii="Times New Roman" w:cs="Times New Roman" w:eastAsia="Times New Roman" w:hAnsi="Times New Roman"/>
          <w:sz w:val="17"/>
          <w:szCs w:val="17"/>
          <w:b w:val="1"/>
          <w:bCs w:val="1"/>
          <w:color w:val="D2232A"/>
        </w:rPr>
        <w:t>SUBJECT TO COMPLETION, DATED FEBRUARY 7, 2024</w:t>
      </w:r>
    </w:p>
    <w:p>
      <w:pPr>
        <w:spacing w:after="0" w:line="54" w:lineRule="exact"/>
        <w:rPr>
          <w:sz w:val="20"/>
          <w:szCs w:val="20"/>
          <w:color w:val="auto"/>
        </w:rPr>
      </w:pPr>
    </w:p>
    <w:p>
      <w:pPr>
        <w:jc w:val="center"/>
        <w:ind w:left="454" w:right="473"/>
        <w:spacing w:after="0" w:line="267" w:lineRule="auto"/>
        <w:rPr>
          <w:sz w:val="20"/>
          <w:szCs w:val="20"/>
          <w:color w:val="auto"/>
        </w:rPr>
      </w:pPr>
      <w:r>
        <w:rPr>
          <w:rFonts w:ascii="Times New Roman" w:cs="Times New Roman" w:eastAsia="Times New Roman" w:hAnsi="Times New Roman"/>
          <w:sz w:val="29"/>
          <w:szCs w:val="29"/>
          <w:b w:val="1"/>
          <w:bCs w:val="1"/>
          <w:color w:val="auto"/>
        </w:rPr>
        <w:t>2,014,234 Shares of Common Stock and Pre-Funded Warrants to Purchase 2,014,234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1156335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-454660</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290195</wp:posOffset>
            </wp:positionV>
            <wp:extent cx="840105" cy="702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4010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460" w:right="459"/>
        <w:spacing w:after="0" w:line="275" w:lineRule="auto"/>
        <w:rPr>
          <w:sz w:val="20"/>
          <w:szCs w:val="20"/>
          <w:color w:val="auto"/>
        </w:rPr>
      </w:pPr>
      <w:r>
        <w:rPr>
          <w:rFonts w:ascii="Times New Roman" w:cs="Times New Roman" w:eastAsia="Times New Roman" w:hAnsi="Times New Roman"/>
          <w:sz w:val="16"/>
          <w:szCs w:val="16"/>
          <w:color w:val="auto"/>
        </w:rPr>
        <w:t>We are offering up to 2,014,234 shares of common stock, including shares of common stock underlying Pre-Funded Warrants that we may issue as described below, at an assumed purchase price of $0.7447 per share of common stock pursuant to this prospectus.</w:t>
      </w:r>
    </w:p>
    <w:p>
      <w:pPr>
        <w:spacing w:after="0" w:line="2" w:lineRule="exact"/>
        <w:rPr>
          <w:sz w:val="20"/>
          <w:szCs w:val="20"/>
          <w:color w:val="auto"/>
        </w:rPr>
      </w:pPr>
    </w:p>
    <w:p>
      <w:pPr>
        <w:jc w:val="both"/>
        <w:ind w:left="460" w:right="479"/>
        <w:spacing w:after="0" w:line="272" w:lineRule="auto"/>
        <w:rPr>
          <w:sz w:val="20"/>
          <w:szCs w:val="20"/>
          <w:color w:val="auto"/>
        </w:rPr>
      </w:pPr>
      <w:r>
        <w:rPr>
          <w:rFonts w:ascii="Times New Roman" w:cs="Times New Roman" w:eastAsia="Times New Roman" w:hAnsi="Times New Roman"/>
          <w:sz w:val="16"/>
          <w:szCs w:val="16"/>
          <w:color w:val="auto"/>
        </w:rPr>
        <w:t>We are also offering to certain purchasers whose purchase of shares of common stock in this offering would otherwise result in the purchaser, together with its affiliates and certain related parties, beneficially owning more than 4.99% (or such other percentage as may be required by the investor) of our outstanding common stock immediately following the consummation of this offering, the opportunity to purchase, if any such purchaser so chooses, Pre-Funded Warrants in lieu of shares of common stock. The assumed offering price for each Pre-Funded Warrant is $0.7437.</w:t>
      </w:r>
    </w:p>
    <w:p>
      <w:pPr>
        <w:spacing w:after="0" w:line="10" w:lineRule="exact"/>
        <w:rPr>
          <w:sz w:val="20"/>
          <w:szCs w:val="20"/>
          <w:color w:val="auto"/>
        </w:rPr>
      </w:pPr>
    </w:p>
    <w:p>
      <w:pPr>
        <w:jc w:val="both"/>
        <w:ind w:left="460" w:right="479"/>
        <w:spacing w:after="0" w:line="290" w:lineRule="auto"/>
        <w:rPr>
          <w:sz w:val="20"/>
          <w:szCs w:val="20"/>
          <w:color w:val="auto"/>
        </w:rPr>
      </w:pPr>
      <w:r>
        <w:rPr>
          <w:rFonts w:ascii="Times New Roman" w:cs="Times New Roman" w:eastAsia="Times New Roman" w:hAnsi="Times New Roman"/>
          <w:sz w:val="16"/>
          <w:szCs w:val="16"/>
          <w:color w:val="auto"/>
        </w:rPr>
        <w:t>The Pre-Funded Warrants will not have an expiration date and will be exercisable immediately. The exercise price for the Pre-Funded Warrants will be equal to $0.001.</w:t>
      </w:r>
    </w:p>
    <w:p>
      <w:pPr>
        <w:spacing w:after="0" w:line="1" w:lineRule="exact"/>
        <w:rPr>
          <w:sz w:val="20"/>
          <w:szCs w:val="20"/>
          <w:color w:val="auto"/>
        </w:rPr>
      </w:pPr>
    </w:p>
    <w:p>
      <w:pPr>
        <w:jc w:val="both"/>
        <w:ind w:left="460" w:right="459"/>
        <w:spacing w:after="0" w:line="281" w:lineRule="auto"/>
        <w:rPr>
          <w:sz w:val="20"/>
          <w:szCs w:val="20"/>
          <w:color w:val="auto"/>
        </w:rPr>
      </w:pPr>
      <w:r>
        <w:rPr>
          <w:rFonts w:ascii="Times New Roman" w:cs="Times New Roman" w:eastAsia="Times New Roman" w:hAnsi="Times New Roman"/>
          <w:sz w:val="16"/>
          <w:szCs w:val="16"/>
          <w:color w:val="auto"/>
        </w:rPr>
        <w:t>We have also registered for public sale 40,285 shares of common stock, issuable to the placement agent upon the exercise of a warrant to be issued to the placement agent.</w:t>
      </w:r>
    </w:p>
    <w:p>
      <w:pPr>
        <w:spacing w:after="0" w:line="1"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6"/>
          <w:szCs w:val="16"/>
          <w:color w:val="auto"/>
        </w:rPr>
        <w:t>The price of our common stock on The Nasdaq Capital Market during recent periods will only be one of many factors in determining the final public offering price. Other factors to be considered in determining the final public offering price include our history, our prospects, the industry in which we operate, our past and present operating results, the general condition of the securities markets at the time of this offering and discussions between the placement agent and prospective investors. The recent market price used throughout this prospectus may not be indicative of the final public offering price. All share and warrant numbers included in this prospectus are based upon an assumed public offering price per share of common stock of $0.7447, the closing price of our common stock on The Nasdaq Capital Market on February 6, 2024.</w:t>
      </w:r>
    </w:p>
    <w:p>
      <w:pPr>
        <w:spacing w:after="0" w:line="14" w:lineRule="exact"/>
        <w:rPr>
          <w:sz w:val="20"/>
          <w:szCs w:val="20"/>
          <w:color w:val="auto"/>
        </w:rPr>
      </w:pPr>
    </w:p>
    <w:p>
      <w:pPr>
        <w:jc w:val="both"/>
        <w:ind w:left="460" w:right="479"/>
        <w:spacing w:after="0" w:line="290" w:lineRule="auto"/>
        <w:rPr>
          <w:sz w:val="20"/>
          <w:szCs w:val="20"/>
          <w:color w:val="auto"/>
        </w:rPr>
      </w:pPr>
      <w:r>
        <w:rPr>
          <w:rFonts w:ascii="Times New Roman" w:cs="Times New Roman" w:eastAsia="Times New Roman" w:hAnsi="Times New Roman"/>
          <w:sz w:val="16"/>
          <w:szCs w:val="16"/>
          <w:color w:val="auto"/>
        </w:rPr>
        <w:t>Our common stock is listed on The Nasdaq Capital Market under the symbol “AGFY.” On February 6, 2024, the last reported sale price of our common stock on The Nasdaq Capital Market was $0.7447 per share.</w:t>
      </w:r>
    </w:p>
    <w:p>
      <w:pPr>
        <w:spacing w:after="0" w:line="1" w:lineRule="exact"/>
        <w:rPr>
          <w:sz w:val="20"/>
          <w:szCs w:val="20"/>
          <w:color w:val="auto"/>
        </w:rPr>
      </w:pPr>
    </w:p>
    <w:p>
      <w:pPr>
        <w:jc w:val="both"/>
        <w:ind w:left="460" w:right="479"/>
        <w:spacing w:after="0" w:line="272" w:lineRule="auto"/>
        <w:rPr>
          <w:sz w:val="20"/>
          <w:szCs w:val="20"/>
          <w:color w:val="auto"/>
        </w:rPr>
      </w:pPr>
      <w:r>
        <w:rPr>
          <w:rFonts w:ascii="Times New Roman" w:cs="Times New Roman" w:eastAsia="Times New Roman" w:hAnsi="Times New Roman"/>
          <w:sz w:val="16"/>
          <w:szCs w:val="16"/>
          <w:color w:val="auto"/>
        </w:rPr>
        <w:t>There is no established public trading market for the Pre-Funded Warrants, and we do not expect a market to develop. In addition, we do not intend to apply for the listing of the Pre-Funded Warrants on any national securities exchange or other nationally recognized trading system. Without an active trading market, we expect the liquidity of the Pre-Funded Warrants will be limited.</w:t>
      </w:r>
    </w:p>
    <w:p>
      <w:pPr>
        <w:spacing w:after="0" w:line="3" w:lineRule="exact"/>
        <w:rPr>
          <w:sz w:val="20"/>
          <w:szCs w:val="20"/>
          <w:color w:val="auto"/>
        </w:rPr>
      </w:pPr>
    </w:p>
    <w:p>
      <w:pPr>
        <w:jc w:val="both"/>
        <w:ind w:left="460" w:right="459"/>
        <w:spacing w:after="0" w:line="290" w:lineRule="auto"/>
        <w:rPr>
          <w:sz w:val="20"/>
          <w:szCs w:val="20"/>
          <w:color w:val="auto"/>
        </w:rPr>
      </w:pPr>
      <w:r>
        <w:rPr>
          <w:rFonts w:ascii="Times New Roman" w:cs="Times New Roman" w:eastAsia="Times New Roman" w:hAnsi="Times New Roman"/>
          <w:sz w:val="16"/>
          <w:szCs w:val="16"/>
          <w:color w:val="auto"/>
        </w:rPr>
        <w:t>We are an “emerging growth company” and a “smaller reporting company” as those terms are defined under the federal securities laws and, as such, have elected to comply with certain reduced public company reporting requirements.</w:t>
      </w:r>
    </w:p>
    <w:p>
      <w:pPr>
        <w:spacing w:after="0" w:line="1" w:lineRule="exact"/>
        <w:rPr>
          <w:sz w:val="20"/>
          <w:szCs w:val="20"/>
          <w:color w:val="auto"/>
        </w:rPr>
      </w:pPr>
    </w:p>
    <w:p>
      <w:pPr>
        <w:jc w:val="both"/>
        <w:ind w:left="460" w:right="459"/>
        <w:spacing w:after="0" w:line="295" w:lineRule="auto"/>
        <w:rPr>
          <w:sz w:val="20"/>
          <w:szCs w:val="20"/>
          <w:color w:val="auto"/>
        </w:rPr>
      </w:pPr>
      <w:r>
        <w:rPr>
          <w:rFonts w:ascii="Times New Roman" w:cs="Times New Roman" w:eastAsia="Times New Roman" w:hAnsi="Times New Roman"/>
          <w:sz w:val="16"/>
          <w:szCs w:val="16"/>
          <w:color w:val="auto"/>
        </w:rPr>
        <w:t>You should read this prospectus, together with additional information described under the headings “Incorporation of Certain Information by Reference” and “Where You Can Find More Information,” carefully before you invest in our common stock.</w:t>
      </w:r>
    </w:p>
    <w:p>
      <w:pPr>
        <w:spacing w:after="0" w:line="16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w:t>
      </w:r>
    </w:p>
    <w:p>
      <w:pPr>
        <w:spacing w:after="0" w:line="6" w:lineRule="exact"/>
        <w:rPr>
          <w:sz w:val="20"/>
          <w:szCs w:val="20"/>
          <w:color w:val="auto"/>
        </w:rPr>
      </w:pPr>
    </w:p>
    <w:p>
      <w:pPr>
        <w:jc w:val="both"/>
        <w:ind w:left="460" w:right="479"/>
        <w:spacing w:after="0" w:line="277" w:lineRule="auto"/>
        <w:rPr>
          <w:sz w:val="20"/>
          <w:szCs w:val="20"/>
          <w:color w:val="auto"/>
        </w:rPr>
      </w:pPr>
      <w:r>
        <w:rPr>
          <w:rFonts w:ascii="Times New Roman" w:cs="Times New Roman" w:eastAsia="Times New Roman" w:hAnsi="Times New Roman"/>
          <w:sz w:val="16"/>
          <w:szCs w:val="16"/>
          <w:b w:val="1"/>
          <w:bCs w:val="1"/>
          <w:color w:val="auto"/>
        </w:rPr>
        <w:t>Investing in our securities involves a high degree of risk. See “Risk Factors” beginning on page 14 of this prospectus, and under similar headings in the other documents that are incorporated by reference into this prospectus, for a discussion of information that should be considered in connection with an investment in our securities.</w:t>
      </w:r>
    </w:p>
    <w:p>
      <w:pPr>
        <w:spacing w:after="0" w:line="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6"/>
          <w:szCs w:val="16"/>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2700" w:type="dxa"/>
            <w:vAlign w:val="bottom"/>
          </w:tcPr>
          <w:p>
            <w:pPr>
              <w:spacing w:after="0"/>
              <w:rPr>
                <w:sz w:val="12"/>
                <w:szCs w:val="12"/>
                <w:color w:val="auto"/>
              </w:rPr>
            </w:pPr>
          </w:p>
        </w:tc>
        <w:tc>
          <w:tcPr>
            <w:tcW w:w="3060" w:type="dxa"/>
            <w:vAlign w:val="bottom"/>
            <w:gridSpan w:val="2"/>
          </w:tcPr>
          <w:p>
            <w:pPr>
              <w:jc w:val="right"/>
              <w:ind w:right="499"/>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347"/>
        </w:trPr>
        <w:tc>
          <w:tcPr>
            <w:tcW w:w="2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Per Pre-</w:t>
            </w:r>
          </w:p>
        </w:tc>
        <w:tc>
          <w:tcPr>
            <w:tcW w:w="108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Funded</w:t>
            </w:r>
          </w:p>
        </w:tc>
        <w:tc>
          <w:tcPr>
            <w:tcW w:w="1080" w:type="dxa"/>
            <w:vAlign w:val="bottom"/>
          </w:tcPr>
          <w:p>
            <w:pPr>
              <w:spacing w:after="0"/>
              <w:rPr>
                <w:sz w:val="17"/>
                <w:szCs w:val="17"/>
                <w:color w:val="auto"/>
              </w:rPr>
            </w:pPr>
          </w:p>
        </w:tc>
      </w:tr>
      <w:tr>
        <w:trPr>
          <w:trHeight w:val="212"/>
        </w:trPr>
        <w:tc>
          <w:tcPr>
            <w:tcW w:w="2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Warrant</w:t>
            </w: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2700" w:type="dxa"/>
            <w:vAlign w:val="bottom"/>
            <w:tcBorders>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7"/>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 price</w:t>
            </w:r>
          </w:p>
        </w:tc>
        <w:tc>
          <w:tcPr>
            <w:tcW w:w="3060" w:type="dxa"/>
            <w:vAlign w:val="bottom"/>
            <w:tcBorders>
              <w:bottom w:val="single" w:sz="8" w:color="CCEEFF"/>
            </w:tcBorders>
            <w:gridSpan w:val="2"/>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r>
      <w:tr>
        <w:trPr>
          <w:trHeight w:val="28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Placement agent fees</w:t>
            </w:r>
            <w:r>
              <w:rPr>
                <w:rFonts w:ascii="Times New Roman" w:cs="Times New Roman" w:eastAsia="Times New Roman" w:hAnsi="Times New Roman"/>
                <w:sz w:val="21"/>
                <w:szCs w:val="21"/>
                <w:color w:val="auto"/>
                <w:vertAlign w:val="superscript"/>
              </w:rPr>
              <w:t>(1)</w:t>
            </w:r>
          </w:p>
        </w:tc>
        <w:tc>
          <w:tcPr>
            <w:tcW w:w="3060" w:type="dxa"/>
            <w:vAlign w:val="bottom"/>
            <w:gridSpan w:val="2"/>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r>
      <w:tr>
        <w:trPr>
          <w:trHeight w:val="28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Agrify</w:t>
            </w:r>
            <w:r>
              <w:rPr>
                <w:rFonts w:ascii="Times New Roman" w:cs="Times New Roman" w:eastAsia="Times New Roman" w:hAnsi="Times New Roman"/>
                <w:sz w:val="21"/>
                <w:szCs w:val="21"/>
                <w:color w:val="auto"/>
                <w:vertAlign w:val="superscript"/>
              </w:rPr>
              <w:t>(2)</w:t>
            </w:r>
          </w:p>
        </w:tc>
        <w:tc>
          <w:tcPr>
            <w:tcW w:w="3060" w:type="dxa"/>
            <w:vAlign w:val="bottom"/>
            <w:gridSpan w:val="2"/>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r>
      <w:tr>
        <w:trPr>
          <w:trHeight w:val="251"/>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2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73" w:lineRule="exact"/>
        <w:rPr>
          <w:sz w:val="20"/>
          <w:szCs w:val="20"/>
          <w:color w:val="auto"/>
        </w:rPr>
      </w:pPr>
    </w:p>
    <w:p>
      <w:pPr>
        <w:jc w:val="both"/>
        <w:ind w:left="880" w:right="479" w:hanging="426"/>
        <w:spacing w:after="0" w:line="266"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placement agent fees, Agrify has agreed to reimburse the placement agent for certain expenses. In addition, we will issue to the placement agent a warrant to purchase up to one percent (1%) of the aggregate number of shares of common stock (or Pre-Funded Warrants) issued in this offering. See “Plan of Distribution” beginning on page 56 of this prospectus for additional information regarding total placement agent compensation.</w:t>
      </w:r>
    </w:p>
    <w:p>
      <w:pPr>
        <w:spacing w:after="0" w:line="2"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give effect to any exercise of the Pre-Funded Warrants being issued in this offering.</w:t>
      </w:r>
    </w:p>
    <w:p>
      <w:pPr>
        <w:spacing w:after="0" w:line="38" w:lineRule="exact"/>
        <w:rPr>
          <w:sz w:val="20"/>
          <w:szCs w:val="20"/>
          <w:color w:val="auto"/>
        </w:rPr>
      </w:pPr>
    </w:p>
    <w:p>
      <w:pPr>
        <w:jc w:val="both"/>
        <w:ind w:left="460" w:right="459"/>
        <w:spacing w:after="0" w:line="281" w:lineRule="auto"/>
        <w:rPr>
          <w:sz w:val="20"/>
          <w:szCs w:val="20"/>
          <w:color w:val="auto"/>
        </w:rPr>
      </w:pPr>
      <w:r>
        <w:rPr>
          <w:rFonts w:ascii="Times New Roman" w:cs="Times New Roman" w:eastAsia="Times New Roman" w:hAnsi="Times New Roman"/>
          <w:sz w:val="16"/>
          <w:szCs w:val="16"/>
          <w:color w:val="auto"/>
        </w:rPr>
        <w:t>We have retained Alexander Capital, L.P. as our exclusive placement agent to use its reasonable best efforts to solicit offers to purchase the securities in this offering. The placement agent has no obligation to buy any of the securities from us or to arrange for the purchase or sale of any specific number or dollar amount of the securities. Because there is no minimum</w:t>
      </w:r>
    </w:p>
    <w:p>
      <w:pPr>
        <w:sectPr>
          <w:pgSz w:w="11900" w:h="16838" w:orient="portrait"/>
          <w:cols w:equalWidth="0" w:num="1">
            <w:col w:w="9019"/>
          </w:cols>
          <w:pgMar w:left="1440" w:top="270" w:right="1440" w:bottom="0" w:gutter="0" w:footer="0" w:header="0"/>
        </w:sectPr>
      </w:pPr>
    </w:p>
    <w:bookmarkStart w:id="2" w:name="page3"/>
    <w:bookmarkEnd w:id="2"/>
    <w:p>
      <w:pPr>
        <w:jc w:val="both"/>
        <w:ind w:left="460" w:right="479"/>
        <w:spacing w:after="0" w:line="269" w:lineRule="auto"/>
        <w:rPr>
          <w:sz w:val="20"/>
          <w:szCs w:val="20"/>
          <w:color w:val="auto"/>
        </w:rPr>
      </w:pPr>
      <w:r>
        <w:rPr>
          <w:rFonts w:ascii="Times New Roman" w:cs="Times New Roman" w:eastAsia="Times New Roman" w:hAnsi="Times New Roman"/>
          <w:sz w:val="16"/>
          <w:szCs w:val="16"/>
          <w:color w:val="auto"/>
        </w:rPr>
        <w:t>offering amount required as a condition to closing in this offering, the actual public offering amount, placement agent fees, and proceeds to us, if any, are not presently determinable and may be substantially less than the total maximum offering amounts set forth above.</w:t>
      </w:r>
    </w:p>
    <w:p>
      <w:pPr>
        <w:ind w:left="33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w:t>
      </w:r>
    </w:p>
    <w:p>
      <w:pPr>
        <w:spacing w:after="0" w:line="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We expect to deliver the securities to investors on or about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2024.</w:t>
            </w:r>
          </w:p>
        </w:tc>
      </w:tr>
    </w:tbl>
    <w:p>
      <w:pPr>
        <w:jc w:val="center"/>
        <w:spacing w:after="0"/>
        <w:rPr>
          <w:sz w:val="20"/>
          <w:szCs w:val="20"/>
          <w:color w:val="auto"/>
        </w:rPr>
      </w:pPr>
      <w:r>
        <w:rPr>
          <w:rFonts w:ascii="Times New Roman" w:cs="Times New Roman" w:eastAsia="Times New Roman" w:hAnsi="Times New Roman"/>
          <w:sz w:val="32"/>
          <w:szCs w:val="32"/>
          <w:b w:val="1"/>
          <w:bCs w:val="1"/>
          <w:color w:val="auto"/>
        </w:rPr>
        <w:t>ALEXANDER CAPITAL, L.P.</w:t>
      </w:r>
    </w:p>
    <w:p>
      <w:pPr>
        <w:spacing w:after="0" w:line="70" w:lineRule="exact"/>
        <w:rPr>
          <w:sz w:val="20"/>
          <w:szCs w:val="20"/>
          <w:color w:val="auto"/>
        </w:rPr>
      </w:pPr>
    </w:p>
    <w:tbl>
      <w:tblPr>
        <w:tblLayout w:type="fixed"/>
        <w:tblInd w:w="460" w:type="dxa"/>
        <w:tblCellMar>
          <w:top w:w="0" w:type="dxa"/>
          <w:left w:w="0" w:type="dxa"/>
          <w:bottom w:w="0" w:type="dxa"/>
          <w:right w:w="0" w:type="dxa"/>
        </w:tblCellMar>
      </w:tblPr>
      <w:tr>
        <w:trPr>
          <w:trHeight w:val="262"/>
        </w:trPr>
        <w:tc>
          <w:tcPr>
            <w:tcW w:w="4940" w:type="dxa"/>
            <w:vAlign w:val="bottom"/>
          </w:tcPr>
          <w:p>
            <w:pPr>
              <w:ind w:left="2380"/>
              <w:spacing w:after="0"/>
              <w:rPr>
                <w:sz w:val="20"/>
                <w:szCs w:val="20"/>
                <w:color w:val="auto"/>
              </w:rPr>
            </w:pPr>
            <w:r>
              <w:rPr>
                <w:rFonts w:ascii="Times New Roman" w:cs="Times New Roman" w:eastAsia="Times New Roman" w:hAnsi="Times New Roman"/>
                <w:sz w:val="20"/>
                <w:szCs w:val="20"/>
                <w:i w:val="1"/>
                <w:iCs w:val="1"/>
                <w:color w:val="auto"/>
              </w:rPr>
              <w:t>The date of this prospectus is</w:t>
            </w:r>
          </w:p>
        </w:tc>
        <w:tc>
          <w:tcPr>
            <w:tcW w:w="3160" w:type="dxa"/>
            <w:vAlign w:val="bottom"/>
          </w:tcPr>
          <w:p>
            <w:pPr>
              <w:jc w:val="right"/>
              <w:ind w:right="2281"/>
              <w:spacing w:after="0"/>
              <w:rPr>
                <w:sz w:val="20"/>
                <w:szCs w:val="20"/>
                <w:color w:val="auto"/>
              </w:rPr>
            </w:pPr>
            <w:r>
              <w:rPr>
                <w:rFonts w:ascii="Times New Roman" w:cs="Times New Roman" w:eastAsia="Times New Roman" w:hAnsi="Times New Roman"/>
                <w:sz w:val="20"/>
                <w:szCs w:val="20"/>
                <w:i w:val="1"/>
                <w:iCs w:val="1"/>
                <w:color w:val="auto"/>
              </w:rPr>
              <w:t>, 2024</w:t>
            </w:r>
          </w:p>
        </w:tc>
      </w:tr>
      <w:tr>
        <w:trPr>
          <w:trHeight w:val="386"/>
        </w:trPr>
        <w:tc>
          <w:tcPr>
            <w:tcW w:w="49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41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7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MARKET FOR COMMON STOCK</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EXECUTIVE COMPENSATION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DIRECTOR COMPENSATION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48</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DILUTION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SECURITIES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51</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56</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59</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59</w:t>
            </w:r>
          </w:p>
        </w:tc>
      </w:tr>
      <w:tr>
        <w:trPr>
          <w:trHeight w:val="61"/>
        </w:trPr>
        <w:tc>
          <w:tcPr>
            <w:tcW w:w="7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59</w:t>
            </w:r>
          </w:p>
        </w:tc>
      </w:tr>
      <w:tr>
        <w:trPr>
          <w:trHeight w:val="61"/>
        </w:trPr>
        <w:tc>
          <w:tcPr>
            <w:tcW w:w="7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14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5180" w:type="dxa"/>
            <w:vAlign w:val="bottom"/>
            <w:tcBorders>
              <w:bottom w:val="single" w:sz="8" w:color="0000EE"/>
            </w:tcBorders>
            <w:gridSpan w:val="16"/>
          </w:tcPr>
          <w:p>
            <w:pPr>
              <w:spacing w:after="0" w:line="202"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100" w:type="dxa"/>
            <w:vAlign w:val="bottom"/>
            <w:gridSpan w:val="3"/>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60</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not, and the placement agent has not, authorized anyone to provide you with information that is different from that contained in this prospectus or in any free writing prospectus we may authorize to be delivered or made available to you. When you make a decision about whether to invest in our securities, you should not rely upon any information other than the information contained in or incorporated by reference in this prospectus or in any free writing prospectus that we may authorize to be delivered or made available to you. Neither the delivery of this prospectus nor the sale of our securities means that the information contained in this prospectus or any free writing prospectus is correct after the date of this prospectus or such free writing prospectus. This prospectus is not an offer to sell or the solicitation of an offer to buy our securities in any circumstances under which the offer or solicitation is unlawful.</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We have not, and the placement agent has not, taken any action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covered hereby and the distribution of this prospectus outside the United States.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Our management estimates have not been verified by any independent source, and we have not independently verified any third-party information.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the registration statement of which this prospectus is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2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have proprietary rights to trademarks used in this prospectus, including Agrify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Solely for our convenience, trademarks and trade names referred to in this prospectus may appear without the “®” or “™” symbols, but such references are not intended to indicate, in any way, that we will not assert, to the fullest extent possible under applicable law, our rights or the rights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is the property of its respective holder.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90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789051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Agrify Corporation and its subsidiaries and not to the persons who manage us or sit on our Board of Directors.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are a leading provider of innovative cultivation and extraction solutions for the cannabis industry, bringing data, science, and technology to the forefront of the market. Our proprietary micro-environment-controlled Agrify Vertical Farming Units (or “VFUs”) enable cultivators to produce high quality products with what we believe to be unmatched consistency, yield, and return investment at scale. Our comprehensive extraction product line, which includes hydrocarbon, alcohol, solventless, post-processing, and lab equipment, empowers producers to maximize the quantity and quality of extract required for premium concentrates.</w:t>
      </w:r>
    </w:p>
    <w:p>
      <w:pPr>
        <w:spacing w:after="0" w:line="108"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Since our inception, we have gone from primarily developing, selling, and supporting our VFUs along with our fully integrated Agrify Insights™ cultivation software (“Agrify Insights™”) to being able to offer customers a far more complete set of solutions, products, and services across both cultivation and extraction. This has been a function of both our natural evolution and through a set of strategic mergers and acquisitions. Since 2020, we have integrated six new brands into Agrify’s broader organization. Our first acquisition, TriGrow Systems, Inc., was completed in January 2020. TriGrow Systems, Inc. was formerly the exclusive distributor of Agrify’s VFUs. We added Harbor Mountain Holdings, LLC to our portfolio on July 21, 2020, to help scale up our manufacturing strategy with engineering, prototyping, manufacturing, testing, warehousing, and installation services. Since October 2021, we have been strategically focused on establishing ourselves as a global leader in the cannabis and hemp extraction equipment industry, complementing our cutting-edge cannabis and hemp cultivation solutions. Over five months, we acquired four of the top brand names in the industry. On October 1, 2021, we acquired Precision Extraction Solutions, a market leader in developing and producing high-quality hydrocarbon and alcohol extraction solutions, and Cascade Sciences, LLC, a market leader in developing and producing high-quality vacuum purge ovens and decarboxylation ovens. On December 31, 2021, we acquired PurePressure, LLC, a market leader in developing and producing high-quality solventless extraction solutions and advanced ice-water hash processing equipment in the cannabis and hemp industry. Lastly, on February 1, 2022, we completed our acquisition of LS Holdings Corp., a market leader in developing and producing high-quality distillation and solvent separation solutions for the cannabis and hemp industry.</w:t>
      </w:r>
    </w:p>
    <w:p>
      <w:pPr>
        <w:spacing w:after="0" w:line="123"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now offer our customers an extensive ecosystem of solutions, products, training, and service capabilities in what has historically been a highly fragmented market. Our offerings, which are described in more detail below, are compelling on their own. However, we believe what sets us apart is our ability to bring to the market the most comprehensive set of cultivation and extraction solutions from a single provider. As a result, we believe we are well-positioned to capture market share and create a dominant market position in the indoor cannabis sector. We currently have two primary areas of business focus:</w:t>
      </w:r>
    </w:p>
    <w:p>
      <w:pPr>
        <w:spacing w:after="0" w:line="120" w:lineRule="exact"/>
        <w:rPr>
          <w:sz w:val="20"/>
          <w:szCs w:val="20"/>
          <w:color w:val="auto"/>
        </w:rPr>
      </w:pPr>
    </w:p>
    <w:p>
      <w:pPr>
        <w:ind w:left="1400" w:hanging="42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Cultivation Solutions; and</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Extraction Solutions.</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Cultivation Solutions</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 federal law, our equipment and business solutions can be used within indoor grow facilities by fully licensed cannabis cultivators. We sell our proprietary cultivation solutions to independent licensed cultivators. The two primary products we sell are the VFUs and Agrify Insights™. We believe we are one of a limited number of companies offering a fully integrated cultivation solution optimized for precision growing with robust automation capabilities in the industry.</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Agrify Vertical Farming Unit</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proprietary VFU technology offers a modular, compartmentalized micro-climate growing system for indoor vertical farming. Our VFU system is designed for craft farmers, single-state operators, and multi-state operators who are looking to consistently produce higher-quality crops at scale. The VFUs are designed to line up horizontally in rows, and can be stacked vertically up to three units tall, taking advantage of unused indoor vertical space with the below benefits:</w:t>
      </w:r>
    </w:p>
    <w:p>
      <w:pPr>
        <w:spacing w:after="0" w:line="112" w:lineRule="exact"/>
        <w:rPr>
          <w:sz w:val="20"/>
          <w:szCs w:val="20"/>
          <w:color w:val="auto"/>
        </w:rPr>
      </w:pPr>
    </w:p>
    <w:p>
      <w:pPr>
        <w:jc w:val="both"/>
        <w:ind w:left="1400" w:right="559" w:hanging="424"/>
        <w:spacing w:after="0" w:line="26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Superior Floor Space Utilization</w:t>
      </w:r>
      <w:r>
        <w:rPr>
          <w:rFonts w:ascii="Times New Roman" w:cs="Times New Roman" w:eastAsia="Times New Roman" w:hAnsi="Times New Roman"/>
          <w:sz w:val="18"/>
          <w:szCs w:val="18"/>
          <w:color w:val="auto"/>
        </w:rPr>
        <w:t>. Each VFU provides two tiers of growing canopy. Our units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introduce an open-room facility design approach to maximize available cultivation floor space while offering superior risk mitigation via individual compartmentalized cultivation chambers which aim to contain potential biological threats to cultivation facilities.</w:t>
      </w:r>
    </w:p>
    <w:p>
      <w:pPr>
        <w:spacing w:after="0" w:line="95" w:lineRule="exact"/>
        <w:rPr>
          <w:rFonts w:ascii="Times New Roman" w:cs="Times New Roman" w:eastAsia="Times New Roman" w:hAnsi="Times New Roman"/>
          <w:sz w:val="18"/>
          <w:szCs w:val="18"/>
          <w:color w:val="auto"/>
        </w:rPr>
      </w:pPr>
    </w:p>
    <w:p>
      <w:pPr>
        <w:jc w:val="both"/>
        <w:ind w:left="1400" w:right="559" w:hanging="424"/>
        <w:spacing w:after="0" w:line="259"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Precise Environmental Controls</w:t>
      </w:r>
      <w:r>
        <w:rPr>
          <w:rFonts w:ascii="Times New Roman" w:cs="Times New Roman" w:eastAsia="Times New Roman" w:hAnsi="Times New Roman"/>
          <w:sz w:val="18"/>
          <w:szCs w:val="18"/>
          <w:color w:val="auto"/>
        </w:rPr>
        <w:t>.Each VFU has an Environmental Control Unit that is integrated with our proprietary cultivation software, Agrify Insights™. This integration allows for precise control and automation over light photoperiod and intensity, temperature, humidity, vapor pressure deficit (“VPD”), carbon dioxide, fertigation, and irrigation throughout the lifecycle of the plants.</w:t>
      </w:r>
    </w:p>
    <w:p>
      <w:pPr>
        <w:spacing w:after="0" w:line="335"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Modular Scalability</w:t>
      </w:r>
      <w:r>
        <w:rPr>
          <w:rFonts w:ascii="Times New Roman" w:cs="Times New Roman" w:eastAsia="Times New Roman" w:hAnsi="Times New Roman"/>
          <w:sz w:val="18"/>
          <w:szCs w:val="18"/>
          <w:color w:val="auto"/>
        </w:rPr>
        <w:t>. The VFU is designed to stack up to three units tall, sextupling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volume over the same traditional footprint. Each unit is designed to easily integrate with a mezzanine catwalk system providing unparalleled access to all levels of cultivation.</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6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Worker Safety &amp; Efficiency</w:t>
      </w:r>
      <w:r>
        <w:rPr>
          <w:rFonts w:ascii="Times New Roman" w:cs="Times New Roman" w:eastAsia="Times New Roman" w:hAnsi="Times New Roman"/>
          <w:sz w:val="18"/>
          <w:szCs w:val="18"/>
          <w:color w:val="auto"/>
        </w:rPr>
        <w:t>. The VFU’s design was thoughtful and intentional;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ergonomic dimensions that facilitate safe, easy access to plants for scouting and plant husbandry, to the integrated catwalks that allow cultivators to work from a safe sitting or standing position without the need for scissor lifts, ladders or removable platforms.</w:t>
      </w:r>
    </w:p>
    <w:p>
      <w:pPr>
        <w:spacing w:after="0" w:line="95"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Biosecurity and Risk Mitigation</w:t>
      </w:r>
      <w:r>
        <w:rPr>
          <w:rFonts w:ascii="Times New Roman" w:cs="Times New Roman" w:eastAsia="Times New Roman" w:hAnsi="Times New Roman"/>
          <w:sz w:val="18"/>
          <w:szCs w:val="18"/>
          <w:color w:val="auto"/>
        </w:rPr>
        <w:t>. The VFU has a motorized curtain on both sides of the unit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encloses the grow area to prevent light pollution and the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 especially with the VFU’s High Heat mode, which helps sanitize all internal VFU surfaces effortlessly.</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Agrify Insights™</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VFUs are designed to work in conjunction with our Agrify Insights™ software. Each VFU sold includes a license for Agrify Insights™ and a monthly Software-as-a-Service (“SaaS”) subscription fee is charged per VFU. The VFU cannot operate successfully without Agrify Insights™, and we typically charge between $1,500 to $2,400 per VFU sold annually. Agrify Insights™ license agreements are generally for a multi-year term, with an annual auto-renewal.</w:t>
      </w:r>
    </w:p>
    <w:p>
      <w:pPr>
        <w:spacing w:after="0" w:line="116"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Agrify Insights™ is a SaaS-based solution that interfaces with our proprietary hardware to provide customers with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VFU system, is enabling our customers to transform their businesses and quality of the product they are cultivating.</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Agrify Insights™ is focused on optimizing four key components:</w:t>
      </w:r>
    </w:p>
    <w:p>
      <w:pPr>
        <w:spacing w:after="0" w:line="158" w:lineRule="exact"/>
        <w:rPr>
          <w:sz w:val="20"/>
          <w:szCs w:val="20"/>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plant level;</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VFU unit level;</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facility level; and</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at the business level.</w:t>
      </w:r>
    </w:p>
    <w:p>
      <w:pPr>
        <w:sectPr>
          <w:pgSz w:w="11900" w:h="16838" w:orient="portrait"/>
          <w:cols w:equalWidth="0" w:num="1">
            <w:col w:w="9019"/>
          </w:cols>
          <w:pgMar w:left="1440" w:top="270" w:right="1440" w:bottom="1440"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13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When these key components are combined, they encompass the cultivation operations of an Agrify customer. By reducing human error and providing insights through data collection and analysis, Agrify Insights™ minimizes risk and increases operational efficiencies. Ultimately, our customers seek to produce end products with the highest level of consistency no matter where they are located.</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Plant-Level Optimization</w:t>
      </w:r>
    </w:p>
    <w:p>
      <w:pPr>
        <w:spacing w:after="0" w:line="160"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Central to our solution is granular control of the cultivation environment. A crop’s end-product is determined by the plant’s genetics and the environment in which the plants are grown. Control over the growing environment is accomplished through the integration of Agrify Insights™. Agrify Insights collects data from multiple sensors on a per plant basis between 4 and 60 times an hour. This can result in between 100 thousand and 151 million data points annually, depending on the number of plants and fluctuations in the VFU microclimate. By recording data points and reproducing specific environments based on the data, cultivators can effectively minimize the variation in their crops and dial-in the maximum quality. Individual plant varietals can be optimized by tailoring the grow plan (recipe for cultivation) to enhance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which is beneficial for research and development purposes.</w:t>
      </w:r>
    </w:p>
    <w:p>
      <w:pPr>
        <w:spacing w:after="0" w:line="106"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Our “Grow Plans” are the templates or recipes that define the parameters for each lifecycle. Grow Plans define the environmental settings (light-photoperiod and intensity, temperature, humidity, VPD, CO2, irrigation, fertigation) for each crop variety and cultivator as well as the schedule for completing, as applicable, “plant touching” tasks such as bottoming, pruning, and harvesting. Agrify Insights™ ships to the customer with many pre-developed Grow Plans and customers can create their own Grow Plans, electing to share them with other customers or not.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Individual VFU Level Optimization</w:t>
      </w:r>
    </w:p>
    <w:p>
      <w:pPr>
        <w:spacing w:after="0" w:line="160"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VFU hardware provides cultivation environmental control within the grow chamber. This hardware and its component valves, motors and sensors are directed and controlled by Agrify Insights™.</w:t>
      </w:r>
    </w:p>
    <w:p>
      <w:pPr>
        <w:spacing w:after="0" w:line="90" w:lineRule="exact"/>
        <w:rPr>
          <w:sz w:val="20"/>
          <w:szCs w:val="20"/>
          <w:color w:val="auto"/>
        </w:rPr>
      </w:pPr>
    </w:p>
    <w:p>
      <w:pPr>
        <w:jc w:val="both"/>
        <w:ind w:left="1400" w:right="559" w:hanging="424"/>
        <w:spacing w:after="0" w:line="268"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Monitor and Control Agrify Hardware</w:t>
      </w:r>
      <w:r>
        <w:rPr>
          <w:rFonts w:ascii="Times New Roman" w:cs="Times New Roman" w:eastAsia="Times New Roman" w:hAnsi="Times New Roman"/>
          <w:sz w:val="18"/>
          <w:szCs w:val="18"/>
          <w:color w:val="auto"/>
        </w:rPr>
        <w:t>. Agrify Insights™ can either automatically or manually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our hardware. For example, the water-chilled fan coil can keep the temperature in a range accurate to 1.5 degrees Fahrenheit.</w:t>
      </w:r>
    </w:p>
    <w:p>
      <w:pPr>
        <w:spacing w:after="0" w:line="89"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Cultivation Environmental Control</w:t>
      </w:r>
      <w:r>
        <w:rPr>
          <w:rFonts w:ascii="Times New Roman" w:cs="Times New Roman" w:eastAsia="Times New Roman" w:hAnsi="Times New Roman"/>
          <w:sz w:val="18"/>
          <w:szCs w:val="18"/>
          <w:color w:val="auto"/>
        </w:rPr>
        <w:t>. Using Agrify Insights™, users can view environmental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charts that plot temperature, humidity, and carbon dioxide over time. It also shows when plant irrigation occurs and whether the unit is in cooling, circulating, or dehumidifying mode. We sample these values every minute and report them back to the cloud every 15 minutes or more often if significant changes occur. Each growing chamber reports millions of data points annually, enabling our clients to perform an in-depth analysis of their grow performance. The manual control screen visualizes the current state of the grow chamber and allows our technicians to take direct control for troubleshooting, if necessary. The device log shows us what decisions were made by Agrify Insights™ and why.</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Facility Level Optimization</w:t>
      </w:r>
    </w:p>
    <w:p>
      <w:pPr>
        <w:spacing w:after="0" w:line="160"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Our modular VFUs are deployed in scale at a customer’s facility with the smallest commercial operation deployment being 60 VFUs to date. Agrify Insights™ is designed to operate these individual VFUs as a combined facility. Agrify Insights™ features at the facility level include:</w:t>
      </w:r>
    </w:p>
    <w:p>
      <w:pPr>
        <w:spacing w:after="0" w:line="104" w:lineRule="exact"/>
        <w:rPr>
          <w:sz w:val="20"/>
          <w:szCs w:val="20"/>
          <w:color w:val="auto"/>
        </w:rPr>
      </w:pPr>
    </w:p>
    <w:p>
      <w:pPr>
        <w:jc w:val="both"/>
        <w:ind w:left="1400" w:right="559" w:hanging="424"/>
        <w:spacing w:after="0" w:line="257" w:lineRule="auto"/>
        <w:tabs>
          <w:tab w:leader="none" w:pos="139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Production Planning</w:t>
      </w:r>
      <w:r>
        <w:rPr>
          <w:rFonts w:ascii="Times New Roman" w:cs="Times New Roman" w:eastAsia="Times New Roman" w:hAnsi="Times New Roman"/>
          <w:sz w:val="18"/>
          <w:szCs w:val="18"/>
          <w:color w:val="auto"/>
        </w:rPr>
        <w:t>. The production planning feature is designed to maximize a facility’s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utilization by executing a “best-fit” scheduling algorithm to selected Grow Plans across VFUs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ectPr>
          <w:pgSz w:w="11900" w:h="16838" w:orient="portrait"/>
          <w:cols w:equalWidth="0" w:num="1">
            <w:col w:w="9019"/>
          </w:cols>
          <w:pgMar w:left="1440" w:top="270" w:right="1440" w:bottom="1440" w:gutter="0" w:footer="0" w:header="0"/>
          <w:type w:val="continuous"/>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90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49058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4" w:lineRule="exact"/>
        <w:rPr>
          <w:sz w:val="20"/>
          <w:szCs w:val="20"/>
          <w:color w:val="auto"/>
        </w:rPr>
      </w:pPr>
    </w:p>
    <w:p>
      <w:pPr>
        <w:jc w:val="both"/>
        <w:ind w:left="1400" w:right="559" w:hanging="424"/>
        <w:spacing w:after="0" w:line="262" w:lineRule="auto"/>
        <w:tabs>
          <w:tab w:leader="none" w:pos="139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Workforce Management</w:t>
      </w:r>
      <w:r>
        <w:rPr>
          <w:rFonts w:ascii="Times New Roman" w:cs="Times New Roman" w:eastAsia="Times New Roman" w:hAnsi="Times New Roman"/>
          <w:sz w:val="18"/>
          <w:szCs w:val="18"/>
          <w:color w:val="auto"/>
        </w:rPr>
        <w:t>. Agrify Insights™ includes a workforce planning feature to assign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tasks to staff. These tasks can be automatically assigned based on the user role or their knowledge, skills, and abilities. The calendar displays the estimated time required to complete plant-touching tasks on any given day.</w:t>
      </w:r>
    </w:p>
    <w:p>
      <w:pPr>
        <w:spacing w:after="0" w:line="108" w:lineRule="exact"/>
        <w:rPr>
          <w:rFonts w:ascii="Times New Roman" w:cs="Times New Roman" w:eastAsia="Times New Roman" w:hAnsi="Times New Roman"/>
          <w:sz w:val="18"/>
          <w:szCs w:val="18"/>
          <w:b w:val="1"/>
          <w:bCs w:val="1"/>
          <w:i w:val="1"/>
          <w:iCs w:val="1"/>
          <w:color w:val="auto"/>
        </w:rPr>
      </w:pPr>
    </w:p>
    <w:p>
      <w:pPr>
        <w:jc w:val="both"/>
        <w:ind w:left="1400" w:right="559" w:hanging="424"/>
        <w:spacing w:after="0" w:line="26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Automatic Notification System</w:t>
      </w:r>
      <w:r>
        <w:rPr>
          <w:rFonts w:ascii="Times New Roman" w:cs="Times New Roman" w:eastAsia="Times New Roman" w:hAnsi="Times New Roman"/>
          <w:sz w:val="18"/>
          <w:szCs w:val="18"/>
          <w:color w:val="auto"/>
        </w:rPr>
        <w:t>. Users can select to subscribe to anomalous events, and users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notified in the order in which they are listed. If a user does not acknowledge the notification within the specified time frame, the next user in the list is notified, providing the business with 24/7 monitoring and notifications.</w:t>
      </w:r>
    </w:p>
    <w:p>
      <w:pPr>
        <w:spacing w:after="0" w:line="95" w:lineRule="exact"/>
        <w:rPr>
          <w:rFonts w:ascii="Times New Roman" w:cs="Times New Roman" w:eastAsia="Times New Roman" w:hAnsi="Times New Roman"/>
          <w:sz w:val="18"/>
          <w:szCs w:val="18"/>
          <w:color w:val="auto"/>
        </w:rPr>
      </w:pPr>
    </w:p>
    <w:p>
      <w:pPr>
        <w:ind w:left="1400" w:right="559" w:hanging="424"/>
        <w:spacing w:after="0" w:line="28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Preventative Maintenance</w:t>
      </w:r>
      <w:r>
        <w:rPr>
          <w:rFonts w:ascii="Times New Roman" w:cs="Times New Roman" w:eastAsia="Times New Roman" w:hAnsi="Times New Roman"/>
          <w:sz w:val="18"/>
          <w:szCs w:val="18"/>
          <w:color w:val="auto"/>
        </w:rPr>
        <w:t>. Our equipment and facility preventative maintenance schedules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tasks are contained, tracked, and monitored within Agrify Insights™.</w:t>
      </w:r>
    </w:p>
    <w:p>
      <w:pPr>
        <w:spacing w:after="0" w:line="87"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Facility Infrastructure Controls</w:t>
      </w:r>
      <w:r>
        <w:rPr>
          <w:rFonts w:ascii="Times New Roman" w:cs="Times New Roman" w:eastAsia="Times New Roman" w:hAnsi="Times New Roman"/>
          <w:sz w:val="18"/>
          <w:szCs w:val="18"/>
          <w:color w:val="auto"/>
        </w:rPr>
        <w:t>. Agrify Insights™ controls the irrigation on a facility level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connects with the water chilled HVAC system and ambient lighting system, providing our customers with a central piece of software for facility management.</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Optimization at the Business Level</w:t>
      </w:r>
    </w:p>
    <w:p>
      <w:pPr>
        <w:spacing w:after="0" w:line="160"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91" w:lineRule="exact"/>
        <w:rPr>
          <w:sz w:val="20"/>
          <w:szCs w:val="20"/>
          <w:color w:val="auto"/>
        </w:rPr>
      </w:pPr>
    </w:p>
    <w:p>
      <w:pPr>
        <w:jc w:val="both"/>
        <w:ind w:left="1400" w:right="559" w:hanging="424"/>
        <w:spacing w:after="0" w:line="26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Consumables Procurement Integration</w:t>
      </w:r>
      <w:r>
        <w:rPr>
          <w:rFonts w:ascii="Times New Roman" w:cs="Times New Roman" w:eastAsia="Times New Roman" w:hAnsi="Times New Roman"/>
          <w:sz w:val="18"/>
          <w:szCs w:val="18"/>
          <w:color w:val="auto"/>
        </w:rPr>
        <w:t>. Each task can also be assigned a set of consumables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whose inventory will be reduced when the task is started. This feature can help customers manage supply levels and can automatically create purchase orders so that they never run out of required supplies.</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Online Standard Operating Procedures (“SOPs’’) and Safety Datasheets</w:t>
      </w:r>
      <w:r>
        <w:rPr>
          <w:rFonts w:ascii="Times New Roman" w:cs="Times New Roman" w:eastAsia="Times New Roman" w:hAnsi="Times New Roman"/>
          <w:sz w:val="18"/>
          <w:szCs w:val="18"/>
          <w:color w:val="auto"/>
        </w:rPr>
        <w:t>. Agrify Insights™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hosts digital copies of our included Standard Operating Procedures and datasheets, or users can upload their own via our content management system, ensuring that the most recent version of SOPs and forms are available to users.</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Roles-Based Dashboards</w:t>
      </w:r>
      <w:r>
        <w:rPr>
          <w:rFonts w:ascii="Times New Roman" w:cs="Times New Roman" w:eastAsia="Times New Roman" w:hAnsi="Times New Roman"/>
          <w:sz w:val="18"/>
          <w:szCs w:val="18"/>
          <w:color w:val="auto"/>
        </w:rPr>
        <w:t>. Ability to obtain access to information specifically suited to your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workforce’s various needs. Facility owners have 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Collection</w:t>
      </w:r>
      <w:r>
        <w:rPr>
          <w:rFonts w:ascii="Times New Roman" w:cs="Times New Roman" w:eastAsia="Times New Roman" w:hAnsi="Times New Roman"/>
          <w:sz w:val="18"/>
          <w:szCs w:val="18"/>
          <w:color w:val="auto"/>
        </w:rPr>
        <w:t>.Agrify Insights™ is a centralized repository for all data relating to the cultivation aspects of our clients’ business, including research and development testing data, and the ability to capture and compare test results. By doing so, Agrify Insights™ becomes a customers’ cultivation statement of record.</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Simulator/What If Scenarios</w:t>
      </w:r>
      <w:r>
        <w:rPr>
          <w:rFonts w:ascii="Times New Roman" w:cs="Times New Roman" w:eastAsia="Times New Roman" w:hAnsi="Times New Roman"/>
          <w:sz w:val="18"/>
          <w:szCs w:val="18"/>
          <w:color w:val="auto"/>
        </w:rPr>
        <w:t>. Our operating expenses (“OpEx”) calculator enables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users to evaluate impacts to profitability by changing hundreds of attributes including, but not limited to, changes to costs in labor, electric, water, CO</w:t>
      </w:r>
      <w:r>
        <w:rPr>
          <w:rFonts w:ascii="Times New Roman" w:cs="Times New Roman" w:eastAsia="Times New Roman" w:hAnsi="Times New Roman"/>
          <w:sz w:val="20"/>
          <w:szCs w:val="20"/>
          <w:color w:val="auto"/>
          <w:vertAlign w:val="subscript"/>
        </w:rPr>
        <w:t>2</w:t>
      </w:r>
      <w:r>
        <w:rPr>
          <w:rFonts w:ascii="Times New Roman" w:cs="Times New Roman" w:eastAsia="Times New Roman" w:hAnsi="Times New Roman"/>
          <w:sz w:val="18"/>
          <w:szCs w:val="18"/>
          <w:color w:val="auto"/>
        </w:rPr>
        <w:t>, and growing media as well as potential volatility in yields and pricing.</w:t>
      </w:r>
    </w:p>
    <w:p>
      <w:pPr>
        <w:spacing w:after="0" w:line="111"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Regulatory Reporting Integration. </w:t>
      </w:r>
      <w:r>
        <w:rPr>
          <w:rFonts w:ascii="Times New Roman" w:cs="Times New Roman" w:eastAsia="Times New Roman" w:hAnsi="Times New Roman"/>
          <w:sz w:val="18"/>
          <w:szCs w:val="18"/>
          <w:color w:val="auto"/>
        </w:rPr>
        <w:t>We have integrated our software with Metrc, a leading seed-to-harvest compliance management and tracking solution, which will enable our customers to handle most regulatory reporting directly through Agrify Insights™.</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Cultivation Deployment Options</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Rapid Deployment Pack (“RDP”) Program</w:t>
      </w:r>
    </w:p>
    <w:p>
      <w:pPr>
        <w:spacing w:after="0" w:line="146"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RDP program was established in 2022 to make it easier for a broader range of customers to access our award-winning cultivation technology. Featuring our flagship VFUs in a prepackaged, self-contained, and quick-to-deploy format, the thoughtfully designed and engineered RDPs offer an accelerated path to production, cash flow, and profitability for customers. By removing certain barriers and points of friction with the RDPs, we can</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provide customers who have properly equipped facilities with best-in-class cultivation capabilities in potentially as little as 90 days. Once installed, the modular nature of the RDPs allows for seamless expansion opportunities, enabling customers the flexibility to grow and scale.</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TTK Solution</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While we do not intend to enter into any new TTK Solutions for the foreseeable future, we have deployed this program with certain key customers. We also believe that our data-driven TTK Solution for cultivation solutions is unlike any other customer solution being offered and enables our customers to get to market faster by providing them with our seamlessly integrated hardware and software offerings as well as access to capital and a wide range of associated services from experts including consulting, training, design, engineering, and construction to form what we believe is the most complete solution available from a single provider. We engage qualified cannabis operators in the early phases of their business plans and provide critical support, typically over a 10-year period.</w:t>
      </w:r>
    </w:p>
    <w:p>
      <w:pPr>
        <w:spacing w:after="0" w:line="11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Our TTK Solution provides our valued customers with the benefit of working with a single, highly qualified provider in what has historically been a decentralized market full of piecemeal solutions that were not necessarily designed and engineered to work harmoniously with one another. Given the significant shortcomings associated with traditional indoor grow methods across all commercial agriculture segments, it was apparent that a new paradigm in indoor cultivation was needed, which is why we have brought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components working together optimally. Despite the rapidly growing cannabis and hemp industry, many growers and processors face some significant obstacles to their operations that pose a serious threat to their long-term viability.</w:t>
      </w:r>
    </w:p>
    <w:p>
      <w:pPr>
        <w:spacing w:after="0" w:line="127"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believe Agrify’s proprietary TTK Solution is the key to resolving many of the challenges our customers encounter. We have set ourselves apart by bringing to market a horticulturist expertise, bundled solution of state-of-the-art equipment, software and services that is turn-key, end-to-end, fully integrated and optimized for precision growing and extraction. Agrify’s TTK Solution provides customers with the following bundled equipment and services:</w:t>
      </w:r>
    </w:p>
    <w:p>
      <w:pPr>
        <w:spacing w:after="0" w:line="116" w:lineRule="exact"/>
        <w:rPr>
          <w:sz w:val="20"/>
          <w:szCs w:val="20"/>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design, lab design, and engineering services</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and lab build-out project management</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VFUs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data driven Agrify Insights™</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Agrify extraction products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 horticulturist training and ongoing support</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Extraction Solutions</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While we do not extract, come in contact with, distribute, process, or dispense cannabis or hemp or any cannabis or hemp derivatives that are currently prohibited under U.S.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06"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Cannabis represents a potential cornucopia of medicinal and pharmaceutical advancement. Cannabis produces over 550 different phytochemicals, over 120 of which are cannabinoids like tetrahydrocannabinol (“THC”) and cannabidiol (“CBD”).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01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7701915"/>
                    </a:xfrm>
                    <a:prstGeom prst="rect">
                      <a:avLst/>
                    </a:prstGeom>
                    <a:noFill/>
                  </pic:spPr>
                </pic:pic>
              </a:graphicData>
            </a:graphic>
          </wp:anchor>
        </w:drawing>
      </w:r>
    </w:p>
    <w:p>
      <w:pPr>
        <w:spacing w:after="0" w:line="327"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As stated previously, we strategically acquired four of the top brands in the extraction space in late 2021 and early 2022 in Precision Extraction, PurePressure, Lab Society, and Cascade Sciences. These iconic brands encompass everything from hydrocarbon, alcohol, and solventless extraction to distillation and post-processing and have supported and continue to support over 90% of legal operators in one fashion or another.</w:t>
      </w:r>
    </w:p>
    <w:p>
      <w:pPr>
        <w:spacing w:after="0" w:line="11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Combined, these four acquisitions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industries. The extraction, post-processing and testing services are complementary and highly attractive areas of the supply chain.</w:t>
      </w:r>
    </w:p>
    <w:p>
      <w:pPr>
        <w:spacing w:after="0" w:line="10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extraction division now offers cutting-edge technologies and end-to-end service solutions. Solutions from the extraction division include equipment, technology, facility and lab design, training,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116"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These acquisitions have greatly expanded our product and service offerings in the post-harvest segment of the supply chain. We believe we are positioning Agrify as one of the most vertically integrated total solutions provider for our cannabis and hemp customers. According to a report published by Grand View Research in November 2022, the global cannabis extraction market is expected to potentially grow to $15.5 billion by 2030, and as the cannabis industry continues to experience rapid growth globally, we expect the sales of our extraction solutions to follow a similar growth trajectory.</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Cannabis Market Opportunity</w:t>
      </w:r>
    </w:p>
    <w:p>
      <w:pPr>
        <w:spacing w:after="0" w:line="16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While we do not cultivate, come in contact with, distribute or dispense cannabis or any cannabis derivatives that are currently prohibited under U.S. federal law, our cultivation solutions can be used within state-licensed indoor grow facilities by cannabis cultivators if they choose to do so.</w:t>
      </w:r>
    </w:p>
    <w:p>
      <w:pPr>
        <w:spacing w:after="0" w:line="95"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In the U.S., the development and growth of the regulated medical and recreational (adult-use)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January 2023, 39 states have passed laws allowing their citizens to use medical cannabis. On top of this medical condition growth trend, there has been a slow but steady increase in the number of states that have chosen to legalize cannabis for recreational use. As of January 2023, 21 states have passed laws allowing their citizens to use recreational cannabis.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report, over 70 countries outside the U.S. currently have medicinal cannabis regulation in force, and that number is expected to significantly increase over time.</w:t>
      </w:r>
    </w:p>
    <w:p>
      <w:pPr>
        <w:spacing w:after="0" w:line="13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Given that the market size of legal cannabis in the U.S. in 2022 was estimated to be $27.7 billion according to MarketsandMarkets research Pvt Ltd, and 88% of legal U.S. cannabis cultivators grow indoors (Fluence 2022 Industry lighting report), we estimate that the indoor segment of the legal U.S. cannabis sector is a $10 billion market with the expectation that there will be even more growth on the horizon. A recent report from statista.com projected global cannabis revenue to reach $47.2 billion in 2023, with annual growth rate of 12.69%, with a projected global market volume of $76.1 billion by 2027.</w:t>
      </w:r>
    </w:p>
    <w:p>
      <w:pPr>
        <w:spacing w:after="0" w:line="120"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different cultivation environments for cannabis each have advantages and disadvantages, and this leads to a variance in price points based on quality, actual and perceived, and process. Based on the Fluence 2022 state of the cannabis industry lighting report, 88% of cultivators have some or all of their facilities growing indoors, up 9% over 2021.</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87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We believe our business has, and our future success will be driven by, the following competitive strengths:</w:t>
      </w:r>
    </w:p>
    <w:p>
      <w:pPr>
        <w:spacing w:after="0" w:line="90" w:lineRule="exact"/>
        <w:rPr>
          <w:sz w:val="20"/>
          <w:szCs w:val="20"/>
          <w:color w:val="auto"/>
        </w:rPr>
      </w:pPr>
    </w:p>
    <w:p>
      <w:pPr>
        <w:jc w:val="both"/>
        <w:ind w:left="1400" w:right="559" w:hanging="424"/>
        <w:spacing w:after="0" w:line="255"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Innovative Technology in an Attractive Growing Industry</w:t>
      </w:r>
      <w:r>
        <w:rPr>
          <w:rFonts w:ascii="Times New Roman" w:cs="Times New Roman" w:eastAsia="Times New Roman" w:hAnsi="Times New Roman"/>
          <w:sz w:val="18"/>
          <w:szCs w:val="18"/>
          <w:color w:val="auto"/>
        </w:rPr>
        <w:t>. Our innovative solutions are aimed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large and growing U.S. domestic and global markets. We believe we are the only provider of a fully integrated end-to-end hardware and software turnkey solution for indoor cultivation and extraction facilities that allows customers to produce high-quality products with consistency at scale while meeting the growing demand and needs of end users at a relatively low cost. As such, we believe we have a first mover advantage due to innovating this new type of smart cannabis and hemp cultivation and processing solution, which is already designed, manufactured, and implemented in several commercial scale deployments across multiple states within the U.S.</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6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Integrated Proprietary Components</w:t>
      </w:r>
      <w:r>
        <w:rPr>
          <w:rFonts w:ascii="Times New Roman" w:cs="Times New Roman" w:eastAsia="Times New Roman" w:hAnsi="Times New Roman"/>
          <w:sz w:val="18"/>
          <w:szCs w:val="18"/>
          <w:color w:val="auto"/>
        </w:rPr>
        <w:t>. We design and create our own hardware, software,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SOPs from the ground up rather than buying piecemeal from third parties. We take a systems-engineered integrated approach that we believe has inherent advantages over other, ad-hoc systems.</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Emphasis on Precision and Consistency Through Our Proprietary Grow Solutions</w:t>
      </w:r>
      <w:r>
        <w:rPr>
          <w:rFonts w:ascii="Times New Roman" w:cs="Times New Roman" w:eastAsia="Times New Roman" w:hAnsi="Times New Roman"/>
          <w:sz w:val="18"/>
          <w:szCs w:val="18"/>
          <w:color w:val="auto"/>
        </w:rPr>
        <w:t>.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the variables that influence harvests with an unparalleled level of precision. The by-product of our TTK Solution is that our customers can create consistent high-quality products with repeatability from anywhere similar to any other consumer product company that provides a branded food or drink product.</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9"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Emphasis on Precision and Consistency Through Our Extraction Division. </w:t>
      </w:r>
      <w:r>
        <w:rPr>
          <w:rFonts w:ascii="Times New Roman" w:cs="Times New Roman" w:eastAsia="Times New Roman" w:hAnsi="Times New Roman"/>
          <w:sz w:val="18"/>
          <w:szCs w:val="18"/>
          <w:color w:val="auto"/>
        </w:rPr>
        <w:t>In addition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premium grow solutions, we have begun offering our customers industry leading cannabis and hemp extraction equipment, design, and training solutions. By acquiring leading brands earlier this year, we are immediately able to offer our customers premium solutions to meet their processing needs in this rapidly expanding sector.</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Market Knowledge and Understanding</w:t>
      </w:r>
      <w:r>
        <w:rPr>
          <w:rFonts w:ascii="Times New Roman" w:cs="Times New Roman" w:eastAsia="Times New Roman" w:hAnsi="Times New Roman"/>
          <w:sz w:val="18"/>
          <w:szCs w:val="18"/>
          <w:color w:val="auto"/>
        </w:rPr>
        <w:t>.We have extensive experience with controlled agriculture environments, extraction, post-processing, and scale-up manufacturing, as well as industry technical knowledge and relationships. We are keenly aware of the struggles that indoor cultivators and extractors face, and we serve as a credible and collaborative partner through the entire customer lifecycle. We believe that our fully integrated TTK Solution, extraction equipment and ancillary services are the key to resolving many of the challenges our customers face.</w:t>
      </w:r>
    </w:p>
    <w:p>
      <w:pPr>
        <w:spacing w:after="0" w:line="335"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Differentiated Business Model</w:t>
      </w:r>
      <w:r>
        <w:rPr>
          <w:rFonts w:ascii="Times New Roman" w:cs="Times New Roman" w:eastAsia="Times New Roman" w:hAnsi="Times New Roman"/>
          <w:sz w:val="18"/>
          <w:szCs w:val="18"/>
          <w:color w:val="auto"/>
        </w:rPr>
        <w:t>. Unlike many of our competitors, we offer a diversified mix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software, and services, which leads to potential multiple revenue streams. Given the nature of our deployments, we become deeply embedded in our customers’ operations through our numerous product offerings. This puts us in a position where customer success is directly tied to our equipment. Our ability to differentiate our business model provides us with multiple opportunities to expand our installed user base, which we believe will lead to future high-margin and stable recurring SaaS revenues, via our Agrify Insights™ and production fee revenues.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have developed a multi-pronged growth strategy as described below to help us capitalize on the sizable opportunity at hand. Through methodical sales and marketing efforts, cultivation and extraction solutions, and scale-up manufacturing, we believe we have implemented several key initiatives we can use to grow our business more effectively. We also intend to opportunistically pursue the strategies described below to continue our upward trajectory and enhance shareholder value. We believe we have significantly improved our new bookings and qualified pipeline. With our expanded product line that includes quality extraction solutions, we have become more attractive to our prospects and customers, enhancing our overall appeal and the scope of opportunities we are able to pursue. We expect our qualified pipeline and new bookings of opportunities to continue to grow.</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62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Regulatory Implications of Providing Equipment and Services in the Cannabis and Hemp Industry</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sell products and services that end users may purchase for use in industries or segments, including the growing and processing of cannabis and hemp, which are subject to varying, inconsistent, and rapidly changing laws, regulations, administrative practices, enforcement approaches, judicial interpretations, and consumer perceptions. For example, certain countries and 38 U.S. states have adopted frameworks that authorize, regulate, and tax the cultivation, processing, sale, and use of cannabis for medicinal and/or non-medicinal use, while the U.S. Controlled Substances Act and the laws of other U.S. states prohibit growing cannabis. In addition, with the passage of the Farm Bill in December 2018, hemp cultivation is now broadly permitted. The Farm Bill explicitly allows the transfer of hemp-derived products across state lines for commercial or other purposes. It also removes restrictions on the sale, transport, or possession of hemp-derived products, so long as those items are produced in a manner consistent with the law. Our products are multi-purpose products and may be used on a wide range of plants and are purchased by cultivators who may grow any variety of plants, including cannabis and hemp.</w:t>
      </w:r>
    </w:p>
    <w:p>
      <w:pPr>
        <w:spacing w:after="0" w:line="12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Although the majority of states now have laws that regulate or decriminalize various types of cannabis use, marijuana remains a Schedule I drug under the Controlled Substances Act, making it illegal under federal law in the U.S. to, among other things, cultivate, distribute or possess cannabis in the U.S. In those states in which the use of marijuana has been legalized, its use remains a violation of federal law pursuant to the Controlled Substances Act. The Controlled Substances Act classifies marijuana as a Schedule I controlled substance, and as such, medical and adult cannabis use is illegal under U.S. federal law. Unless and until the U.S. Congress amends the Controlled Substances Act with respect to marijuana (and the President approves such amendment), there is a risk that federal authorities may enforce current federal law. Financial transactions involving proceeds generated by, or intended to promote, cannabis-related business activities in the U.S. may form the basis for prosecution under applicable U.S. federal money laundering legislation. The approach to enforcement of such laws by the federal government in the U.S. has trended toward non-enforcement against individuals and businesses that comply with medical or adult-use cannabis regulatory programs in states where such programs are legal, strict compliance with state laws with respect to cannabis.</w:t>
      </w:r>
    </w:p>
    <w:p>
      <w:pPr>
        <w:spacing w:after="0" w:line="106"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In most states that have legalized medical- and recreational-use cannabis in some form, the growing, processing and/or dispensing of cannabis generally requires that the operator obtain one or more licenses in accordance with applicable state requirements. In addition, many states regulate various aspects of the growing, processing and/or dispensing of cannabis and hemp. Local governments in some cases also impose rules and regulations on the manner of operating cannabis and hemp businesses. As a result, applicable state and local laws and regulations vary widely, including, but not limited to, regulations governing the medical cannabis program, product testing, the level of enforcement by state and local authorities on non-licensed cannabis operators, state and local taxation of regulated cannabis products, local municipality bans on operations and operator licensing processes and renewals.</w:t>
      </w:r>
    </w:p>
    <w:p>
      <w:pPr>
        <w:spacing w:after="0" w:line="121"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As part of its rigorous due diligence policy on all potential customers, we carefully review the appropriate licensure of each potential customer in the cannabis and hemp industry for compliance with applicable local, state, and federal laws. We are not involved in the cultivation, processing, or retail of cannabis products and never takes a controlling interest in any of the operations of its cannabis customers as a matter of state law.</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62" w:lineRule="exact"/>
        <w:rPr>
          <w:sz w:val="20"/>
          <w:szCs w:val="20"/>
          <w:color w:val="auto"/>
        </w:rPr>
      </w:pPr>
    </w:p>
    <w:p>
      <w:pPr>
        <w:jc w:val="both"/>
        <w:ind w:left="540" w:right="559" w:firstLine="432"/>
        <w:spacing w:after="0" w:line="259"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for so long as we are an “emerging growth company,” we will not be required to:</w:t>
      </w:r>
    </w:p>
    <w:p>
      <w:pPr>
        <w:spacing w:after="0" w:line="322" w:lineRule="exact"/>
        <w:rPr>
          <w:sz w:val="20"/>
          <w:szCs w:val="20"/>
          <w:color w:val="auto"/>
        </w:rPr>
      </w:pPr>
    </w:p>
    <w:p>
      <w:pPr>
        <w:ind w:left="1400" w:right="5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auditor to report on our internal controls over financial reporting pursuant to Section 404(b) of the Sarbanes-Oxley Act of 2002, or the Sarbanes-Oxley Act;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12"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certain executive compensation matters to shareholder advisory votes, such as “say-on-pay,” “say-on-frequency,” and “say-on-golden parachutes;” or</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134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87134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66" w:lineRule="auto"/>
        <w:tabs>
          <w:tab w:leader="none" w:pos="13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compensation-related items such as the correlation between executive compensation and performance and the comparison of the chief executive officer’s compensation to median employee compensation.</w:t>
      </w:r>
    </w:p>
    <w:p>
      <w:pPr>
        <w:spacing w:after="0" w:line="108"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use the extended transition period for complying with new or revised accounting standards.</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w:t>
      </w:r>
    </w:p>
    <w:p>
      <w:pPr>
        <w:spacing w:after="0" w:line="158" w:lineRule="exact"/>
        <w:rPr>
          <w:sz w:val="20"/>
          <w:szCs w:val="20"/>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reporting $1 billion or more in annual gross revenues;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in a three-year period, of more than $1 billion in non-convertible debt;</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fiscal year in which the market value of our common stock held by non-affiliates exceeds $700 million on the last business day of our second fiscal quarter; and</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2026.</w:t>
      </w:r>
    </w:p>
    <w:p>
      <w:pPr>
        <w:spacing w:after="0" w:line="158"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95"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Note Acquisition and Warrant Issuance</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On October 27, 2023, following the execution of the Modification Agreement (as defined below), CP Acquisitions LLC (the “New Lender”), an entity affiliated with and controlled by Raymond Chang, our Chairman and Chief Executive Officer, and I-Tseng Jenny Chan, a member of our Board of Directors, purchased from an institutional investor (the “Former Lender”) the Senior Secured Note issued by us to the Former Lender on August 19, 2022 (the “Exchange Note”) and the Senior Secured Convertible Note issued by us to the Former Lender on March 10, 2023 (the “Convertible Note”). As a condition to the Note Purchase, we and the New Lender entered into an acknowledgment and release (the “Release Agreement”) with the Former Lender, pursuant to which we and the New Lender released the Former Lender from any claims, demands, actions, suits, obligations and causes of action arising on or before the date thereof.</w:t>
      </w:r>
    </w:p>
    <w:p>
      <w:pPr>
        <w:spacing w:after="0" w:line="337"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On October 27, 2023, as a condition precedent to the Note Purchase, we entered into a letter agreement (the “Letter Agreement”) with the Former Lender. Pursuant to the Letter Agreement, we agreed, immediately prior to the note purchase transaction, to exchange $3.0 million in principal and approximately $1.1 million in accrued but unpaid interest outstanding under the Exchange Note for a warrant (the “Exchange Warrant”) to purchase 2,809,669 shares of common stock. Additionally, we agreed to exchange the 375,629 shares of common stock held in abeyance for the Former Lender under the terms of the letter agreement between us and the Former Lender dated as of April 26, 2023 for a warrant to purchase 375,629 shares of common stock (the “Abeyance Warrant”).</w:t>
      </w:r>
    </w:p>
    <w:p>
      <w:pPr>
        <w:spacing w:after="0" w:line="111"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Each of the Exchange Warrant and the Abeyance Warrant has an exercise price of $0.001 per share, became exercisable upon issuance, has a term of five years from the date of issuance and is exercisable on a cash basis or on a cashless exercise basis at the Former Lender’s election. During January 2024, pursuant to notices of exercise from the Former Lender, we issued an aggregate of 2,683,129 shares of common stock upon the cashless exercise of the entire Abeyance Warrant and a portion of the Exchange Warrant, with 449,669 underlying shares remaining under the Exchange Warrant, subject to adjustment pursuant to its terms.</w:t>
      </w:r>
    </w:p>
    <w:p>
      <w:pPr>
        <w:spacing w:after="0" w:line="121"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Exchange Warrant provides that in the event that Raymond Chang or his affiliates acquire securities from us, exercise convertible securities or amend the terms of convertible securities at a purchase or conversion price lower than $1.46, then the number of shares of common stock underlying Exchange Warrant shall be increased to an amount</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50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82505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equal to $3.0 million divided by such purchase or conversion price, subject to proportional adjustment in the event the Exchange Warrant has been partially exercised. Additionally, in the event that we have not issued equity securities in exchange for gross proceeds of at least $3.0 million to Mr. Chang or his affiliates (subject to certain offsets) by the third calendar day after the date when the Company receives stockholder approval, then on December 26, 2023, the number of shares of common stock underlying Exchange Warrant will be increased to an amount equal to $3.0 million divided by the Minimum Price as defined under Nasdaq listing rules, subject to proportional adjustment in the event the Exchange Warrant has been partially exercised. The Letter Agreement requires us to issue equity securities to Mr. Chang or his affiliates for aggregate gross proceeds of at least $3.0 million, minus any funds advanced by Mr. Chang to the Company since July 1, 2023.</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Note Amendment and Secured Promissory Note</w:t>
      </w:r>
    </w:p>
    <w:p>
      <w:pPr>
        <w:spacing w:after="0" w:line="160"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On July 12, 2023, we issued an unsecured promissory note in favor of GIC Acquisition, LLC (“GIC”), an entity that is owned and managed by Raymond Chang, our Chairman and Chief Executive Officer. On October 27, 2023, we and GIC amended and restated the Note (the “GIC Note”). Pursuant to the terms of the GIC Note, as restated, the maturity date was extended until December 31, 2023 and we granted a junior security interest in our assets. On January 25, 2024, we and GIC amended and restated the GIC Note to increase the principal amount thereunder to $1.0 million, all of which is currently outstanding under the GIC Note, and to extend the maturity date until June 30, 2024.</w:t>
      </w:r>
    </w:p>
    <w:p>
      <w:pPr>
        <w:spacing w:after="0" w:line="10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Concurrently with the restatement of the GIC Note, we issued a junior secured promissory note (the “Junior Secured Note”) to the New Lender. Pursuant to the Junior Secured Note, the New Lender loaned an aggregate of approximately $4.0 million to us. The Junior Secured Note bore interest at a rate of 10% per annum, had a maturity date of December 31, 2023, and could be prepaid without any fee or penalty. The Junior Secured Note was a junior secured obligation.</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Note Amendment, Consolidation and Conversion</w:t>
      </w:r>
    </w:p>
    <w:p>
      <w:pPr>
        <w:spacing w:after="0" w:line="160"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w:t>
      </w:r>
    </w:p>
    <w:p>
      <w:pPr>
        <w:spacing w:after="0" w:line="4" w:lineRule="exact"/>
        <w:rPr>
          <w:sz w:val="20"/>
          <w:szCs w:val="20"/>
          <w:color w:val="auto"/>
        </w:rPr>
      </w:pPr>
    </w:p>
    <w:p>
      <w:pPr>
        <w:jc w:val="both"/>
        <w:ind w:left="540" w:right="559" w:firstLine="4"/>
        <w:spacing w:after="0" w:line="252" w:lineRule="auto"/>
        <w:tabs>
          <w:tab w:leader="none" w:pos="8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Mack Molding Settlement and Warrant Issuance</w:t>
      </w:r>
    </w:p>
    <w:p>
      <w:pPr>
        <w:spacing w:after="0" w:line="160"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Immediately prior to the note purchase described above on October 27, 2023, and with an effective date as of October 18, 2023, we entered into a Modification and Settlement Agreement (the “Modification Agreement”) with Mack Molding Company (“Mack”). Pursuant to the Modification Agreement, we and Mack agreed to settle an outstanding dispute of approximately $8.24 million under a Supply Agreement between the parties dated December 7, 2020 (the “Supply Agreement”) by reducing the aggregate amount due to Mack and extending the timeline for payment. The Modification Agreement requires us to make payments of $500,000 and $250,000 to Mack on or before November 1, 2023 and February 15, 2024, respectively. Following the November 1, 2023 payment, we will be entitled to take possession of certain Vertical Farming Units (“VFUs”) that were assembled under the Supply Agreement.</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 w:name="page16"/>
    <w:bookmarkEnd w:id="1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850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88506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Modification Agreement also requires us to purchase from Mack a minimum of 25 VFUs per quarter for each quarter during 2024 and a minimum of 50 VFUs per quarter for the six quarters beginning with the first quarter of 2025. We are required to pay a storage fee of $25,000 per month for VFUs subject to the Modification Agreement.</w:t>
      </w:r>
    </w:p>
    <w:p>
      <w:pPr>
        <w:spacing w:after="0" w:line="11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Additionally, as part of the Modification Agreement, we agreed to issue to Mack a warrant (the “Mack Warrant”) to purchase 750,000 shares of common stock. The Mack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Mack Warrant may be exercised on a cashless exercise basis at Mack’s election.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Nasdaq Notices and Hearing</w:t>
      </w:r>
    </w:p>
    <w:p>
      <w:pPr>
        <w:spacing w:after="0" w:line="146"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On April 18, 2023, we received a notice (the “April Nasdaq Notice”) from The Nasdaq Stock Market LLC (“Nasdaq”) that we were noncompliance with Nasdaq Listing Rule 5250(c)(1) as a result of our failure to file our Annual Report on Form 10-K (the “Form 10-K”) with the SEC by the required due date.</w:t>
      </w:r>
    </w:p>
    <w:p>
      <w:pPr>
        <w:spacing w:after="0" w:line="10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11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0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10-Q and the Form 10-K (collectively, the “Delinquent Reports”) in a timely manner. We filed each of the Delinquent Reports between November 28, 2023 and January 3, 2024.</w:t>
      </w:r>
    </w:p>
    <w:p>
      <w:pPr>
        <w:spacing w:after="0" w:line="11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On December 1, 2023, we received a notice Nasdaq stating that because we reported stockholders’ equity of $(17.17) million in our Quarterly Report on Form 10-Q for the quarter ended March 31, 2023, we were no longer in compliance with Nasdaq Listing Rule 5550(b)(1), which requires that listed companies maintain a minimum of $2.5 million in stockholders’ equity.</w:t>
      </w:r>
    </w:p>
    <w:p>
      <w:pPr>
        <w:spacing w:after="0" w:line="11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We timely requested a hearing before the Nasdaq Hearings Panel (the “Panel”), which hearing was held on January 11, 2024. At the hearing, we presented a plan to regain compliance with Nasdaq Listing Rule 5550(b)(1). On January 30, 2024, we received formal notice that the Panel had granted our request for an exception through April 15, 2024 to evidence compliance with Rule 5550(b)(1), which represents the full extent of the Panel’s discretion to grant continued listing. As a result, there can be no assurance that we can regain compliance by the end of the extension period.</w:t>
      </w:r>
    </w:p>
    <w:p>
      <w:pPr>
        <w:spacing w:after="0" w:line="106"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will take all possible actions to restore our compliance with Nasdaq, but we can provide no assurances that the listing of our common stock will be restored or that we otherwise will remain listed on Nasdaq. 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Agrify Corporation was incorporated in the state of Nevada on June 6, 2016, originally incorporated as Agrinamics, Inc. (or Agrinamics). On September 16, 2019, Agrinamics amended its articles of incorporation to reflect a name change to Agrify Corporation. Our executive offices are located at 2468 Industrial Row, Dr., Troy, Michigan 48084. Our telephone number at our executive offices is (855) 420-0020. Our website address is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xml:space="preserve"> Our website and the information contained in, or accessible through, our website will not be deemed to be incorporated by reference into this prospectus and does not constitute part of this prospectus. You should not rely on any such information in making your decision whether to purchase our securities.</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556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755650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540" w:right="140"/>
        <w:spacing w:after="0" w:line="516" w:lineRule="auto"/>
        <w:rPr>
          <w:sz w:val="20"/>
          <w:szCs w:val="20"/>
          <w:color w:val="auto"/>
        </w:rPr>
      </w:pPr>
      <w:r>
        <w:rPr>
          <w:rFonts w:ascii="Times New Roman" w:cs="Times New Roman" w:eastAsia="Times New Roman" w:hAnsi="Times New Roman"/>
          <w:sz w:val="18"/>
          <w:szCs w:val="18"/>
          <w:color w:val="auto"/>
        </w:rPr>
        <w:t>Common Stock offered by us Pre-Funded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2,014,234 shares of our common stock.</w:t>
      </w:r>
    </w:p>
    <w:p>
      <w:pPr>
        <w:spacing w:after="0" w:line="212"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We are also offering to certain purchasers whose purchase of shares of common stock in this offering would otherwise result in the purchaser, together with its affiliates and certain related parties, beneficially owning more than 4.99% (or such other percentage as may be required by the investor) of our outstanding common stock immediately following the consummation of this offering, the opportunity to purchase, if any such purchaser so chooses, Pre-Funded Warrants to purchase up to 2,014,234 shares of our common stock in lieu of shares of our common stock. Each Pre-Funded Warrant will have an exercise price equal to $0.001 per share and is immediately exercisable. The Pre-Funded Warrants will not expire. See “Description of Securities — Pre-Funded Warrants to be Issued in this Offering.”</w:t>
      </w:r>
    </w:p>
    <w:p>
      <w:pPr>
        <w:spacing w:after="0" w:line="376"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9,070,239 shares, assuming that we sell all securities offered pursuant to this prospectus and assuming that none of the Pre-Funded Warrants are exercised.</w:t>
      </w:r>
    </w:p>
    <w:p>
      <w:pPr>
        <w:spacing w:after="0" w:line="149" w:lineRule="exact"/>
        <w:rPr>
          <w:sz w:val="20"/>
          <w:szCs w:val="20"/>
          <w:color w:val="auto"/>
        </w:rPr>
      </w:pPr>
    </w:p>
    <w:p>
      <w:pPr>
        <w:sectPr>
          <w:pgSz w:w="11900" w:h="16838" w:orient="portrait"/>
          <w:cols w:equalWidth="0" w:num="2">
            <w:col w:w="3200" w:space="300"/>
            <w:col w:w="551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Price per share of common stock</w:t>
            </w: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$0.7447 public offering price per share of common stock based</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upon an assumed public offering price of $0.7447, the closing price</w:t>
            </w:r>
          </w:p>
        </w:tc>
      </w:tr>
      <w:tr>
        <w:trPr>
          <w:trHeight w:val="234"/>
        </w:trPr>
        <w:tc>
          <w:tcPr>
            <w:tcW w:w="2740" w:type="dxa"/>
            <w:vAlign w:val="bottom"/>
          </w:tcPr>
          <w:p>
            <w:pPr>
              <w:spacing w:after="0"/>
              <w:rPr>
                <w:sz w:val="20"/>
                <w:szCs w:val="20"/>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of our common stock on February 6, 2024</w:t>
            </w:r>
          </w:p>
        </w:tc>
      </w:tr>
      <w:tr>
        <w:trPr>
          <w:trHeight w:val="387"/>
        </w:trPr>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Price per Pre-Funded Warrant</w:t>
            </w: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$0.7437 public offering price per pre-funded warrant based upon an</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assumed public offering price of $0.7447, the closing price of our</w:t>
            </w:r>
          </w:p>
        </w:tc>
      </w:tr>
      <w:tr>
        <w:trPr>
          <w:trHeight w:val="234"/>
        </w:trPr>
        <w:tc>
          <w:tcPr>
            <w:tcW w:w="2740" w:type="dxa"/>
            <w:vAlign w:val="bottom"/>
          </w:tcPr>
          <w:p>
            <w:pPr>
              <w:spacing w:after="0"/>
              <w:rPr>
                <w:sz w:val="20"/>
                <w:szCs w:val="20"/>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common stock on February 6, 2024 minus $0.001.</w:t>
            </w:r>
          </w:p>
        </w:tc>
      </w:tr>
      <w:tr>
        <w:trPr>
          <w:trHeight w:val="387"/>
        </w:trPr>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Placement Agent Warrants</w:t>
            </w: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The registration statement of which this prospectus is a part also</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registers for sale the common stock issuable pursuant to the</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warrants to purchase up to one percent (1%) of the aggregate</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number of shares of common stock (or Pre-Funded Warrants) issued</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this offering to be issued to Alexander Capital, L.P., as placement</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agent (the “Placement Agent Warrants”). The Placement Agent</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Warrants will be exercisable at any time, and from time to time, in</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whole or in part, during the period commencing 180 days from the</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first day of the sales of the public equity securities and expiring</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five years from the effective date of the offering at an exercise price</w:t>
            </w:r>
          </w:p>
        </w:tc>
      </w:tr>
      <w:tr>
        <w:trPr>
          <w:trHeight w:val="216"/>
        </w:trPr>
        <w:tc>
          <w:tcPr>
            <w:tcW w:w="2740" w:type="dxa"/>
            <w:vAlign w:val="bottom"/>
          </w:tcPr>
          <w:p>
            <w:pPr>
              <w:spacing w:after="0"/>
              <w:rPr>
                <w:sz w:val="18"/>
                <w:szCs w:val="18"/>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w:t>
            </w:r>
          </w:p>
        </w:tc>
        <w:tc>
          <w:tcPr>
            <w:tcW w:w="4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per share (100% of the public offering price per share).</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Please see “Plan of Distribution — Placement Agent Warrants” on</w:t>
            </w:r>
          </w:p>
        </w:tc>
      </w:tr>
      <w:tr>
        <w:trPr>
          <w:trHeight w:val="234"/>
        </w:trPr>
        <w:tc>
          <w:tcPr>
            <w:tcW w:w="2740" w:type="dxa"/>
            <w:vAlign w:val="bottom"/>
          </w:tcPr>
          <w:p>
            <w:pPr>
              <w:spacing w:after="0"/>
              <w:rPr>
                <w:sz w:val="20"/>
                <w:szCs w:val="20"/>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page 56 of this prospectus for a description of these warrants.</w:t>
            </w:r>
          </w:p>
        </w:tc>
      </w:tr>
      <w:tr>
        <w:trPr>
          <w:trHeight w:val="387"/>
        </w:trPr>
        <w:tc>
          <w:tcPr>
            <w:tcW w:w="2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Placement Agent Compensation</w:t>
            </w: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connection with this offering, the placement agent will receive a</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fee equal to seven percent (7.0%) of the aggregate gross proceeds</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raised in this offering. In addition, we have agreed to: (i) reimburse</w:t>
            </w:r>
          </w:p>
        </w:tc>
      </w:tr>
      <w:tr>
        <w:trPr>
          <w:trHeight w:val="216"/>
        </w:trPr>
        <w:tc>
          <w:tcPr>
            <w:tcW w:w="2740" w:type="dxa"/>
            <w:vAlign w:val="bottom"/>
          </w:tcPr>
          <w:p>
            <w:pPr>
              <w:spacing w:after="0"/>
              <w:rPr>
                <w:sz w:val="18"/>
                <w:szCs w:val="18"/>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w:t>
            </w:r>
          </w:p>
        </w:tc>
        <w:tc>
          <w:tcPr>
            <w:tcW w:w="4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accountable  expenses  of  the  placement  agent,  and</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(ii)  indemnify  the  placement  agent  for  certain  liabilities  in</w:t>
            </w:r>
          </w:p>
        </w:tc>
      </w:tr>
      <w:tr>
        <w:trPr>
          <w:trHeight w:val="216"/>
        </w:trPr>
        <w:tc>
          <w:tcPr>
            <w:tcW w:w="2740" w:type="dxa"/>
            <w:vAlign w:val="bottom"/>
          </w:tcPr>
          <w:p>
            <w:pPr>
              <w:spacing w:after="0"/>
              <w:rPr>
                <w:sz w:val="18"/>
                <w:szCs w:val="18"/>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connection with this offering. See “Plan of Distribution” starting on</w:t>
            </w:r>
          </w:p>
        </w:tc>
      </w:tr>
      <w:tr>
        <w:trPr>
          <w:trHeight w:val="234"/>
        </w:trPr>
        <w:tc>
          <w:tcPr>
            <w:tcW w:w="2740" w:type="dxa"/>
            <w:vAlign w:val="bottom"/>
          </w:tcPr>
          <w:p>
            <w:pPr>
              <w:spacing w:after="0"/>
              <w:rPr>
                <w:sz w:val="20"/>
                <w:szCs w:val="20"/>
                <w:color w:val="auto"/>
              </w:rPr>
            </w:pPr>
          </w:p>
        </w:tc>
        <w:tc>
          <w:tcPr>
            <w:tcW w:w="5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page 56 of this prospectus.</w:t>
            </w:r>
          </w:p>
        </w:tc>
      </w:tr>
      <w:tr>
        <w:trPr>
          <w:trHeight w:val="415"/>
        </w:trPr>
        <w:tc>
          <w:tcPr>
            <w:tcW w:w="2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388"/>
        </w:trPr>
        <w:tc>
          <w:tcPr>
            <w:tcW w:w="2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jc w:val="right"/>
              <w:ind w:right="387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6913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691324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both"/>
        <w:ind w:right="559"/>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the sale of the securities under this prospectus for working capital and general corporate purposes, which may include capital expenditures and repayment of debt. We reserve the right, at the sole discretion of our management, to reallocate the proceeds of this offering in response to developments in our business and other factors. See “Use of Proceeds” on page 48 of this prospectus.</w:t>
      </w:r>
    </w:p>
    <w:p>
      <w:pPr>
        <w:spacing w:after="0" w:line="148" w:lineRule="exact"/>
        <w:rPr>
          <w:sz w:val="20"/>
          <w:szCs w:val="20"/>
          <w:color w:val="auto"/>
        </w:rPr>
      </w:pPr>
    </w:p>
    <w:p>
      <w:pPr>
        <w:sectPr>
          <w:pgSz w:w="11900" w:h="16838" w:orient="portrait"/>
          <w:cols w:equalWidth="0" w:num="2">
            <w:col w:w="2780" w:space="720"/>
            <w:col w:w="551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jc w:val="both"/>
        <w:ind w:right="559"/>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See “Risk Factors” beginning on page 14 of this prospectus, and under similar headings in the other documents that are incorporated by reference into this prospectus, for a discussion of information that should be considered in connection with an investment in our securities.</w:t>
      </w:r>
    </w:p>
    <w:p>
      <w:pPr>
        <w:spacing w:after="0" w:line="156" w:lineRule="exact"/>
        <w:rPr>
          <w:sz w:val="20"/>
          <w:szCs w:val="20"/>
          <w:color w:val="auto"/>
        </w:rPr>
      </w:pPr>
    </w:p>
    <w:p>
      <w:pPr>
        <w:sectPr>
          <w:pgSz w:w="11900" w:h="16838" w:orient="portrait"/>
          <w:cols w:equalWidth="0" w:num="2">
            <w:col w:w="2780" w:space="720"/>
            <w:col w:w="551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Nasdaq Capital Market symbol</w:t>
      </w:r>
    </w:p>
    <w:p>
      <w:pPr>
        <w:spacing w:after="0" w:line="20" w:lineRule="exact"/>
        <w:rPr>
          <w:sz w:val="20"/>
          <w:szCs w:val="20"/>
          <w:color w:val="auto"/>
        </w:rPr>
      </w:pPr>
      <w:r>
        <w:rPr>
          <w:sz w:val="20"/>
          <w:szCs w:val="20"/>
          <w:color w:val="auto"/>
        </w:rPr>
        <w:br w:type="column"/>
      </w:r>
    </w:p>
    <w:p>
      <w:pPr>
        <w:ind w:right="579"/>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“AGFY.”</w:t>
      </w:r>
    </w:p>
    <w:p>
      <w:pPr>
        <w:spacing w:after="0" w:line="94" w:lineRule="exact"/>
        <w:rPr>
          <w:sz w:val="20"/>
          <w:szCs w:val="20"/>
          <w:color w:val="auto"/>
        </w:rPr>
      </w:pPr>
    </w:p>
    <w:p>
      <w:pPr>
        <w:sectPr>
          <w:pgSz w:w="11900" w:h="16838" w:orient="portrait"/>
          <w:cols w:equalWidth="0" w:num="2">
            <w:col w:w="2780" w:space="720"/>
            <w:col w:w="5519"/>
          </w:cols>
          <w:pgMar w:left="1440" w:top="270" w:right="1440" w:bottom="1440" w:gutter="0" w:footer="0" w:header="0"/>
          <w:type w:val="continuous"/>
        </w:sectPr>
      </w:pPr>
    </w:p>
    <w:p>
      <w:pPr>
        <w:jc w:val="both"/>
        <w:ind w:left="3500" w:right="579"/>
        <w:spacing w:after="0" w:line="25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In addition, we do not intend to apply for the listing of the Pre-Funded Warrants on any national securities exchange or other nationally recognized trading system. Without an active trading market, we expect the liquidity of the Pre-Funded Warrants will be limited.</w:t>
      </w:r>
    </w:p>
    <w:p>
      <w:pPr>
        <w:sectPr>
          <w:pgSz w:w="11900" w:h="16838" w:orient="portrait"/>
          <w:cols w:equalWidth="0" w:num="1">
            <w:col w:w="9019"/>
          </w:cols>
          <w:pgMar w:left="1440" w:top="270" w:right="1440" w:bottom="1440" w:gutter="0" w:footer="0" w:header="0"/>
          <w:type w:val="continuous"/>
        </w:sectPr>
      </w:pPr>
    </w:p>
    <w:p>
      <w:pPr>
        <w:spacing w:after="0" w:line="187"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7,056,005 shares outstanding as of February 6, 2024. The number of shares outstanding as of February 6, 2024 as used throughout this prospectus, unless otherwise indicated, excludes the shares of common stock issuable upon exercise of the Pre-Funded Warrants being offered by us in this offering and also excludes as of such date:</w:t>
      </w:r>
    </w:p>
    <w:p>
      <w:pPr>
        <w:spacing w:after="0" w:line="116" w:lineRule="exact"/>
        <w:rPr>
          <w:sz w:val="20"/>
          <w:szCs w:val="20"/>
          <w:color w:val="auto"/>
        </w:rPr>
      </w:pPr>
    </w:p>
    <w:p>
      <w:pPr>
        <w:ind w:left="1400" w:right="559" w:hanging="424"/>
        <w:spacing w:after="0" w:line="282"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1,495,011 shares of our common stock issuable upon the exercise of warrants outstanding, at a weighted average exercise price of $37.10 per share;</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10,334 shares of our common stock issuable upon the exercise of stock options outstanding, at a weighted average exercise price of $1,593.86 per share;</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40,285 shares of our common stock issuable upon the exercise of the Placement Agent Warrants;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4,531 shares of our common stock issuable upon the vesting of restricted stock units;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57,450 shares of our common stock reserved for future issuance under our 2022 Omnibus Equity Incentive Plan;</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our common stock reserved for future issuance under our 2022 Employee Stock Purchase Plan;</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 shares of our common stock reserved for future issuance in connection with completed acquisitions; and</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10,273,973 shares of our common stock reserved for future issuance in connection with the conversion of a secured convertible note held by CP Acquisitions, LLC.</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prospectus and the documents incorporated by reference herein before making an investment decision regarding our common stock.</w:t>
      </w:r>
    </w:p>
    <w:p>
      <w:pPr>
        <w:spacing w:after="0" w:line="118" w:lineRule="exact"/>
        <w:rPr>
          <w:sz w:val="20"/>
          <w:szCs w:val="20"/>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loss associated with our Total Turn-Key Solution (“TTK Solution”) Offerings;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acquisitions;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debt and other financial obligations, and we may incur even more debt;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potential future impairment charges;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customers;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base of suppliers;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difficulties of our suppliers as a result of COVID-19;</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clients operating in the cannabis industry;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customers to meet their financial or contractual obligations;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profile with respect to suppliers;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services;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that our backlog and qualified pipeline will translate into bookings;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continued contributions of our CEO, Raymond Chang;</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our products and services;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defend against intellectual property claims;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core technology and intellectual property;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 of intellectual property infringement claims;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their affiliates control a substantial interest in us;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loans may not be forgivable;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large number of shares eligible for public sale could depress the market price of our common stock;</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regain compliance with the listing requirements of The Nasdaq Capital Market (“Nasdaq”) could result in a de-listing of our common stock;</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all or any number of outstanding warrants or the issuance of stock-based awards may dilute your holding of shares of our common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Nevada law may prevent a change in control of our company;</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reduced disclosure requirements applicable to emerging growth companies and smaller reporting companies;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intention to declare any dividends to our shareholders;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shortage of raw materials;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that may adversely affect our business, financial condition, and results of operations;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employment market and wages;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of our common stock;</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obligations and controls associated with being a public company;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weaknesses and ability to remediate them;</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 concerns relating to our technology and practices;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failure of our information technology systems to perform adequately;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data privacy regulations and our ability to comply with them;</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trading ability of our common stock if our shares become subject to penny stock rules;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to our shareholders if we were to dissolve;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analyst reports about us, our business or our market, or recommendations relating to our stock;</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demands upon management as a result of being a public company;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risks related to our financial and operational projections.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under the heading “Risk Factors” contained herein, and any related free writing prospectus, and described under the section entitled “Risk Factors” contained in our most recent annual report on Form 10-K, as well as any amendments thereto reflected in subsequent filings with the SEC, which are incorporated by reference into this prospectus in their entirety, together with other information in this prospectus,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assuming we will continue as a going concern. Since inception, we have experienced recurring net losses which losses caused an accumulated deficit of approximately $266 million as of September 30, 2023. These factors, among others, raise substantial doubt about our ability to continue as a going concern. Our consolidated financial statements do not include any adjustments that might result from the outcome of this uncertainty.</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relatively short operating history, which makes it difficult to evaluate our business and future prospects.</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a relatively short operating history, which makes it difficult to evaluate our business and future prospects. We have been in existence since June 2016 and much of our revenue growth occurred during 2021 and 2022. We have encountered, and will continue to encounter, risks and difficulties frequently experienced by growing companies in rapidly changing industries, including those related to:</w:t>
      </w:r>
    </w:p>
    <w:p>
      <w:pPr>
        <w:spacing w:after="0" w:line="112" w:lineRule="exact"/>
        <w:rPr>
          <w:sz w:val="20"/>
          <w:szCs w:val="20"/>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and future products and services;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regulatory environments and costs associated with compliance, particularly as related to our operations in the cannabis sector;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offering similar products and services;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products and services and attract new clients;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particularly sales and marketing expenses, related to the maintenance and expansion of our business, operations, and infrastructure;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operating expenses;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organic growth and growth fueled by acquisitions;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and acceptance of cannabis-related products and services generally;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events.</w:t>
      </w:r>
    </w:p>
    <w:p>
      <w:pPr>
        <w:spacing w:after="0" w:line="15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If we do not manage these risks successfully, our business and financial performance will be adversely affected.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risk of loss associated with our TTK Solution Offerings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2021, we introduced our TTK Solution, which among other things, includes financing arrangements related to both facility design and build services and equipment. These arrangements require a significant upfront investment of working capital over a one- to two-year period, before we start to receive repayment on the upfront construction advances and on our recurring monthly SaaS fees and production fees.</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2023, a significant amount of our working capital has been invested in funding our TTK Solution construction and equipment commitments.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believe that there is a potential risk of loss associated with our ability to receive anticipated future payments that are in line with our projected financial unit metrics due to a host of variables including, but not limited to the following:</w:t>
      </w:r>
    </w:p>
    <w:p>
      <w:pPr>
        <w:spacing w:after="0" w:line="95" w:lineRule="exact"/>
        <w:rPr>
          <w:sz w:val="20"/>
          <w:szCs w:val="20"/>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are in the early stages of our TTK Solution offerings, the TTK Solution is currently an unproven business model;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TTK Solution offering requires a significant amount of capital and our collection of advanced amounts is subject to customer credit risk;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downstream production fee revenue assumes that our VFUs will successfully produce 35 pounds of product per VFU per year;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returns are reliant upon our customers’ ability to market and sell the products.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we established a reserve of approximately $12.5 million specifically related to Greenstone Holdings (“Greenstone”) TTK Solution. Greenstone is a related party because one of our former Agrify Brands employees and our VP of Engineering had a minority ownership. We established the reserve based upon our review of Greenstone’s financial stability, which would impact collectability, which is primarily the result of unfavorable market conditions within the Colorado market. On April 6, 2023, Denver Greens, LLC (“Denver Greens”) acquired certain interests in the Greenstone project through various transactions so that Denver Greens is now the operator of this TTK Solution. The Company wrote off the entire Greenstone loan receivable in 2022.</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September 15, 2022, we provided a notice of default under the Bud &amp; Mary’s TTK Agreement between us and Bud &amp; Mary’s. On October 5, 2022, Bud &amp; Mary’s filed a complaint in the Superior Court of Massachusetts in Suffolk County naming us as the defendant. Bud &amp; Mary’s is seeking, among other relief, monetary damages in connection with alleged unfair or deceptive trade practices, breach of contract, and conversion arising from the Bud &amp; Mary’s TTK Agreement. In response, we established a reserve of $14.7 million specifically related to Bud &amp; Mary’s. We deemed it necessary to fully reserve the $14.7 million outstanding balance in the third quarter of 2022 due to the current litigation and the uncertainty of the customer’s ability to repay the outstanding balance. If we are unable to realize revenue from our TTK Solution offerings on a timely basis, or at all, or if we incur additional losses as a result of the Bud &amp; Mary’s claim, our business and financial performance will be adversely affected.</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September 30, 2023, we had approximately $154 thousand of cash, cash equivalents, and restricted cash. Our operating plan may change because of factors currently unknown to us, and we may need to seek additional funds sooner than planned. Even if we are able to substantially increase revenue and reduce operational expenditures,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April 1, 2023, after which time the ATM program was discontinued, we sold 629,710 shares of common stock, under the ATM at an average price of $27.29 per share, resulting in gross proceeds to us of $17.2 million, and net proceeds of $16.7 million after commissions and fees to the Agent totaling $516 thousand. $3.0 million of the proceeds under the ATM Program were used to repay amounts due to the former senior secured lender (the “Former Lender”) under the Exchange Note (as defined below).</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strategic acquisitions.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Since our inception, we have strategically acquired several businesses, and plan to continue to make strategic acquisitions, some of which may be material. These acquisitions may involve a number of financial, accounting, managerial, operational, legal, compliance, and other risks and challenges, including the following, any of which could adversely affect our results of operations:</w:t>
      </w:r>
    </w:p>
    <w:p>
      <w:pPr>
        <w:spacing w:after="0" w:line="112" w:lineRule="exact"/>
        <w:rPr>
          <w:sz w:val="20"/>
          <w:szCs w:val="20"/>
          <w:color w:val="auto"/>
        </w:rPr>
      </w:pPr>
    </w:p>
    <w:p>
      <w:pPr>
        <w:ind w:left="1320" w:right="4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could under-perform relative to our expectations and the price that we paid for it, or not perform in accordance with its anticipated timetable;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cause our results of operations to differ from our own or the investment community’s expectations in any given period, or over the long term;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create demands on our management that they may be unable to effectively address, or for which we may incur additional costs.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Additionally, following any business acquisition, we could experience difficulty in integrating personnel, operations, financial and other systems, and in retaining key employees and customers.</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may record goodwill and other intangible assets on our consolidated balance sheet in connection with our acquisitions. If we are not able to realize the value of these assets, we may be required to incur charges relating to the impairment of these assets, which could materially impact our results of operations.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future divestitures or other transactions could adversely affect our costs, revenues, profitability and financial position.</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order to position our business to take advantage of particular future growth opportunities and/or consolidate our more capable businesses, we may in the future pursue a strategy of less product and service integration and/or focus on one or more specialized facets of our products and services. These actions may require that we abandon or divest certain assets or businesses that no longer fit within our evolving strategic direction.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 buyers on favorable terms, we may experience disruption to our business and/or we may divert management attention from other business concerns, lose key employees and possibly retain certain liabilities related to these potential transactions.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(the “Securities Purchase Agreement”) with the Former Lender, pursuant to which we agreed to issue and sell to the Former Lender a senior secured promissory note (the “SPA Note”), in a private placement transaction, in exchange for the payment by the Former Lender of $65 million, less applicable expenses as set forth in the Securities Purchase Agreement, and a warrant (the “SPA Warrant”) to purchase up to an aggregate of 34,406 shares of common stock.</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August 18, 2022, we reached an agreement with the Former Lender to amend the existing SPA Note and entered into a Securities Exchange Agreement (the “August 2022 Exchange Agreement”). Pursuant to the August 2022 Exchange Agreement, we partially paid $35.2 million along with approximately $300 thousand in repayments for other fees under the SPA Note and exchanged the remaining balance of the SPA Note for a new senior secured note with an aggregate original principal amount of $35.0 million (the “Exchange Note”) and a new warrant to purchase 71,139 shares of common stock (the “Note Exchange Warrant”). Additionally, we exchanged the SPA Warrant for a new warrant for the same number of underlying shares but with a reduced exercise price (the “Modified Warrant” and, collectively with the Note Exchange Warrant, the “August 2022 Warrants”). The Exchange Note will mature on the three-year anniversary of its issuance.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March 8, 2023, we entered into a second Securities Exchange Agreement with the Former Lender (the “March 2023 Exchange Agreement” and together with the August 2022 Exchange Agreement, the “Exchange Agreements”), pursuant to which we paid approximately $10.3 million in principal under the Exchange Note and exchanged $10.0 million in principal amount under the Exchange Note for a new senior convertible note (the “Convertible Note” and, together with the Exchange Note, the “Notes”) with an original principal amount of $10.0 million. The Convertible Note will mature on August 19, 2025.</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October 27, 2023, CP Acquisitions LLC (the “New Lender”), an entity affiliated with and controlled by Raymond Chang, our Chief Executive Officer, and I-Tseng Jenny Chan, who subsequently joined our Board of Directors, acquired the Notes from the Former Lender.</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w:t>
      </w:r>
    </w:p>
    <w:p>
      <w:pPr>
        <w:spacing w:after="0" w:line="5" w:lineRule="exact"/>
        <w:rPr>
          <w:sz w:val="20"/>
          <w:szCs w:val="20"/>
          <w:color w:val="auto"/>
        </w:rPr>
      </w:pPr>
    </w:p>
    <w:p>
      <w:pPr>
        <w:jc w:val="both"/>
        <w:ind w:left="460" w:right="459" w:hanging="6"/>
        <w:spacing w:after="0" w:line="251" w:lineRule="auto"/>
        <w:tabs>
          <w:tab w:leader="none" w:pos="7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1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Pursuant to the terms of the Notes,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spacing w:after="0" w:line="112" w:lineRule="exact"/>
        <w:rPr>
          <w:sz w:val="20"/>
          <w:szCs w:val="20"/>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(including acquisitions);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capital stock.</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the Notes impose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and restrict the declaration of any dividends or other distributions, subject to specified exceptions.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are not in compliance with certain of these covenants, in addition to other actions the New Lender may require, the amounts outstanding under the Exchange Agreements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comply with the financial covenants, or any other non-financial or restrictive covenant, would create a default under the Notes. Our cash flow and existing capital resources may be insufficient to repay our debt at maturity, in which case we would have to extend such maturity date, or otherwise repay, refinance, and/or restructure the obligations under the Notes, including with proceeds from the sale of assets, and additional equity or debt capital. If we are unsuccessful in obtaining such extension, or entering into such repayment, refinance, or restructure prior to maturity, or any other default existed under the Notes, the New Lender could accelerate the indebtedness under the Notes, foreclose against its collateral, or seek other remedies, which would jeopardize our ability to continue our current operations.</w:t>
      </w:r>
    </w:p>
    <w:p>
      <w:pPr>
        <w:spacing w:after="0" w:line="18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record impairment charges against the carrying value of our goodwill and other intangible assets in the future.</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During the three-month period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our property and equipment and accordingly performed interim testing as of June 30, 2022.</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Based on its interim testing, we noted that the carrying value of equity exceeded the calculated fair value by an amount greater than the aggregate value of our goodwill and intangible assets. Accordingly, we concluded that the entire carrying value of our goodwill and intangible assets were impaired, resulting in a second-quarter impairment charge of $69.9 million. Additional information regarding the interim testing on goodwill may be found in Note 7 — Goodwill and Intangible Assets, Net, included in the notes to the consolidated financial statements.</w:t>
      </w:r>
    </w:p>
    <w:p>
      <w:pPr>
        <w:spacing w:after="0" w:line="18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During the year ended December 31, 2022, two customers accounted for approximately $16.8 million, or 28.8%, of our total revenue. In the event of any material decrease in revenue from these customers, or if we are unable to replace the revenue through the sale of our products to additional customers, our financial condition and results of operations could be materially and adversely affected.</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concentration of customers leaves us exposed to the risks associated with the loss of one or both of these significant customers, which would materially and adversely affect our revenues and results of operations. In addition, some customers have experienced and may continue to experience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of operations could be negatively impacted, and such impact would likely be significant.</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for our products may result in disruptions to our supply chain and business and adversely affect our financial results.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experiences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measures being taken to combat the pandemic are impacting our suppliers and may destabilize our supply chain. For example, manufacturing plants have closed and work at others has been curtailed in many places where we source our products. Some of our suppliers have had to temporarily close a facility for disinfecting after employees tested positive for COVID-19, and others have faced staffing shortages from employees who are sick or</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8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with clients operating in the cannabis industry, we face many particular and evolving risks associated with that industry.</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currently serve private clients as they operate in the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Marijuana remains illegal under U.S. federal law.</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Marijuana is a Schedule-I controlled substance under the Controlled Substances Act and is illegal under federal law. It remains illegal under U.S.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Uncertainty of federal enforcement and the need to renew temporary safeguards.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January 4, 2018, former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 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subsequent years and remains in effect, continued re-authorization of the Appropriations Rider cannot be guaranteed. If the Appropriations Rider is no longer in effect, the risk of federal enforcement and override of state marijuana laws would increase.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Further legislative development beneficial to our operations is not guaranteed.</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cannabis industry could face strong opposition from other industries.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legality of marijuana could be reversed in one or more states.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Changing legislation and evolving interpretations of law.</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businesses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in part on client licensing.</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Banking regulations could limit access to banking services.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U.S. Senate. There can be no assurance that the SAFE Banking Act will become law in the U.S. Additionally, most courts have denied marijuana-related businesses bankruptcy protection, thus making it very difficult for lenders to recoup their investments, which may limit the willingness of banks to lend to our clients and to 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face insurance risks.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the U.S.,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participate in an evolving industry.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report,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customers to meet their financial or contractual obligations to us may result in disruption to our results of operations and could result in financial losses.</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exposure to several customers and certain of these customers are experiencing financial difficulties. We have in the past, and may in the future, need to take allowances against and need to write off receivables due to the creditworthiness of these customers. Further, the inability of these customers to purchase our products could materially adversely affect our results of operations.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credit profile may affect our relationship with our suppliers, which could have a material adverse effect on our liquidity.</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Changes in our credit profile may affect the way our suppliers view our ability to make payments and may induce them to shorten the payment terms of their invoices. Given the large dollar amounts and volume of our purchases from suppliers, a change in payment terms may have a material adverse effect on our liquidity and our ability to make payments to our suppliers and, consequently, may have a material adverse effect on our business and results of operations.</w:t>
      </w:r>
    </w:p>
    <w:p>
      <w:pPr>
        <w:spacing w:after="0" w:line="17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believe that a portion of our backlog and</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qualified pipeline will translate into bookings over the next 12 months, there can be no assurance that we will be successful in such pursuit. In the event our backlog and qualified pipeline do not translate into bookings as projected, it could materially and adversely affect our business and financial performance.</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Some of the applications and services available through our proprietary Agrify cultivation solution, including our flagship hardware product, the Agrify Vertical Farming Unit (“VFU”), and our proprietary SaaS product, Agrify Insights™, are provided through relationships with third party service providers. We do not typically have any direct control over these third-party service providers. These third-party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third-party service provider. There are readily available alternative hosting services available should we desire or need to move to a different web host. Certain ancillary services provided by us also uses the services of third-party providers, for which, we believe, there are readily available alternatives on comparable economic terms. Offering integrated platforms which rely, in part, on the services of other providers lessens the control that we have over the total client experience. Should the third-party service providers we rely upon not deliver at standards we expect and desire, acceptance of our platforms could suffer, which would have an adverse effect on our business and financial performance. Further, we cannot be assured of entering into agreements with such third-party service providers on economically favorable terms.</w:t>
      </w:r>
    </w:p>
    <w:p>
      <w:pPr>
        <w:spacing w:after="0" w:line="19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growth and success are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Timothy R. Oakes, our Chief Financial Officer, notified us on January 2, 2023 that he intended to resign from his role with us effective as of February 28, 2023 to pursue other opportunities. While we are conducting a search for Mr. Oakes’ successor, there is no assurance that we will be able to identify, attract or hire a replacement in a timely manner.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that could prohibit us from developing or increasing our customer base.</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indoor agriculture industry is highly competitive. We may compete with companies that have greater capital resources and facilities. More established companies with much greater financial resources which do not currently compete with us may be able to adapt their existing operations more easily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 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Protecting and defending against intellectual property claims may have a material adverse effect on our business.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ability to compete depends, in part, upon the successful protection of our intellectual property relating to our proprietary Agrify cultivation solution, including our flagship hardware product, the 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assure investors that we will continue to innovate and file new patent applications, or that any current or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122" w:lineRule="exact"/>
        <w:rPr>
          <w:sz w:val="20"/>
          <w:szCs w:val="20"/>
          <w:color w:val="auto"/>
        </w:rPr>
      </w:pPr>
    </w:p>
    <w:p>
      <w:pPr>
        <w:ind w:left="1320" w:right="47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make the inventions claimed or disclosed in our patent application;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parties may independently develop similar or alternative products and technologies or duplicate any of our products and technologies, which can potentially impact our market share, revenue, and goodwill, regardless of</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unaware of or unfamiliar with prior art and/or interpretations of prior art that could potentially impact the validity or scope of our patents or patent applications that we may file;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not to maintain or pursue intellectual property rights that, at some point in time, may be considered relevant to or enforceable against a competitor;</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products and technologies that are patentable, or we may develop additional proprietary products and technologies that are not patentable;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our ability to protect our core technology and intellectual property.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establish and protect our proprietary rights, we rely on a combination of trademark, copyright, patent, trade secret and unfair competition laws of the U.S.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2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enter into intellectual property license agreements in the future, and if we are unable to obtain these licenses, our business could be harmed.</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Others may assert intellectual property infringement claims against us.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As of December 31, 2022, we had net operating loss (“NOL”) carryforwards for federal and state income tax purposes which may be available to offset taxable income in future years. Approximately $675 thousand of federal NOLs will expire if not utilized by 2037 and approximately $96.0 million of federal NOLs carryforward indefinitely but are only available to offset 80% of taxable income per year. The $71.6 million state NOLs will expire depending upon the various rules in the states in which we operate. A lack of future taxable income would adversely affect our ability to utilize these NOLs before they expire. The utilization of our NOLs could be subject to annual limitations under Section 382 and 383 of the Internal Revenue Code (“IRC” or the “Code”) of 1986, and similar state tax provisions due to ownership change limitations that may have occurred previously or that could occur in the future. In general, under Section 382, a corporation that undergoes an “ownership change” (as defined under Section 382 of the Code and applicable Treasury Regulations) is subject to limitations on its ability to utilize its pre-change NOLs to offset its future taxable income. As of December 31, 2022, we have not conducted an analysis of an ownership change under Section 382. To the extent that a study is completed, and an ownership change is deemed to occur, in the past or future, our NOLs and any NOLs of companies that we have acquired could be limited to offset any future taxable income.</w:t>
      </w:r>
    </w:p>
    <w:p>
      <w:pPr>
        <w:spacing w:after="0" w:line="13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or other unforeseen reasons, our existing NOLs could expire or otherwise be unavailable to reduce future income tax liabilities for federal and state income tax purposes. For these reasons, we may not be able to utilize a material portion of our NOLs, even if we attain profitability, which could result in increased future tax liability to us and could adversely affect the results of our operations and overall financial condition.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are no assurances that our outstanding loans will be forgivable in whole or in part.</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May 2020, we entered into a Loan Agreement and Promissory Note with Bank of America pursuant to the Paycheck Protection Program (the “PPP”) under the Coronavirus Aid, Relief, and Economic Security Act (“CARES Act”) administered by the U.S. Small Business Administration (the “SBA”). We received total proceeds of approximately $779 thousand from the unsecured PPP loan which was originally scheduled to mature in May 2022. We applied for forgiveness on the $779 thousand of our PPP loan, but forgiveness was denied by the SBA. On June 23, 2022, we received a letter from Bank of America agreeing to extend the maturity date to May 7, 2025 with interest at a rate of 1.00% per year. The PPP loan is payable in 34 equal combined monthly principal and interest payments of approximately $24 thousand that commenced on August 7, 2022.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affiliates may prevent new investors from influencing significant corporate decisions.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executive officers, directors and their affiliates beneficially own, in the aggregate, approximately 52.57% of our outstanding shares of common stock. In particular, Raymond Chang, our Chairman of the Board and Chief Executive Officer, beneficially owns approximately 49.99% of our outstanding shares of common stock, and I-Tseng Jenny Chan, a member of our Board of Directors, beneficially owns approximately 49.99% of our outstanding shares of common stock, primarily as a result of a convertible note that is currently convertible into 10,273,973 shares of common stock that is held by an entity owned and controlled by Mr. Chang and Ms. Chan, which is subject to a 49.99% beneficial ownership limitation.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large number of shares eligible for public sale could depress the market price of our common stock.</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filed a registration statement to register the shares of common stock underlying outstanding options and shares reserved for future issuance under our equity compensation plans. Upon effectiveness of that registration statement, subject to the satisfaction of applicable exercise periods and subject to our insider trading policy, the shares of common stock issued upon exercise of outstanding options will be available for immediate resale in the U.S. in the open market.</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9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April 18, 2023, we received a notice from Nasdaq (the “April Nasdaq Notice”) that we were noncompliance with Nasdaq Listing Rule 5250(c)(1) as a result of our failure to file our Annual Report on Form 10-K (the “Form 10-K”) with the SEC by the required due date.</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112" w:lineRule="exact"/>
        <w:rPr>
          <w:sz w:val="20"/>
          <w:szCs w:val="20"/>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7"/>
          <w:szCs w:val="17"/>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8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10-Q and the Form 10-K (collectively, the “Delinquent Reports”) in a timely manner. We filed each of the Delinquent Reports between November 28, 2023 and January 3, 2024.</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December 1, 2023, we received a notice Nasdaq stating that because we reported stockholders’ equity of $(17.17) million in our Quarterly Report on Form 10-Q for the quarter ended March 31, 2023, we are no longer in compliance with Nasdaq Listing Rule 5550(b)(1), which requires that listed companies maintain a minimum of $2.5 million in stockholders’ equity.</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timely requested a hearing before the Nasdaq Hearings Panel (the “Panel”), which hearing was held on January 11, 2024. At the hearing, we presented a plan to regain compliance with Nasdaq Listing Rule 5550(b)(1). On January 30, 2024, we received formal notice that the Panel had granted our request for an exception through April 15, 2024 to evidence compliance with Rule 5550(b)(1), which represents the full extent of the Panel’s discretion to grant continued listing. As a result, there can be no assurance that we can regain compliance by the end of the extension period.</w:t>
      </w:r>
    </w:p>
    <w:p>
      <w:pPr>
        <w:spacing w:after="0" w:line="106" w:lineRule="exact"/>
        <w:rPr>
          <w:sz w:val="20"/>
          <w:szCs w:val="20"/>
          <w:color w:val="auto"/>
        </w:rPr>
      </w:pPr>
    </w:p>
    <w:p>
      <w:pPr>
        <w:jc w:val="both"/>
        <w:ind w:left="460" w:right="479" w:firstLine="432"/>
        <w:spacing w:after="0" w:line="312" w:lineRule="auto"/>
        <w:rPr>
          <w:sz w:val="20"/>
          <w:szCs w:val="20"/>
          <w:color w:val="auto"/>
        </w:rPr>
      </w:pPr>
      <w:r>
        <w:rPr>
          <w:rFonts w:ascii="Times New Roman" w:cs="Times New Roman" w:eastAsia="Times New Roman" w:hAnsi="Times New Roman"/>
          <w:sz w:val="17"/>
          <w:szCs w:val="17"/>
          <w:color w:val="auto"/>
        </w:rPr>
        <w:t>We will take all possible actions to restore our compliance with Nasdaq, but we can provide no assurances that the listing of our common stock will be restored or that we otherwise will remain listed on Nasdaq.</w:t>
      </w:r>
    </w:p>
    <w:p>
      <w:pPr>
        <w:spacing w:after="0" w:line="13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all or any number of outstanding warrants or the issuance of stock-based awards may dilute your holding of shares of our common stock.</w:t>
      </w:r>
    </w:p>
    <w:p>
      <w:pPr>
        <w:spacing w:after="0" w:line="9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issued several securities providing for the right to purchase our common stock. Investors could be subject to increased dilution upon the exercise of our warrants. A total of 1,495,011 warrants were issued and outstanding as of February 6, 2024.</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Additionally, 14,865 shares of common stock were reserved for issuance of currently outstanding equity-based awards to employees, directors and certain other individuals under our 2022 Omnibus Equity Incentive Plan. The exercise of equity awards, including any restricted stock units that we may grant in the future, and the exercise of warrants and the subsequent sale of shares of common stock issued thereby, could have an adverse effect on the market for our common stock, including the price that an investor could obtain for their shares.</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Investors may experience dilution in the value of their investment upon the exercise of the warrants and any equity awards that may be granted or issued pursuant to the 2022 Omnibus Equity Incentive Plan.</w:t>
      </w:r>
    </w:p>
    <w:p>
      <w:pPr>
        <w:spacing w:after="0" w:line="15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r>
        <w:rPr>
          <w:rFonts w:ascii="Times New Roman" w:cs="Times New Roman" w:eastAsia="Times New Roman" w:hAnsi="Times New Roman"/>
          <w:sz w:val="18"/>
          <w:szCs w:val="18"/>
          <w:i w:val="1"/>
          <w:iCs w:val="1"/>
          <w:color w:val="auto"/>
        </w:rPr>
        <w:t>.</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02"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76"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9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report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consolidated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2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fiscal year and the market value of our ordinary shares held by non-affiliates exceeds $700 million as of the prior June 30. To the extent we take advantage of such reduced disclosure obligations, it may also make comparison of our consolidated financial statements with other public companies difficult or impossible.</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not and do not expect to declare any dividends to our shareholders in the foreseeable future.</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7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annually furnish a report by management on, among other things, the effectiveness of our internal control over financial reporting. This assessment includes disclosure of any material weaknesses identified by our management in our internal control over financial reporting, as well as a statement that our auditors have issued an attestation report on effectiveness of our internal controls.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in the very early stages of the costly and challenging process of compiling the system and processing the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84"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experience additional material weaknesses in the future or otherwise fail to maintain an effective system of internal controls, we may not be able to accurately or timely requirements applicable to public companies, which may adversely affect investor confidence in us, and, as a result, the market price of our common stock.</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have identified the following material weaknesses:</w:t>
      </w:r>
    </w:p>
    <w:p>
      <w:pPr>
        <w:spacing w:after="0" w:line="158" w:lineRule="exact"/>
        <w:rPr>
          <w:sz w:val="20"/>
          <w:szCs w:val="20"/>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close timely;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technical expertise;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complex financial instruments.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a result of these material weaknesses, our management concluded that our internal control over financial reporting was not effective as of September 30, 2023.</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To respond to these material weaknesses, we have devoted, and plan to continue to devote, significant effort and resources to the remediation and improvement of our internal control over financial reporting. Our plans currently include rebuild of the internal finance function and engagement of external financial consultants. The elements of our remediation plan can only be accomplished over time, and we can offer no assurance that these initiatives will ultimately have the intended effects.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failure to maintain such internal control could adversely impact our ability to report our financial position and results from operations on a timely and accurate basis. If our consolidated financial statements are not accurate, investors may not have a complete understanding of our operations. Likewise, if our consolidated financial statements are not filed on a timely basis, we could be subject to sanctions or investigations by Nasdaq,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10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economic downturn, particularly in light of the COVID-19 pandemic, could adversely affect our business.</w:t>
      </w:r>
    </w:p>
    <w:p>
      <w:pPr>
        <w:spacing w:after="0" w:line="7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raw materials could harm our business.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Matters relating to the employment market and prevailing wage standards may adversely affect our business.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ability to meet our labor needs on a cost-effective basis is subject to numerous external factors, including the availability of qualified personnel in the workforce in the markets in which we operate, unemployment levels within those markets, prevailing wage rates, which have increased significantly, health and other insurance costs and changes in employment and labor laws. In the event prevailing wage rates continue to increase in the markets in which we operate, we may be required to concurrently increase the wages paid to our employees to maintain the quality of our workforce. To the extent such increases are not offset by price increases, our business and operating results could be adversely affected. If we are unable to hire and retain employees capable of meeting our business needs and expectations, our business and reputation may be impaired. Any failure to meet our staffing needs or any material increase in turnover rates of our employees may adversely affect our business, results of operations and financial condition.</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Further, we rely on the ability to attract and retain employees on a cost-effective basis. The availability of employees in the markets in which we operate has declined in recent years and competition for such personnel has increased, especially under the economic crises experienced throughout the COVID-19 pandemic. Our ability to attract and retain a sufficient workforce on a cost-effective basis depends on several factors, including the ability to protect staff during the COVID-19 pandemic. We may not be able to attract and retain a sufficient workforce on a cost-effective basis in the future. In the event of increased costs of attracting and retaining a workforce, our business and operating results could be adversely affected.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develop, the price of our stock may be volatile, and you could lose all or part of your investment.</w:t>
      </w:r>
    </w:p>
    <w:p>
      <w:pPr>
        <w:spacing w:after="0" w:line="7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108" w:lineRule="exact"/>
        <w:rPr>
          <w:sz w:val="20"/>
          <w:szCs w:val="20"/>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our anticipated corporate objectives;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or operational estimates or projections;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operational plans;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lock-up agreement or other restrictions on the ability of our stockholders to sell shares;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U.S. or elsewhere.</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complying with the laws and regulations affecting public companies, which could adversely affect our operating results.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76"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be impaired if our information technology systems fail to perform adequately or if we are the subject of a data breach or cyber-attack.</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shares of common stock become subject to the penny stock rules, it would become more difficult to trade our shares.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operational projections that we may make from time to time are subject to inherent risks.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dissolve, the holders of our securities may lose all or substantial amounts of their investments.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7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substantially higher than the net tangible book value per share of our common stock, you will suffer substantial dilution in the net tangible book value of the common stock you purchase in this offering. The exercise of our outstanding stock options and warrants could result in further dilution of your investment. See the section titled “Dilution” below for a more detailed illustration of the dilution you would incur if you participate in this offering.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be subject to dilution resulting from future offerings of common stock by us.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with respect to the use of any net proceeds of this offering.</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Although we have described the intended use of any net proceeds of this offering in the section titled “Use of Proceeds,” our management will have broad discretion in the application of these net proceeds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Our failure to apply these funds effectively could have a material adverse effect on our business, financial condition, results of operations, liquidity or ability to pay dividends and cause the price of our common stock to decline. Pending another use, we may invest the net proceeds in short-term interest-bearing investment grade instruments. These investments may not yield a favorable return to our stockholders.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including stock market volatility, inherent in owning our common stock.</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financial performance and other factors.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Pre-Funded Warrants are speculative in nature.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Commencing on the date of issuance, holders of Pre-Funded Warrants may exercise their right to acquire our common stock and pay an exercise price per share equal to $0.001 per share, subject to certain adjustments, without expiration. Following this offering, the market value of the Pre-Funded Warrants, if any, is uncertain and there can be no assurance that the market price of our common stock will ever equal or exceed their imputed offering price.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liquidity of the Pre-Funded Warrants will be limited.</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 Pre-Funded Warrants on any national securities exchange or other nationally recognized trading system, including The Nasdaq Capital Market. Without an active market, the liquidity of the Pre-Funded Warrants will be limited.</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purchased in this offering will have no rights as stockholders until such holders exercise such warrants and acquire our common stock.</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Until holders of the Pre-Funded Warrants acquire shares of our common stock upon exercise thereof, holders of such Pre-Funded Warrants will have no rights with respect to the shares of our common stock underlying such Pre-Funded Warrants. Upon exercise of the Pre-Funded Warrants, such holders will be entitled to exercise the rights of a common stockholder only as to matters for which the record date occurs after the exercise date.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prospectus contains, and the documents incorporated herein by reference contain, forward-looking statements and information relating to Agrify Corporation.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08" w:lineRule="exact"/>
        <w:rPr>
          <w:sz w:val="20"/>
          <w:szCs w:val="20"/>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revenue from our customers pursuant to existing total turn-key (TTK) solution implementations;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of the indoor agriculture industry and demands of our customers;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“AGFY”. On February 6, 2024, the last reported sale price of our common stock as reported by The Nasdaq Capital Market was $0.7447 per share. As of such date, we had approximately 62 stockholders of record.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our current or future financing instruments.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section describes the compensation paid, or payable, for the last two fiscal years to our named executive officers. Our named executive officers during the fiscal year ended December 31, 2023 were Raymond Chang, our Chairman and Chief Executive Officer, David Kessler, our Chief Science Officer, Brian Towns, our Executive Vice President and General Manager of Extraction, Timothy Oakes, our former Chief Financial Officer, and Stuart Wilcox, our former Chief Operating Officer. Mr. Oakes resigned as Chief Financial Officer effective as of February 28, 2023. Mr. Wilcox resigned as Chief Operating Officer effective as of May 22, 2023.</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table below summarizes the total compensation paid or earned by each of the named executive officers noted below for services rendered in all capacities, during the fiscal years ended December 31, 2023 and 2022. As a smaller reporting company, we are only required to provide two years of compensation information for our named executive officers.</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80" w:type="dxa"/>
            <w:vAlign w:val="bottom"/>
            <w:gridSpan w:val="2"/>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2"/>
            <w:vMerge w:val="continue"/>
          </w:tcPr>
          <w:p>
            <w:pPr>
              <w:spacing w:after="0"/>
              <w:rPr>
                <w:sz w:val="12"/>
                <w:szCs w:val="12"/>
                <w:color w:val="auto"/>
              </w:rPr>
            </w:pP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0" w:type="dxa"/>
            <w:vAlign w:val="bottom"/>
          </w:tcPr>
          <w:p>
            <w:pPr>
              <w:spacing w:after="0"/>
              <w:rPr>
                <w:sz w:val="12"/>
                <w:szCs w:val="12"/>
                <w:color w:val="auto"/>
              </w:rPr>
            </w:pPr>
          </w:p>
        </w:tc>
        <w:tc>
          <w:tcPr>
            <w:tcW w:w="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60" w:type="dxa"/>
            <w:vAlign w:val="bottom"/>
            <w:gridSpan w:val="2"/>
            <w:vMerge w:val="continue"/>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6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Chang</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300,070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Chairman and Chief</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350,479</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471,000</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175,000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33,099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1,029,578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Executive Officer</w:t>
            </w: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David Kessler</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220,521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310,000</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28,588</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559,109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82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Chief Science Officer</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220,233</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177,550</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50,000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32,164</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479,947</w:t>
            </w: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Brian Towns</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211,726</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310,000</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29,268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550,994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Executive Vice President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125,655</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20,550</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15,034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14,198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and General Manager of</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Extraction</w:t>
            </w: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Timothy Oakes</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51,920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3,340</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2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Former Chief Financial</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264,454</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247,625</w:t>
            </w: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78,022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19,626</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609,727</w:t>
            </w:r>
          </w:p>
        </w:tc>
        <w:tc>
          <w:tcPr>
            <w:tcW w:w="0" w:type="dxa"/>
            <w:vAlign w:val="bottom"/>
          </w:tcPr>
          <w:p>
            <w:pPr>
              <w:spacing w:after="0"/>
              <w:rPr>
                <w:sz w:val="1"/>
                <w:szCs w:val="1"/>
                <w:color w:val="auto"/>
              </w:rPr>
            </w:pPr>
          </w:p>
        </w:tc>
      </w:tr>
      <w:tr>
        <w:trPr>
          <w:trHeight w:val="190"/>
        </w:trPr>
        <w:tc>
          <w:tcPr>
            <w:tcW w:w="182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Stuart Wilcox</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122,061</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8,188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Former Chief Operating</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142,539</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316,000</w:t>
            </w: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8,188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based on the aggregate grant date fair value of stock awards and stock option awards made to the Named Executive Officers in the applicable year. The reported amounts are calculated in accordance with the provisions of ASC Topic 718. See Note 13 of the notes to consolidated financial statements included in our Annual Report on Form 10-K filed on November 28, 2023, regarding assumptions underlying the valuation of our equity awards.</w:t>
      </w:r>
    </w:p>
    <w:p>
      <w:pPr>
        <w:spacing w:after="0" w:line="2"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amounts earned by each Named Executive Officer under our performance-based annual incentive plan.</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payment of health plan premiums as per Company policy.</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Oakes resigned as Chief Financial Officer effective February 28, 2023.</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Wilcox resigned as Chief Operating Officer effective May 22, 2023.</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4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outstanding equity awards for Named Executive Officers as of December 31, 2023.</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4"/>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65"/>
        </w:trPr>
        <w:tc>
          <w:tcPr>
            <w:tcW w:w="1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740" w:type="dxa"/>
            <w:vAlign w:val="bottom"/>
            <w:gridSpan w:val="2"/>
            <w:vMerge w:val="restart"/>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72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40" w:type="dxa"/>
            <w:vAlign w:val="bottom"/>
          </w:tcPr>
          <w:p>
            <w:pPr>
              <w:spacing w:after="0"/>
              <w:rPr>
                <w:sz w:val="5"/>
                <w:szCs w:val="5"/>
                <w:color w:val="auto"/>
              </w:rPr>
            </w:pPr>
          </w:p>
        </w:tc>
        <w:tc>
          <w:tcPr>
            <w:tcW w:w="80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63"/>
        </w:trPr>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2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7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820" w:type="dxa"/>
            <w:vAlign w:val="bottom"/>
            <w:gridSpan w:val="2"/>
            <w:vMerge w:val="continue"/>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40" w:type="dxa"/>
            <w:vAlign w:val="bottom"/>
          </w:tcPr>
          <w:p>
            <w:pPr>
              <w:spacing w:after="0"/>
              <w:rPr>
                <w:sz w:val="16"/>
                <w:szCs w:val="16"/>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23"/>
        </w:trPr>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Chang</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5/6/20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456.00</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7/20/20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456.00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7/20/30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10/19/20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1,324</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972.00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10/19/30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2/17/21</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3,069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2,768.00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2/17/31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8/8/22</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11/28/23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217,120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272,659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Kessler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5/6/20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168</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456.00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5/6/30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7/20/20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456.00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7/20/30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10/19/20</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241</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972.00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10/19/30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2/17/21</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208</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2,768.00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2/17/31</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8/8/22</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9/30/22</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11/28/23</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203,961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256,134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Brian Towns</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9/30/22</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11/28/23</w:t>
            </w: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203,961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256,134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Stuart Wilcox</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7/14/22</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(4)</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667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6"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replaced previous options awards issued on December 27, 2019, which were cancelled in May 2020. A portion of the May 6, 2020 option awards re-issued were partially vest at the time of re-issuance, with the remaining unvested portion of the stock options vesting between 24 and 48 months. 50% of the options vested upon the initial public offering.</w:t>
      </w:r>
    </w:p>
    <w:p>
      <w:pPr>
        <w:spacing w:after="0" w:line="2"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of options granted will vest 12 months from the date of grant with the balance vesting in 36 equal monthly installments thereafter. 50% of the options vested upon the initial public offering.</w:t>
      </w:r>
    </w:p>
    <w:p>
      <w:pPr>
        <w:ind w:left="880" w:hanging="426"/>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will vest in 36 equal monthly installments from the date of grant.</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 of the restricted stock units vest on each of the 1-year, 2-year and 3-year anniversaries of grant.</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restricted stock units will vest on November 28, 2024, subject to shareholder approval.</w:t>
      </w:r>
    </w:p>
    <w:p>
      <w:pPr>
        <w:spacing w:after="0" w:line="18" w:lineRule="exact"/>
        <w:rPr>
          <w:rFonts w:ascii="Times New Roman" w:cs="Times New Roman" w:eastAsia="Times New Roman" w:hAnsi="Times New Roman"/>
          <w:sz w:val="16"/>
          <w:szCs w:val="16"/>
          <w:color w:val="auto"/>
        </w:rPr>
      </w:pPr>
    </w:p>
    <w:p>
      <w:pPr>
        <w:ind w:left="880" w:right="459" w:hanging="426"/>
        <w:spacing w:after="0" w:line="288"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terms of his separation agreement, Mr. Wilcox’s restricted stock units will continue vesting in accordance with their original terms following the separation.</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and Separation Agreements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Compensation Committee believes that it is in our best interest as well as the interests of our stockholders to offer severance and change in control benefits to certain of our Named Executive Officers. We compete for talent in a highly competitive market in which companies routinely offer similar benefits to senior executives. The Compensation Committee believes that providing severance and change in control benefits to our Named Executive Officers reduces any reluctance of senior management to pursue potential change in control transactions that may be in the best interests of stockholders. In addition, the income security provided by competitive severance and change in control arrangements helps minimize distractions caused by uncertain personal financial circumstances during the negotiation of a potential change in control transaction, a period of time requiring focused and thoughtful leadership to ensure a successful outcome.</w:t>
      </w:r>
    </w:p>
    <w:p>
      <w:pPr>
        <w:spacing w:after="0" w:line="11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Employment Agreement for Mr. Chang</w:t>
      </w:r>
      <w:r>
        <w:rPr>
          <w:rFonts w:ascii="Times New Roman" w:cs="Times New Roman" w:eastAsia="Times New Roman" w:hAnsi="Times New Roman"/>
          <w:sz w:val="18"/>
          <w:szCs w:val="18"/>
          <w:color w:val="auto"/>
        </w:rPr>
        <w:t>: On January 4, 2021, we entered into a three-year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Mr. Chang as the Company’s Chief Executive Officer, effective February 1, 2021 (the “Mr. Chang’s Employment Agreement”). The agreement, at the end of the initial three-year term, automatically renewed for a successive three-year period.</w:t>
      </w:r>
    </w:p>
    <w:p>
      <w:pPr>
        <w:spacing w:after="0" w:line="10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 signing, Mr. Chang’s Employment Agreement established a minimum annual base salary level of $300,000 and provided for a discretionary bonus of $300,000, with payment subject to Mr. Chang being employed by us at this time of payment.</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the terms of the agreement, if Mr. Chang’s employment is terminated by us without cause, or in connection with a change of control, or by Mr. Chang for good reason, Mr. Chang will be entitled to receive certain severance benefits, including severance pay equal to the greater of (a) 300% of his annual base salary and (b) $1,000,000. Mr. Chang will also be eligible to receive insurance benefits for a period of up to twelve months following his termination of employment.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to the 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November 8, 2021, the Compensation Committee, in contemplation of expected executive level changes within the Company, performed a market study of compensation trends related to our various executive level positions. Based upon this review, the Compensation Committee approved increases to Mr. Chang’s base salary (increasing it from $300,000 to $350,000) and discretionary bonus (from $300,000 to $400,000), effective as of January 1, 2022.</w:t>
      </w:r>
    </w:p>
    <w:p>
      <w:pPr>
        <w:spacing w:after="0" w:line="100"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Employment Offer Letter for Mr. Kessler</w:t>
      </w:r>
      <w:r>
        <w:rPr>
          <w:rFonts w:ascii="Times New Roman" w:cs="Times New Roman" w:eastAsia="Times New Roman" w:hAnsi="Times New Roman"/>
          <w:sz w:val="18"/>
          <w:szCs w:val="18"/>
          <w:color w:val="auto"/>
        </w:rPr>
        <w:t>: On January 20, 2020, we provided a letter of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to Mr. Kessler, as amended by the updated offer letter effective as of August 9, 2022.</w:t>
      </w:r>
    </w:p>
    <w:p>
      <w:pPr>
        <w:spacing w:after="0" w:line="9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Mr. Kessler’s offer letter establishes a minimum annual base salary level of $250,000 and provides for a discretionary performance-based bonus of $150,000. Mr. Kessler is an at will employee, and there are no severance benefits if his employment is terminated.</w:t>
      </w:r>
    </w:p>
    <w:p>
      <w:pPr>
        <w:spacing w:after="0" w:line="10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Employment Agreement for Mr. Towns</w:t>
      </w:r>
      <w:r>
        <w:rPr>
          <w:rFonts w:ascii="Times New Roman" w:cs="Times New Roman" w:eastAsia="Times New Roman" w:hAnsi="Times New Roman"/>
          <w:sz w:val="18"/>
          <w:szCs w:val="18"/>
          <w:color w:val="auto"/>
        </w:rPr>
        <w:t>: On October 22, 2021, we provided a letter of employment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Mr. Towns, as amended on March 1, 2023, and May 25, 2023.</w:t>
      </w:r>
    </w:p>
    <w:p>
      <w:pPr>
        <w:spacing w:after="0" w:line="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Mr. Towns’ offer letter, as amended, establishes a minimum annual base salary level of $250,000.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Mr. Towns is an at will employee, and there are no severance benefits if his employment is terminated.</w:t>
      </w:r>
    </w:p>
    <w:p>
      <w:pPr>
        <w:spacing w:after="0" w:line="13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Employment Agreement for Mr. Oakes</w:t>
      </w:r>
      <w:r>
        <w:rPr>
          <w:rFonts w:ascii="Times New Roman" w:cs="Times New Roman" w:eastAsia="Times New Roman" w:hAnsi="Times New Roman"/>
          <w:sz w:val="18"/>
          <w:szCs w:val="18"/>
          <w:color w:val="auto"/>
        </w:rPr>
        <w:t>: On November 10, 2021, we entered into a two-year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Mr. Massie as our Chief Financial Officer, effective November 10, 2021. The agreement, at the end of the initial one-year term, if not terminated by either Mr. Oakes or the Company, would have automatically renewed for successive one-year periods.</w:t>
      </w:r>
    </w:p>
    <w:p>
      <w:pPr>
        <w:spacing w:after="0" w:line="11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Mr. Oakes’ Employment Agreement established a minimum annual base salary level of $250,000 and provided for a discretionary performance-based bonus of $200,000, payable in quarterly $50,000 installment, with payment subject to Mr. Oakes being employed by us at this time of payment. The Board could from time to time elect to pay additional bonuses based on performance that exceeds the mutually agreed upon goals. On August 8, 2022, based on a report from its independent compensation consultant and discussions with the consultant, the Compensation Committee approved an increase to Mr. Oakes’ base salary from $250,000 to $275,000 per year, and an increase in his maximum discretionary bonus opportunity from $200,000 to $250,000 per year.</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the terms of the agreement, if Mr. Oakes’ employment was terminated by us without cause, or in connection with a change of control, or by Mr. Oakes for good reason, Mr. Oakes would be entitled to receive certain severance benefits, including severance pay equal to 100% of his annual base salary plus his projected bonus for such fiscal year. Mr. Oakes would also be eligible to receive insurance benefits for a period of up to twelve months following his termination of employment. We could terminate Mr. Oakes’ employment for cause only if we received the unanimous agreement of our board of directors. In addition, if we terminated his employment without cause, or if Mr. Oakes resigned for good reason, or upon the occurrence of a change of control, all of his issued but unvested options would immediately vest.</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to the terms of our standard invention assignment, restrictive covenants, and confidentiality agreement, Mr. Oakes’ employment agreement contained confidentiality, non-solicitation and non-competition provisions, whereby Mr. Oakes was subject to non-solicitation restrictions for a period of at least one year and to non-competition restrictions for a period of at least six months following his employment period. Mr. Oakes resigned as Chief Financial Officer effective February 28, 2023.</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Employment Agreement for Mr. Wilcox: </w:t>
      </w:r>
      <w:r>
        <w:rPr>
          <w:rFonts w:ascii="Times New Roman" w:cs="Times New Roman" w:eastAsia="Times New Roman" w:hAnsi="Times New Roman"/>
          <w:sz w:val="18"/>
          <w:szCs w:val="18"/>
          <w:color w:val="auto"/>
        </w:rPr>
        <w:t>On July 14, 2022, we entered into an employment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Mr. Wilcox as our Chief Operating Officer. Pursuant to the terms of the agreement, Mr. Wilcox received an annual base salary of $300,000 and was eligible to participate in all employee benefit programs. Mr. Wilcox was also eligible to receive a discretionary performance-based bonus of up to $300,000 with respect to each fiscal year, based on the mutually agreed upon goals that will be set by our Chief Executive Officer and the compensation committee of the Board, and was issued 1,000 restricted stock units that would vest in three equal installments on the one-year, two-year and three-year anniversaries of grant. If Mr. Wilcox’s employment with us was terminated for any reason, he would be entitled to (i) his annual base salary through the termination date,</w:t>
      </w:r>
    </w:p>
    <w:p>
      <w:pPr>
        <w:spacing w:after="0" w:line="3" w:lineRule="exact"/>
        <w:rPr>
          <w:sz w:val="20"/>
          <w:szCs w:val="20"/>
          <w:color w:val="auto"/>
        </w:rPr>
      </w:pPr>
    </w:p>
    <w:p>
      <w:pPr>
        <w:jc w:val="both"/>
        <w:ind w:left="460" w:right="459" w:hanging="6"/>
        <w:spacing w:after="0" w:line="265" w:lineRule="auto"/>
        <w:tabs>
          <w:tab w:leader="none" w:pos="737"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accrued unused paid time off, (iii) any vested benefit due and owing under any employee benefit plan and (iv) any unreimbursed business expenses. If Mr. Wilcox’s employment had been terminated by us without cause or by Mr. Wilcox for good reason (as such terms are defined in his employment agreement), he would have also been entitled to receive (i) 100% of his annual base salary and his projected bonus for such fiscal year,</w:t>
      </w:r>
    </w:p>
    <w:p>
      <w:pPr>
        <w:jc w:val="both"/>
        <w:ind w:left="460" w:right="479" w:hanging="6"/>
        <w:spacing w:after="0" w:line="253" w:lineRule="auto"/>
        <w:tabs>
          <w:tab w:leader="none" w:pos="7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the instance of termination without cause or for good reason that occurs within 30 days prior to, or within six months following, a change in control, immediate vesting of all his issued but unvested options or restricted stock units and (iii) continued participation in our group health insurance benefits through August 31, 2025.</w:t>
      </w:r>
    </w:p>
    <w:p>
      <w:pPr>
        <w:spacing w:after="0" w:line="121"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In connection with Mr. Wilcox’s resignation, on May 23, 2023, we entered into a separation agreement with Mr. Wilcox. The separation agreement provided that, among other things, (a) Mr. Wilcox would receive reimbursement for COBRA premiums for medical, dental and vision benefits for a period of six months, and</w:t>
      </w:r>
    </w:p>
    <w:p>
      <w:pPr>
        <w:spacing w:after="0" w:line="1" w:lineRule="exact"/>
        <w:rPr>
          <w:sz w:val="20"/>
          <w:szCs w:val="20"/>
          <w:color w:val="auto"/>
        </w:rPr>
      </w:pPr>
    </w:p>
    <w:p>
      <w:pPr>
        <w:jc w:val="both"/>
        <w:ind w:left="460" w:right="459" w:hanging="6"/>
        <w:spacing w:after="0" w:line="255" w:lineRule="auto"/>
        <w:tabs>
          <w:tab w:leader="none" w:pos="7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Mr. Wilcox’s restricted stock units will continue to vest in accordance with their original vesting terms, notwithstanding his resignation. The separation agreement also contained a general release in favor of the Company.</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Termination Payments and Equity Awards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Employment Agreements for our Named Executive Officers, as described above, generally provide for cash payment in the event that their employment with the Company is terminated in certain circumstances by the Company without cause or by such Named Executive Officer for good reason (1) outside of a change of control and (2) in connection with a change of control. The potential payouts each Named Executive Officer may be eligible to receive in either instance under their respective employment agreements is calculated based upon the measurement criteria described above.</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the Named Executive Officers covered by employment agreements or severance agreements had their employment terminated as of December 31, 2023, the Named Executive Officers would have been eligible to receive payments, depending upon whether the termination was for good reason or based upon a change in control, as set forth in the following table.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 Payout Table</w:t>
      </w:r>
    </w:p>
    <w:p>
      <w:pPr>
        <w:spacing w:after="0" w:line="162" w:lineRule="exact"/>
        <w:rPr>
          <w:sz w:val="20"/>
          <w:szCs w:val="20"/>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7"/>
          <w:szCs w:val="17"/>
          <w:color w:val="auto"/>
        </w:rPr>
        <w:t>The following table sets forth information concerning termination payouts for Named Executive Officers serving as of December 31, 2023. These disclosed amounts are estimates only and do not necessarily reflect the actual amounts that would be paid to the Named Executive Officers, which would only be known at the time that they become eligible for payment and would only be payable if the events set forth in the table below occur.</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Potential Termination Payments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80" w:type="dxa"/>
            <w:vAlign w:val="bottom"/>
            <w:tcBorders>
              <w:bottom w:val="single" w:sz="8" w:color="auto"/>
            </w:tcBorders>
            <w:gridSpan w:val="9"/>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6"/>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180" w:type="dxa"/>
            <w:vAlign w:val="bottom"/>
            <w:gridSpan w:val="9"/>
          </w:tcPr>
          <w:p>
            <w:pPr>
              <w:ind w:left="460"/>
              <w:spacing w:after="0"/>
              <w:rPr>
                <w:sz w:val="20"/>
                <w:szCs w:val="20"/>
                <w:color w:val="auto"/>
              </w:rPr>
            </w:pPr>
            <w:r>
              <w:rPr>
                <w:rFonts w:ascii="Times New Roman" w:cs="Times New Roman" w:eastAsia="Times New Roman" w:hAnsi="Times New Roman"/>
                <w:sz w:val="14"/>
                <w:szCs w:val="14"/>
                <w:b w:val="1"/>
                <w:bCs w:val="1"/>
                <w:color w:val="auto"/>
              </w:rPr>
              <w:t>Without Cause or for Good Reason</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Change of Control</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Salary and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Salary and</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Option</w:t>
            </w:r>
          </w:p>
        </w:tc>
        <w:tc>
          <w:tcPr>
            <w:tcW w:w="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vMerge w:val="continue"/>
          </w:tcPr>
          <w:p>
            <w:pPr>
              <w:spacing w:after="0"/>
              <w:rPr>
                <w:sz w:val="12"/>
                <w:szCs w:val="12"/>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2"/>
            <w:vMerge w:val="continue"/>
          </w:tcPr>
          <w:p>
            <w:pPr>
              <w:spacing w:after="0"/>
              <w:rPr>
                <w:sz w:val="12"/>
                <w:szCs w:val="12"/>
                <w:color w:val="auto"/>
              </w:rPr>
            </w:pP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560" w:type="dxa"/>
            <w:vAlign w:val="bottom"/>
            <w:gridSpan w:val="2"/>
            <w:vMerge w:val="continue"/>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80" w:type="dxa"/>
            <w:vAlign w:val="bottom"/>
            <w:gridSpan w:val="2"/>
            <w:vMerge w:val="continue"/>
          </w:tcPr>
          <w:p>
            <w:pPr>
              <w:spacing w:after="0"/>
              <w:rPr>
                <w:sz w:val="16"/>
                <w:szCs w:val="16"/>
                <w:color w:val="auto"/>
              </w:rPr>
            </w:pP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800" w:type="dxa"/>
            <w:vAlign w:val="bottom"/>
            <w:gridSpan w:val="2"/>
            <w:vMerge w:val="continue"/>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Acceleration</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Chang</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$ 1,050,000</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35,858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1,549</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$ 1,087,407</w:t>
            </w:r>
          </w:p>
        </w:tc>
        <w:tc>
          <w:tcPr>
            <w:tcW w:w="8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$ 1,050,000</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35,858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1,549</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1,087,407</w:t>
            </w:r>
          </w:p>
        </w:tc>
        <w:tc>
          <w:tcPr>
            <w:tcW w:w="0" w:type="dxa"/>
            <w:vAlign w:val="bottom"/>
          </w:tcPr>
          <w:p>
            <w:pPr>
              <w:spacing w:after="0"/>
              <w:rPr>
                <w:sz w:val="1"/>
                <w:szCs w:val="1"/>
                <w:color w:val="auto"/>
              </w:rPr>
            </w:pPr>
          </w:p>
        </w:tc>
      </w:tr>
      <w:tr>
        <w:trPr>
          <w:trHeight w:val="251"/>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80" w:hanging="426"/>
        <w:spacing w:after="0"/>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circumstances involving termination without cause or for Good Reason outside of any Change in Control.</w:t>
      </w:r>
    </w:p>
    <w:p>
      <w:pPr>
        <w:spacing w:after="0" w:line="26"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circumstances involving termination without cause or for Good Reason in connection with a Change in Control.</w:t>
      </w:r>
    </w:p>
    <w:p>
      <w:pPr>
        <w:jc w:val="both"/>
        <w:ind w:left="880" w:right="479" w:hanging="426"/>
        <w:spacing w:after="0" w:line="264"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health, dental, and life insurance coverage for a period of twelve months. The reported value is based upon the type of insurance coverage carried by each Named Executive Officer as of December 31, 2023 and is valued at the premiums in effect on December 31, 2023.</w:t>
      </w:r>
    </w:p>
    <w:p>
      <w:pPr>
        <w:jc w:val="both"/>
        <w:ind w:left="880" w:right="459" w:hanging="426"/>
        <w:spacing w:after="0" w:line="272"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unvested outstanding equity awards contain acceleration provisions, and assuming the applicability and operation of such provisions as of December 31, 2023, the Named Executive Officer could have realized the following values from acceleration (based on the closing price of $1.20 on December 29, 2023 over any applicable exercise price or par value payment obligation for such accelerated awards).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Agreements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Annual Cash Compensation. </w:t>
      </w:r>
      <w:r>
        <w:rPr>
          <w:rFonts w:ascii="Times New Roman" w:cs="Times New Roman" w:eastAsia="Times New Roman" w:hAnsi="Times New Roman"/>
          <w:sz w:val="18"/>
          <w:szCs w:val="18"/>
          <w:color w:val="auto"/>
        </w:rPr>
        <w:t>Each of the Company’s non-employee directors receives an annual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retainer of $24,000, payable in twelve monthly installments. In addition, the following Committee retainer amounts are payable to Committee members.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Audit Committee Chair receives an annual retainer of $5,000 per year, while Audit Committee members are entitled to receive an annual retainer of $1,000. The annual retainers are paid in twelve monthly installments and are in addition to the annual cash retainer for non-employee directors described above.</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Compensation Committee Chair receives an annual retainer of $5,000 per year, while Compensation Committee members are entitled to receive an annual retainer of $1,000. The annual retainers are paid in twelve monthly installments and are in addition to the annual cash retainer for non-employee directors described above.</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Chair receives an annual retainer of $5,000 per year, while Nominating and Corporate Governance Committee members are entitled to receive an annual retainer of $1,000. The annual retainers are paid in twelve monthly installments and are in addition to the annual cash retainer for non-employee directors described above.</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Currently, there are no annual retainer fees awarded to either the Merger and Acquisitions Committee Chair or the Merger and Acquisition Committee members.</w:t>
      </w:r>
    </w:p>
    <w:p>
      <w:pPr>
        <w:spacing w:after="0" w:line="65"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Options and Share-Based Awards. </w:t>
      </w:r>
      <w:r>
        <w:rPr>
          <w:rFonts w:ascii="Times New Roman" w:cs="Times New Roman" w:eastAsia="Times New Roman" w:hAnsi="Times New Roman"/>
          <w:sz w:val="18"/>
          <w:szCs w:val="18"/>
          <w:color w:val="auto"/>
        </w:rPr>
        <w:t>Following initial election to the Company’s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directors are eligible to receive restricted stock units as determined by the Board.</w:t>
      </w:r>
    </w:p>
    <w:p>
      <w:pPr>
        <w:spacing w:after="0" w:line="6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Company’s Board and Compensation Committee believe that equity-based awards are essential to our continued success. Equity-based awards are necessary to attract, retain and motivate highly qualified directors to serve Agrify and to improve Agrify’s business results and earnings by providing these individuals an opportunity to acquire or increase a direct proprietary interest in Agrify’s operations and future success while further aligning recipient’s interests with those of shareholders.</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Board compensation guidelines described above are designed to (a) compensate Committee members through Committee cash retainers in order to provide compensation commensurate with relevant service level commitments for Committee service and (b) set overall Board compensation at a level that is competitive with market norms, in order to enable the Company to attract potential new directors and provide market-based remuneration for existing directors.</w:t>
      </w:r>
    </w:p>
    <w:p>
      <w:pPr>
        <w:spacing w:after="0" w:line="87"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Non-Equity Incentive Plan Compensation. </w:t>
      </w:r>
      <w:r>
        <w:rPr>
          <w:rFonts w:ascii="Times New Roman" w:cs="Times New Roman" w:eastAsia="Times New Roman" w:hAnsi="Times New Roman"/>
          <w:sz w:val="18"/>
          <w:szCs w:val="18"/>
          <w:color w:val="auto"/>
        </w:rPr>
        <w:t>We do not provide Non-Equity Incentive Compensation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directors.</w:t>
      </w:r>
    </w:p>
    <w:p>
      <w:pPr>
        <w:spacing w:after="0" w:line="64"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Pension Benefits. </w:t>
      </w:r>
      <w:r>
        <w:rPr>
          <w:rFonts w:ascii="Times New Roman" w:cs="Times New Roman" w:eastAsia="Times New Roman" w:hAnsi="Times New Roman"/>
          <w:sz w:val="18"/>
          <w:szCs w:val="18"/>
          <w:color w:val="auto"/>
        </w:rPr>
        <w:t>We do not have a pension plan and therefore, do not offer any such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to our directors.</w:t>
      </w:r>
    </w:p>
    <w:p>
      <w:pPr>
        <w:spacing w:after="0" w:line="7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table below provides compensation information for the year ended December 31, 2023 for each non-employee member of our Board of Directors. Guichao Hua served on the Board of Directors until our Annual Meeting of Stockholders held on January 8, 2024, at which point I-Tseng Jenny Chan was elected to the Board of Directors.</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40" w:type="dxa"/>
            <w:vAlign w:val="bottom"/>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8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00" w:type="dxa"/>
            <w:vAlign w:val="bottom"/>
            <w:gridSpan w:val="2"/>
            <w:vMerge w:val="continue"/>
          </w:tcPr>
          <w:p>
            <w:pPr>
              <w:spacing w:after="0"/>
              <w:rPr>
                <w:sz w:val="16"/>
                <w:szCs w:val="16"/>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Guichao Hua</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14,853</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20,417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0" w:type="dxa"/>
            <w:vAlign w:val="bottom"/>
          </w:tcPr>
          <w:p>
            <w:pPr>
              <w:spacing w:after="0"/>
              <w:rPr>
                <w:sz w:val="1"/>
                <w:szCs w:val="1"/>
                <w:color w:val="auto"/>
              </w:rPr>
            </w:pPr>
          </w:p>
        </w:tc>
      </w:tr>
      <w:tr>
        <w:trPr>
          <w:trHeight w:val="260"/>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Max Holtzman</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8,000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tcPr>
          <w:p>
            <w:pPr>
              <w:spacing w:after="0"/>
              <w:rPr>
                <w:sz w:val="22"/>
                <w:szCs w:val="22"/>
                <w:color w:val="auto"/>
              </w:rPr>
            </w:pP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Timothy Mahoney</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23,452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58,838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82,380</w:t>
            </w:r>
          </w:p>
        </w:tc>
        <w:tc>
          <w:tcPr>
            <w:tcW w:w="0" w:type="dxa"/>
            <w:vAlign w:val="bottom"/>
          </w:tcPr>
          <w:p>
            <w:pPr>
              <w:spacing w:after="0"/>
              <w:rPr>
                <w:sz w:val="1"/>
                <w:szCs w:val="1"/>
                <w:color w:val="auto"/>
              </w:rPr>
            </w:pPr>
          </w:p>
        </w:tc>
      </w:tr>
      <w:tr>
        <w:trPr>
          <w:trHeight w:val="260"/>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Leonard J. Sokolow</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19,792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52,708</w:t>
            </w:r>
          </w:p>
        </w:tc>
        <w:tc>
          <w:tcPr>
            <w:tcW w:w="100" w:type="dxa"/>
            <w:vAlign w:val="bottom"/>
          </w:tcPr>
          <w:p>
            <w:pPr>
              <w:spacing w:after="0"/>
              <w:rPr>
                <w:sz w:val="22"/>
                <w:szCs w:val="22"/>
                <w:color w:val="auto"/>
              </w:rPr>
            </w:pP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72,500</w:t>
            </w: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Krishnan Varier</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22,500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56,500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79,000</w:t>
            </w:r>
          </w:p>
        </w:tc>
        <w:tc>
          <w:tcPr>
            <w:tcW w:w="0" w:type="dxa"/>
            <w:vAlign w:val="bottom"/>
          </w:tcPr>
          <w:p>
            <w:pPr>
              <w:spacing w:after="0"/>
              <w:rPr>
                <w:sz w:val="1"/>
                <w:szCs w:val="1"/>
                <w:color w:val="auto"/>
              </w:rPr>
            </w:pPr>
          </w:p>
        </w:tc>
      </w:tr>
      <w:tr>
        <w:trPr>
          <w:trHeight w:val="250"/>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880" w:right="479" w:hanging="426"/>
        <w:spacing w:after="0" w:line="267" w:lineRule="auto"/>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dollar amount of all fees earned or paid in cash for services as a director, including monthly retainer fees and committee membership, as described above. During the year ended December 31, 2023, directors elected to receive additional restricted stock units in lieu of a portion of their cash compensation.</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ectPr>
          <w:pgSz w:w="11900" w:h="16838" w:orient="portrait"/>
          <w:cols w:equalWidth="0" w:num="1">
            <w:col w:w="9019"/>
          </w:cols>
          <w:pgMar w:left="1440" w:top="270" w:right="1440" w:bottom="1440" w:gutter="0" w:footer="0" w:header="0"/>
        </w:sectPr>
      </w:pP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79" w:hanging="426"/>
        <w:spacing w:after="0" w:line="260"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reported amounts are calculated in accordance with the provisions of Financial Accounting Standards Board (“FASB”) Accounting Standard Codification Topic 718, “Compensation — Stock Compensation (“ASC Topic 718”).</w:t>
      </w:r>
    </w:p>
    <w:p>
      <w:pPr>
        <w:jc w:val="both"/>
        <w:ind w:left="880" w:right="479" w:hanging="426"/>
        <w:spacing w:after="0" w:line="264"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aggregate number of unvested restricted stock units outstanding for each current non-employee director were as follows: 89 for each of Messrs. Hua, Mahoney, Varier, Sokolow and Holtzman. Value of stock awards reflects awards that were earned in 2023 but paid in January 2024.</w:t>
      </w:r>
    </w:p>
    <w:p>
      <w:pPr>
        <w:jc w:val="both"/>
        <w:ind w:left="880" w:right="459" w:hanging="426"/>
        <w:spacing w:after="0" w:line="276"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2023, the aggregate number of unexercised stock option awards outstanding for each current non-employee director were as follows: 456 for Mr. Hua, 456 for Mr. Mahoney, 455 for Mr. Varier; 250 for Mr. Sokolow and none for Mr. Holtzman.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provides information, as of January 25, 2024, about the beneficial ownership of our Company’s Common Stock by: (1) the persons known to us to be beneficial owners of more than 5% of our Company’s outstanding Common Stock; (2) our directors; (3) each named executive officer; and (4) our directors and executive officers as a group. To the best of our knowledge, each such person has sole voting and investment power over the shares shown in this table, except as otherwise indicated. As of January 25, 2024, there were 58 record holders and 6,846,419 outstanding shares of our Company’s Common Stock.</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January 25, 2024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January 25, 2024, are deemed outstanding for the purpose of computing the percentage ownership of the person holding those options or warrants but are not deemed outstanding for computing the percentage ownership of any other person.</w:t>
      </w:r>
    </w:p>
    <w:p>
      <w:pPr>
        <w:spacing w:after="0" w:line="12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2520" w:type="dxa"/>
            <w:vAlign w:val="bottom"/>
            <w:gridSpan w:val="3"/>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Beneficial Ownership</w:t>
            </w:r>
          </w:p>
        </w:tc>
      </w:tr>
      <w:tr>
        <w:trPr>
          <w:trHeight w:val="47"/>
        </w:trPr>
        <w:tc>
          <w:tcPr>
            <w:tcW w:w="558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5580" w:type="dxa"/>
            <w:vAlign w:val="bottom"/>
          </w:tcPr>
          <w:p>
            <w:pPr>
              <w:spacing w:after="0"/>
              <w:rPr>
                <w:sz w:val="15"/>
                <w:szCs w:val="15"/>
                <w:color w:val="auto"/>
              </w:rPr>
            </w:pPr>
          </w:p>
        </w:tc>
        <w:tc>
          <w:tcPr>
            <w:tcW w:w="12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80" w:type="dxa"/>
            <w:vAlign w:val="bottom"/>
          </w:tcPr>
          <w:p>
            <w:pPr>
              <w:jc w:val="right"/>
              <w:ind w:right="212"/>
              <w:spacing w:after="0" w:line="181" w:lineRule="exact"/>
              <w:rPr>
                <w:sz w:val="20"/>
                <w:szCs w:val="20"/>
                <w:color w:val="auto"/>
              </w:rPr>
            </w:pPr>
            <w:r>
              <w:rPr>
                <w:rFonts w:ascii="Times New Roman" w:cs="Times New Roman" w:eastAsia="Times New Roman" w:hAnsi="Times New Roman"/>
                <w:sz w:val="16"/>
                <w:szCs w:val="16"/>
                <w:b w:val="1"/>
                <w:bCs w:val="1"/>
                <w:color w:val="auto"/>
              </w:rPr>
              <w:t>Percent of</w:t>
            </w:r>
          </w:p>
        </w:tc>
      </w:tr>
      <w:tr>
        <w:trPr>
          <w:trHeight w:val="212"/>
        </w:trPr>
        <w:tc>
          <w:tcPr>
            <w:tcW w:w="558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55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77"/>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r>
              <w:rPr>
                <w:rFonts w:ascii="Times New Roman" w:cs="Times New Roman" w:eastAsia="Times New Roman" w:hAnsi="Times New Roman"/>
                <w:sz w:val="20"/>
                <w:szCs w:val="20"/>
                <w:color w:val="auto"/>
                <w:vertAlign w:val="superscript"/>
              </w:rPr>
              <w:t>(2)</w:t>
            </w: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8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Raymond Chang</w:t>
            </w:r>
            <w:r>
              <w:rPr>
                <w:rFonts w:ascii="Times New Roman" w:cs="Times New Roman" w:eastAsia="Times New Roman" w:hAnsi="Times New Roman"/>
                <w:sz w:val="20"/>
                <w:szCs w:val="20"/>
                <w:color w:val="auto"/>
                <w:vertAlign w:val="superscript"/>
              </w:rPr>
              <w:t>(3)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11,966,841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w:t>
            </w:r>
          </w:p>
        </w:tc>
      </w:tr>
      <w:tr>
        <w:trPr>
          <w:trHeight w:val="28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Kessler</w:t>
            </w:r>
            <w:r>
              <w:rPr>
                <w:rFonts w:ascii="Times New Roman" w:cs="Times New Roman" w:eastAsia="Times New Roman" w:hAnsi="Times New Roman"/>
                <w:sz w:val="20"/>
                <w:szCs w:val="20"/>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1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I-Tseng Jenny Chan</w:t>
            </w:r>
            <w:r>
              <w:rPr>
                <w:rFonts w:ascii="Times New Roman" w:cs="Times New Roman" w:eastAsia="Times New Roman" w:hAnsi="Times New Roman"/>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11,609,789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 Holtzman</w:t>
            </w:r>
            <w:r>
              <w:rPr>
                <w:rFonts w:ascii="Times New Roman" w:cs="Times New Roman" w:eastAsia="Times New Roman" w:hAnsi="Times New Roman"/>
                <w:sz w:val="20"/>
                <w:szCs w:val="20"/>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r>
              <w:rPr>
                <w:rFonts w:ascii="Times New Roman" w:cs="Times New Roman" w:eastAsia="Times New Roman" w:hAnsi="Times New Roman"/>
                <w:sz w:val="20"/>
                <w:szCs w:val="20"/>
                <w:color w:val="auto"/>
                <w:vertAlign w:val="superscript"/>
              </w:rPr>
              <w:t>(5)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45,071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Krishnan Varier</w:t>
            </w:r>
            <w:r>
              <w:rPr>
                <w:rFonts w:ascii="Times New Roman" w:cs="Times New Roman" w:eastAsia="Times New Roman" w:hAnsi="Times New Roman"/>
                <w:sz w:val="20"/>
                <w:szCs w:val="20"/>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41,993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Leonard J. Sokolow</w:t>
            </w:r>
            <w:r>
              <w:rPr>
                <w:rFonts w:ascii="Times New Roman" w:cs="Times New Roman" w:eastAsia="Times New Roman" w:hAnsi="Times New Roman"/>
                <w:sz w:val="20"/>
                <w:szCs w:val="20"/>
                <w:color w:val="auto"/>
                <w:vertAlign w:val="superscript"/>
              </w:rPr>
              <w:t>(5)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36,738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(7 persons)</w:t>
            </w:r>
            <w:r>
              <w:rPr>
                <w:rFonts w:ascii="Times New Roman" w:cs="Times New Roman" w:eastAsia="Times New Roman" w:hAnsi="Times New Roman"/>
                <w:sz w:val="20"/>
                <w:szCs w:val="20"/>
                <w:color w:val="auto"/>
                <w:vertAlign w:val="superscript"/>
              </w:rPr>
              <w:t>(3)(5)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13,480,221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900" w:hanging="446"/>
        <w:spacing w:after="0"/>
        <w:tabs>
          <w:tab w:leader="none" w:pos="9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ind w:left="880" w:hanging="426"/>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with respect to any identified individual or group are calculated by dividing: (i) the sum of</w:t>
      </w:r>
    </w:p>
    <w:p>
      <w:pPr>
        <w:spacing w:after="0" w:line="18" w:lineRule="exact"/>
        <w:rPr>
          <w:rFonts w:ascii="Times New Roman" w:cs="Times New Roman" w:eastAsia="Times New Roman" w:hAnsi="Times New Roman"/>
          <w:sz w:val="16"/>
          <w:szCs w:val="16"/>
          <w:color w:val="auto"/>
        </w:rPr>
      </w:pPr>
    </w:p>
    <w:p>
      <w:pPr>
        <w:jc w:val="both"/>
        <w:ind w:left="880" w:right="479" w:firstLine="6"/>
        <w:spacing w:after="0" w:line="264" w:lineRule="auto"/>
        <w:tabs>
          <w:tab w:leader="none" w:pos="1111"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actually owned as of January 25, 2024 plus (b) the number of shares of Common Stock that may be acquired through the exercise of stock options, warrants or any other rights, the conversion of convertible securities, or the vesting of Restricted Stock Units within 60 days thereof (“Currently Exercisable Awards”) by (ii) the sum of 6,846,419 shares of Common Stock outstanding as of January 25, 2024, plus the amount referenced in clause (i)(b) for such individual or group.</w:t>
      </w:r>
    </w:p>
    <w:p>
      <w:pPr>
        <w:ind w:left="880" w:right="479" w:hanging="426"/>
        <w:spacing w:after="0" w:line="264"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each of the directors and executive officers listed above is c/o Agrify Corporation, 2468 Industrial Row Dr., Troy, MI 48084.</w:t>
      </w:r>
    </w:p>
    <w:p>
      <w:pPr>
        <w:jc w:val="both"/>
        <w:ind w:left="880" w:right="459" w:hanging="426"/>
        <w:spacing w:after="0" w:line="266"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options to purchase 6,334 shares of Common Stock that are exercisable within 60 days of January 25, 2024, (ii) 575 shares of Common Stock owned by Mr. Chang, (iii) 1,453,894 shares of common stock held by RTC3 2020 Irrevocable Family Trust, of which Mr. Chang retains the authority to remove the independent trustee, (iv) 648 shares of common stock held by NXT3J Capital, LLC, an entity controlled by Mr. Chang, (v) warrants to purchase 317 shares of common stock associated with our 2020 convertible promissory notes held by RTC3 2020 Irrevocable Family Trust, (vi) options to purchase 194 shares of common stock held by Mr. Chang’s son that are exercisable within 60 days of January 25, 2024, (vii) warrants to purchase 230,906 shares of Common Stock that are held by RTC3 2020 Irrevocable Family Trust, but only to the extent exercisable due to a 9.99% beneficial ownership limitation, and (viii) 10,273,973 shares of common stock that may be issued upon conversion of a secured convertible note held by CP Acquisitions, LLC (“CP”), over which Mr. Chang has shared voting and investment control, subject to a beneficial ownership limitation of 49.99% with respect to CP and/or Mr. Chang.</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2"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1,335,816 shares of common stock owned in equal proportions by M. Zion Capital, LLC, M Olivet Capital, LLC and M Cannan Capital, LLC, over which Ms. Chan has voting and investment control, and (ii) 10,273,973 shares of common stock that may be issued upon conversion of a secured convertible note held by CP, over which Ms. Chan has shared voting and investment control, subject to a beneficial ownership limitation of 49.99% with respect to CP and/or Ms. Chan.</w:t>
      </w:r>
    </w:p>
    <w:p>
      <w:pPr>
        <w:spacing w:after="0" w:line="2" w:lineRule="exact"/>
        <w:rPr>
          <w:rFonts w:ascii="Times New Roman" w:cs="Times New Roman" w:eastAsia="Times New Roman" w:hAnsi="Times New Roman"/>
          <w:sz w:val="16"/>
          <w:szCs w:val="16"/>
          <w:color w:val="auto"/>
        </w:rPr>
      </w:pPr>
    </w:p>
    <w:p>
      <w:pPr>
        <w:jc w:val="both"/>
        <w:ind w:left="880" w:right="479" w:hanging="426"/>
        <w:spacing w:after="0" w:line="272"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following shares subject to options that are exercisable within 60 days of January 25, 2024: Mr. Kessler, 788; Mr. Mahoney, 456; Mr. Varier, 454; and Mr. Sokolow, 188. Includes the following shares subject to Restricted Stock Units that vest within 60 days of January 25, 2024: Mr. Holtzman, 52,635; Mr. Mahoney, 44,526; Mr. Varier, 41, 450; and Mr. Sokolow, 36,461.</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estimate the net proceeds from this offering will be approximately $2.6 million, after deducting estimated placement agent fees and commissions and our estimated offering expenses, and based on the assumed public offering price of $0.7447 per share of common stock (the last reported sale price of our common stock on The Nasdaq Capital Market on February 6, 2024).</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 $0.10 increase (decrease) in the assumed public offering price of $0.7447 per share of common stock would increase (decrease) the net proceeds to us from this offering by approximately $0.4 million, assuming that the number of shares offered by us, as set forth on the cover page of this prospectus, remains the same and after deducting the estimated placement agent fees and commissions and estimated offering expenses payable by us.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Similarly, a 1,000,000 share increase (decrease) in the number of shares of common stock and/or Pre-Funded Warrants, as set forth on the cover page of this prospectus, would increase (decrease) the net proceeds to us by $0.7 million, assuming the assumed public offering price of $0.7447 per share of common stock remains the same, and after deducting estimated placement agent fees and commissions and estimated offering expenses payable by us.</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of this offering for working capital and general corporate purposes, which may include capital expenditures and repayment of debt. We have not yet determined the amount of net proceeds to be used specifically for any of the foregoing purposes.</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Pending use of the proceeds as described above, we intend to invest the net proceeds of this offering in short-term interest-bearing investment grade instruments.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amount of cash used in our operations. We may find it necessary or advisable to use the net proceeds for other purposes, and we will have broad discretion in the application of the net proceeds and investors will be relying on the judgment of our management regarding the application of the net proceeds from this offering.</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Based upon our historical and anticipated future growth and our financial needs, we may engage in additional financings of a character and amount that we determine as the need arises. We may raise additional capital through additional public or private financings, the incurrence of debt and other available sources.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you invest in this offering, you will experience immediate and substantial dilution to the extent of the difference between the offering price per share paid in this offering (or the offering price per Pre-Funded Warrant, as applicable), in each case excluding shares of common stock issuable upon exercise of the Pre-Funded Warrants being offered in this offering and the payment of the exercise price therefor, and the adjusted net tangible book value per share of our common stock as of September 30, 2023, as adjusted to give effect to this offering.</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net tangible book value per share of common stock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2023 was approximately $(21.2) million, or $(12.86) per share, based on 1,651,281 shares of common stock outstanding at September 30, 2023.</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After giving effect to the sale of 2,014,234 shares of our common stock in this offering (excluding shares of common stock issuable upon exercise of the Pre-Funded Warrants being offered in this offering) at an assumed offering price of $0.7447 per share (or the assumed offering price per Pre-Funded Warrant of $0.7437) and after deducting estimated offering expenses payable by us and placement agent fees), our as adjusted net tangible book value as of September 30, 2023 would have been approximately $(18.7) million, or $(5.09) per share of common stock. This represents an immediate increase in net tangible book value of $7.77 per share to existing stockholders and immediate dilution of $5.84 per share to investors purchasing securities in this offering at the assumed offering price. The final combined public offering price will be determined between us and the placement agent in the offering and may be at a discount to the current market price. Therefore, the assumed combined public offering price used throughout this prospectus may not be indicative of the final combined public offering price. The following table illustrates this dilution on a per share basis: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share</w:t>
            </w:r>
          </w:p>
        </w:tc>
        <w:tc>
          <w:tcPr>
            <w:tcW w:w="5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0.7447</w:t>
            </w:r>
          </w:p>
        </w:tc>
      </w:tr>
      <w:tr>
        <w:trPr>
          <w:trHeight w:val="24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2023</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(12.86)</w:t>
            </w:r>
          </w:p>
        </w:tc>
        <w:tc>
          <w:tcPr>
            <w:tcW w:w="920" w:type="dxa"/>
            <w:vAlign w:val="bottom"/>
          </w:tcPr>
          <w:p>
            <w:pPr>
              <w:spacing w:after="0"/>
              <w:rPr>
                <w:sz w:val="21"/>
                <w:szCs w:val="21"/>
                <w:color w:val="auto"/>
              </w:rPr>
            </w:pPr>
          </w:p>
        </w:tc>
      </w:tr>
      <w:tr>
        <w:trPr>
          <w:trHeight w:val="40"/>
        </w:trPr>
        <w:tc>
          <w:tcPr>
            <w:tcW w:w="5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7.77</w:t>
            </w:r>
          </w:p>
        </w:tc>
        <w:tc>
          <w:tcPr>
            <w:tcW w:w="920" w:type="dxa"/>
            <w:vAlign w:val="bottom"/>
            <w:tcBorders>
              <w:bottom w:val="single" w:sz="8" w:color="CCEEFF"/>
            </w:tcBorders>
            <w:shd w:val="clear" w:color="auto" w:fill="CCEEFF"/>
          </w:tcPr>
          <w:p>
            <w:pPr>
              <w:spacing w:after="0"/>
              <w:rPr>
                <w:sz w:val="22"/>
                <w:szCs w:val="22"/>
                <w:color w:val="auto"/>
              </w:rPr>
            </w:pPr>
          </w:p>
        </w:tc>
      </w:tr>
      <w:tr>
        <w:trPr>
          <w:trHeight w:val="198"/>
        </w:trPr>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 adjusted net tangible book value per share after giving effect</w:t>
            </w: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this offering based</w:t>
            </w:r>
          </w:p>
        </w:tc>
        <w:tc>
          <w:tcPr>
            <w:tcW w:w="52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(5.09)</w:t>
            </w:r>
          </w:p>
        </w:tc>
      </w:tr>
      <w:tr>
        <w:trPr>
          <w:trHeight w:val="40"/>
        </w:trPr>
        <w:tc>
          <w:tcPr>
            <w:tcW w:w="5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5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5.84</w:t>
            </w:r>
          </w:p>
        </w:tc>
      </w:tr>
      <w:tr>
        <w:trPr>
          <w:trHeight w:val="40"/>
        </w:trPr>
        <w:tc>
          <w:tcPr>
            <w:tcW w:w="54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discussion and table above assume no exercise of the Pre-Funded Warrants sold in this offering.</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Each $0.10 increase (decrease) in the assumed public offering price of $0.7447 per share of common stock (or $0.7437 per Pre-Funded Warrant) would increase (decrease) the as adjusted net tangible book value by $0.10 per share of common stock and the dilution to new investors by $0.002 per share, assuming that the number of shares and/or Pre-Funded Warrants offered by us, as set forth on the cover page of this prospectus, remains the same, after deducting the estimated placement agent fees and commissions and estimated offering expenses payable by us.</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also increase or decrease the number of shares we are offering. An increase of 1,000,000 shares in the number of shares of common stock and/or Pre-Funded Warrants offered by us, as set forth on the cover page of this prospectus, would increase our as adjusted net tangible book value by approximately $0.7 million, or approximately $0.78 per share of common stock, and decrease the dilution per share to investors in this offering by approximately $0.78 per share, assuming that the assumed public offering price per share of common stock and per Pre-Funded Warrant remains the same, and after deducting the estimated placement agent fees and commissions and estimated offering expenses payable by us. Similarly, a decrease of 1,000,000 shares in the number of shares of common stock and/or Pre-Funded Warrants offered by us, as set forth on the cover page of this prospectus, would decrease our as adjusted net tangible book value by approximately $0.7 million, or approximately $1.02 per share, and increase the dilution per share to investors in this offering by approximately $1.02 per share, assuming that the assumed public offering price per share of common stock and per Pre-Funded Warrant remains the same, and after deducting the estimated placement agent fees and commissions and estimated offering expenses payable by us. The information discussed above is illustrative only and will adjust based on the actual public offering price, the actual number of shares of common stock and Pre-Funded Warrants that we offer in this offering, and other terms of this offering determined at pricing.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above discussion and table do not take into account further dilution to investors purchasing our common stock in this offering that could occur upon the exercise of outstanding options and warrants, or the conversion of convertible securities, having a per share exercise or conversion price less than the public offering price per share in this offering. To the extent that outstanding options or warrants or other shares are issued, investors purchasing our common stock and/or Pre-Funded Warrants in this offering will experience further dilution. In addition, we may choose to raise additional capital due to market conditions or strategic considerations even if we believe that we have sufficient funds for our current or future operating plans. To the extent that additional capital is raised through the sale of our common stock, including through the sale of securities convertible into or exchangeable or exercisable for common stock, the issuance of these securities could result in further dilution to our stockholders, including investors purchasing our common stock in this offering.</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table and discussion above are based on 1,651,281 shares of our common stock outstanding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September 30, 2023, but does not include, as of such date:</w:t>
      </w:r>
    </w:p>
    <w:p>
      <w:pPr>
        <w:spacing w:after="0" w:line="139" w:lineRule="exact"/>
        <w:rPr>
          <w:sz w:val="20"/>
          <w:szCs w:val="20"/>
          <w:color w:val="auto"/>
        </w:rPr>
      </w:pPr>
    </w:p>
    <w:p>
      <w:pPr>
        <w:ind w:left="1320" w:right="47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1,495,001 shares of our common stock issuable upon the exercise of warrants outstanding, at a weighted average exercise price of $38.07 per share;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13,439 shares of our common stock issuable upon the exercise of stock options outstanding, at a weighted average exercise price of $1,518.05 per share;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4,580 shares of our common stock issuable upon the vesting of restricted stock units;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8,437 shares of our common stock reserved for future issuance under our 2022 Omnibus Equity Incentive Plan;</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our common stock reserved for future issuance under our 2022 Employee Stock Purchase Plan;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 shares of our common stock reserved for future issuance in connection with completed acquisitions;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1,157,068 shares of our common stock reserved for future issuance in connection with the conversion of a secured convertible note held as of September 30, 2023 by the Former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35,000,000 shares of common stock, par value $0.001 per share, and 3,000,000 shares of preferred stock, par value $0.001 per share. The only equity securities currently outstanding are shares of common stock. As of February 6, 2024, there were 7,056,005 shares of common stock outstanding, warrants outstanding to purchase 1,495,011 shares of our common stock, 10,334 shares of common stock subject to outstanding stock options, 4,531 shares of common stock subject to unvested restricted stock units, and 10,273,973 shares of common stock underlying convertible notes.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27"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12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business combination provisions do not apply to a person after the expiration of four years after the person first became an interested stockholder.</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 51 Mercedes Way, Edgewood, New York 11717.</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“AGFY.”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Pre-Funded Warrants to be Issued in this Offering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terms and provisions of the Pre-Funded Warrants that are being offered hereby. This summary is subject to and qualified in its entirety by the form of Pre-Funded Warrants, which has been provided to the investors in this offering and which has been filed with the SEC as an exhibit to the registration statement of which this prospectus forms a part. Prospective investors should carefully review the terms and provisions of the form of Pre-Funded Warrant for a complete description of the terms and conditions of the Pre-Funded Warrants. All Pre-Funded Warrants will be issued in certificated form.</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Terms of the Pre-Funded Warrants</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Each Pre-Funded Warrant offered hereby will have an initial exercise price per share equal to $0.001. The Pre-Funded 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Pre-Funded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the Pre-Funded Warrant to the extent that the holder would own more than 4.99% of the outstanding common stock immediately after exercise (the “Pre-Funded Warrant Beneficial Ownership Limitation”), except that upon at least 61 days’ prior notice from the holder to us, the holder may increase the amount of ownership of outstanding stock after exercising the holder’s Pre-Funded Warrants up to 9.99% of the number of</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shares of our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those purchasers to have the initial exercise limitation set at 9.99% of our outstanding common stock.</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Cashless Exercise</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at the time of exercise there is no effective registration statement registering, or the prospectus contained therein is not available for issuance of the shares issuable upon exercise of the Pre-Funded Warrant, the holder may exercise the Pre-Funded Warrant on a cashless basis. When exercised on a cashless basis, a portion of the Pre-Funded Warrant is cancelled in payment of the purchase price payable in respect of the number of shares of our common stock purchasable upon such exercise.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Certain Adjustments</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warrants may be proportionally adjusted upon the occurrence of specific events, including stock dividends, stock splits, combinations and certain recapitalizations of our common stock.</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Rights Upon Distribution of Assets; Purchase Rights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distribute assets, including cash dividends, any securities (other than a stock dividend described under “— Certain Adjustments”) or other property, to our stockholders, holders of Pre-Funded Warrants shall be entitled to participate in such distribution to the same extent that such holder would have participated had the holder held the number of shares of common stock acquirable upon complete exercise of its warrant. If such distribution would cause such holder to exceed the Pre-Funded Warrant Beneficial Ownership Limitation, the holder will not be entitled to participate in the distribution to such extent that the Pre-Funded Warrant Beneficial Ownership Limitation would be exceeded and the distribution will be held in abeyance for the holder’s benefit until such time or times, if ever, as would not result in the holder exceeding the Pre-Funded Warrant Beneficial Ownership Limitation.</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grant, issue or sell pro rata to our stockholders, any options, convertible securities or rights to purchase stock, warrants, securities or other property, the Pre-Funded Warrant holders will be entitled to acquire such purchase rights to the same extent such holder would have acquired had the holder held the number of shares of common stock acquirable upon complete exercise of its warrant. If such right to participate in any such purchase rights would cause such holder to exceed the Pre-Funded Warrant Beneficial Ownership Limitation, then the holder will not be entitled to participate in such purchase right to such extent that the Pre-Funded Warrant Beneficial Ownership Limitation would be exceeded such purchase right, to the extent necessary to prevent such occurrence, will be held in abeyance for the holder’s benefit until such time or times, if ever, as would not result in the holder exceeding the Pre-Funded Warrant Beneficial Ownership Limitation.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applicable laws and restrictions, a holder may transfer a Pre-Funded Warrant upon surrender of the Pre-Funded Warrant to us with a duly executed assignment in the form attached to the Pre-Funded Warrant. The transferring holder will be responsible for any tax that liability that may arise as a result of the transfer.</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 Listing</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In addition, we do not intend to apply for listing of the Pre-Funded Warrants on any securities exchange or trading system. Without an active market, the liquidity of the Pre-Funded Warrants will be limited.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Rights as a Stockholder</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 or by virtue of a holder’s ownership of shares of our common stock, the holders of the Pre-Funded Warrants do not have the rights or privileges of holders of our common stock, including any voting rights, until they exercise their Pre-Funded Warrants.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we effect certain mergers, consolidations, sales of substantially all of our assets, tender or exchange offers, 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exercise of the Pre-Funded Warrants, the holders of the Pre-Funded Warrants will have the right to receive any shares of the acquiring corporation or other consideration it would have been entitled to receive if it had been a holder of the number of shares of common stock then issuable upon exercise of the Pre-Funded Warrants.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Amendments and Waivers</w:t>
      </w:r>
    </w:p>
    <w:p>
      <w:pPr>
        <w:spacing w:after="0" w:line="16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provisions of each Pre-Funded Warrant may be modified or amended or the provisions thereof waived with the written consent of us and the holder.</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 Fractional Shares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shall be issued upon the exercise of the Pre-Funded Warrants. As to any fraction of a share which the holder would otherwise be entitled to purchase upon such exercise, we shall or shall cause, at our option, the payment of a cash adjustment in respect of such final fraction in an amount equal to such fraction multiplied by the exercise price of the Pre-Funded Warrant per whole share or round such fractional share up to the nearest whole share.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Pursuant to a placement agency agreement, we have engaged Alexander Capital, L.P. (the “Placement Agent”) to act as our exclusive placement agent to solicit offers to purchase the securities offered by this prospectus on a reasonable best-efforts basis. The Placement Agent is not purchasing or selling any securities, nor is it required to arrange for the purchase and sale of any specific number or dollar amount of securities, other than to use its “reasonable best efforts” to arrange for the sale of the securities by us. Therefore, we may not sell the entire amount of securities being offered, or any at all. The Placement Agent may engage one or more subagents or selected dealers in connection with this offering.</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will enter into subscription agreements directly with investors who purchase our securities in this offering. The Placement Agent may engage one or more subagents or selected dealers in connection with this offering.</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deliver the securities being issued to the investors upon receipt of investor funds for the purchase of the securities offered pursuant to this prospectus. We will deliver the securities being offered pursuant to this prospectus upon closing.</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pay the Placement Agent a cash transaction fee equal to 7.0% of the aggregate gross proceeds to us from the sale of the securities in the offering. In addition, we will reimburse the Placement Agent for a certain amount of its accountable expenses including actual accountable road show expenses for the offering; the cost associated with the Placement Agent’s use of book-building and compliance software for the Offering, reasonable and documented fees and disbursements of the Placement Agent’s counsel up to an amount of $75,000 (which maximum shall apply solely to such fees and disbursements of counsel and not to other fees and expenses provided for in this paragraph); background checks of our officers and directors; preparation of bound volumes and Lucite cube mementos in such quantities as the Placement Agent may reasonably request; provided that these actual accountable expenses of the placement agent shall not exceed $100,000, including the fees and disbursements of the Placement Agent’s counsel.</w:t>
      </w:r>
    </w:p>
    <w:p>
      <w:pPr>
        <w:spacing w:after="0" w:line="127"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7"/>
          <w:szCs w:val="17"/>
          <w:color w:val="auto"/>
        </w:rPr>
        <w:t>We will, at the closing, grant to Alexander Capital, L.P (or such other recipient as designated by Placement Agent) securities purchase warrants (the “Placement Agent Warrants”) covering a number of securities equal to one percent (1.0%) of the total number of securities being sold and/or issued in the offering. The Placement Agent Warrants will be non-exercisable for six (6) months after the date of the initial closing and will be exercisable and expire five (5) years after the closing. The Placement Agent Warrants will be exercisable at a price per share equal to 100% of the price of the securities paid by the purchasers in connection with this offering. The Placement Agent Warrants will not be redeemable. The Placement Agent Warrants (and the underlying securities) may not be transferred, assigned or hypothecated for a period of one (1) year following closing, except that they may be assigned, in whole or in part, to any successor, officer or member of the Placement Agent (or to officers or partners of any such successor or member) pursuant to FINRA Rule 5110(e)</w:t>
      </w:r>
    </w:p>
    <w:p>
      <w:pPr>
        <w:spacing w:after="0" w:line="4" w:lineRule="exact"/>
        <w:rPr>
          <w:sz w:val="20"/>
          <w:szCs w:val="20"/>
          <w:color w:val="auto"/>
        </w:rPr>
      </w:pP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(2). The Placement Agent Warrants may be exercised in whole or in part, shall provide for “cashless” exercise, and shall provide for customary anti-dilution and price protection.</w:t>
      </w:r>
    </w:p>
    <w:p>
      <w:pPr>
        <w:spacing w:after="0" w:line="11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shows the combined public offering price, placement agent fees and proceeds before expenses to us. Because there is no minimum offering amount required as a condition to closing in this offering, the actual total placement agent fees, if any, are not presently determinable and may be substantially less than the maximum amount set forth below.</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 Pre-Funded</w:t>
            </w:r>
          </w:p>
        </w:tc>
        <w:tc>
          <w:tcPr>
            <w:tcW w:w="128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Maximum</w:t>
            </w:r>
          </w:p>
        </w:tc>
      </w:tr>
      <w:tr>
        <w:trPr>
          <w:trHeight w:val="212"/>
        </w:trPr>
        <w:tc>
          <w:tcPr>
            <w:tcW w:w="436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0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Total Amount</w:t>
            </w:r>
          </w:p>
        </w:tc>
      </w:tr>
      <w:tr>
        <w:trPr>
          <w:trHeight w:val="47"/>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40" w:type="dxa"/>
            <w:vAlign w:val="bottom"/>
            <w:tcBorders>
              <w:bottom w:val="single" w:sz="8" w:color="CCEEFF"/>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fee (7%)</w:t>
            </w: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43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Agrify Corporation</w:t>
            </w: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r>
      <w:tr>
        <w:trPr>
          <w:trHeight w:val="36"/>
        </w:trPr>
        <w:tc>
          <w:tcPr>
            <w:tcW w:w="436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the offering payable by us, excluding the placement agent fees and the reimbursement of the placement agent’s accountable expenses, will be approximately $110,000.</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agreed with the Placement Agent that we will not, without the prior consent of the Placement Agent, and subject to certain exceptions, directly or indirectly sell, offer, contract or grant any option to sell, pledge, transfer, or otherwise dispose of or enter into any transaction which may result in the disposition of any common stock or securities convertible into, exchangeable or exercisable for any common stock for a period of 180 days after the closing of this offering.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460" w:right="459" w:firstLine="432"/>
        <w:spacing w:after="0" w:line="289" w:lineRule="auto"/>
        <w:rPr>
          <w:sz w:val="20"/>
          <w:szCs w:val="20"/>
          <w:color w:val="auto"/>
        </w:rPr>
      </w:pPr>
      <w:r>
        <w:rPr>
          <w:rFonts w:ascii="Times New Roman" w:cs="Times New Roman" w:eastAsia="Times New Roman" w:hAnsi="Times New Roman"/>
          <w:sz w:val="17"/>
          <w:szCs w:val="17"/>
          <w:color w:val="auto"/>
        </w:rPr>
        <w:t>We have agreed to indemnify the Placement Agent against certain liabilities, including liabilities under the Securities Act and liabilities arising from breaches of representations and warranties contained in the agreement, or to contribute to payments that the Placement Agent may be required to make in respect of those liabilities.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actual public offering price of the shares and pre-funded warrants we are offering will be negotiated between us, the Placement Agent and the investors in the offering based on the trading price of our shares prior to the offering, among other things, including a to be negotiated discount to the trading price. Other factors considered in determining the public offering price of the shares and pre-funded warrants we are offering, include our history and prospects,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common stock is quoted on the Nasdaq Capital Market under the symbol “AGFY.”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acting as principal. Under these rules and regulations, the Placement Agent (i) may not engage in any stabilization activity in connection with our securities and (ii) may not bid for or purchase any of our securities or attempt to induce any person to purchase any of our securities, other than as permitted under the Exchange Act, until it has completed its participation in the distribution.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or through other online services maintained by the Placement Agent of this offering, or by its affiliates. Other than the prospectus in electronic format, the information on the Placement Agent’s website and any information contained in any other website maintained by the Placement Agent is not part of this prospectus or the registration statement of which this prospectus forms a part, has not been approved and/or endorsed by us or the Placement Agent in its capacity as Placement Agent, and should not be relied upon by investors.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Placement Agent and its affiliates may in the future provide, from time to time, investment banking and financial advisory services to us in the ordinary course of business, for which they may receive customary fees and commissions.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Placement Agent that would permit a public offering of the securities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Certain legal matters with respect to the validity of the securities offered by this prospectus will be passed upon for us by Sherman &amp; Howard L.L.C., Las Vegas, Nevada and Burns &amp; Levinson LLP, Boston, Massachusetts. Lucosky Brookman LLP, Woodbridge, New Jersey, is acting as counsel to the placement agent in connection with this offering.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financial statements of Agrify Corporation and Subsidiaries as of December 31, 2022 and 2021, for the two years ended December 31, 2022, incorporated by reference into this prospectus, have been audited by Marcum LLP, independent registered public accounting firm, as set forth in their report thereon (which contains an explanatory paragraph relating to substantial doubt about the ability of Agrify Corporation and Subsidiaries to continue as a going concern as described in Note 1 to the financial statements) incorporated by reference into this prospectus, and are included in reliance on the report of such firm given upon their authority as experts in auditing and accounting.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post on our public website (</w:t>
      </w:r>
      <w:r>
        <w:rPr>
          <w:rFonts w:ascii="Times New Roman" w:cs="Times New Roman" w:eastAsia="Times New Roman" w:hAnsi="Times New Roman"/>
          <w:sz w:val="18"/>
          <w:szCs w:val="18"/>
          <w:i w:val="1"/>
          <w:iCs w:val="1"/>
          <w:color w:val="auto"/>
        </w:rPr>
        <w:t>www.agrify.com</w:t>
      </w:r>
      <w:r>
        <w:rPr>
          <w:rFonts w:ascii="Times New Roman" w:cs="Times New Roman" w:eastAsia="Times New Roman" w:hAnsi="Times New Roman"/>
          <w:sz w:val="18"/>
          <w:szCs w:val="18"/>
          <w:color w:val="auto"/>
        </w:rPr>
        <w:t>)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Our website and the information contained on that site, or connected to that site, are not incorporated into and are not a part of this prospectus.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and reports we file with it under File No. 001-39946, which means that we can disclose important information to you by referring you to those publicly available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w:t>
      </w:r>
    </w:p>
    <w:p>
      <w:pPr>
        <w:spacing w:after="0" w:line="116" w:lineRule="exact"/>
        <w:rPr>
          <w:sz w:val="20"/>
          <w:szCs w:val="20"/>
          <w:color w:val="auto"/>
        </w:rPr>
      </w:pPr>
    </w:p>
    <w:p>
      <w:pPr>
        <w:ind w:left="1320" w:right="45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9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2022 filed with the SEC on November 28, 2023;</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9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2023 filed with the SEC on November 28, 2023;</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9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June 30, 2023 filed with the SEC on December 12, 2023;</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9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September 30, 2023 filed with the SEC on January 3, 2024;</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4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94">
        <w:r>
          <w:rPr>
            <w:rFonts w:ascii="Times New Roman" w:cs="Times New Roman" w:eastAsia="Times New Roman" w:hAnsi="Times New Roman"/>
            <w:sz w:val="18"/>
            <w:szCs w:val="18"/>
            <w:u w:val="single" w:color="auto"/>
            <w:color w:val="0000EE"/>
          </w:rPr>
          <w:t>January 6, 2023</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EE"/>
          </w:rPr>
          <w:t>January 24, 2023</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February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7">
        <w:r>
          <w:rPr>
            <w:rFonts w:ascii="Times New Roman" w:cs="Times New Roman" w:eastAsia="Times New Roman" w:hAnsi="Times New Roman"/>
            <w:sz w:val="18"/>
            <w:szCs w:val="18"/>
            <w:u w:val="single" w:color="auto"/>
            <w:color w:val="0000EE"/>
          </w:rPr>
          <w:t>March 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8">
        <w:r>
          <w:rPr>
            <w:rFonts w:ascii="Times New Roman" w:cs="Times New Roman" w:eastAsia="Times New Roman" w:hAnsi="Times New Roman"/>
            <w:sz w:val="18"/>
            <w:szCs w:val="18"/>
            <w:u w:val="single" w:color="auto"/>
            <w:color w:val="0000EE"/>
          </w:rPr>
          <w:t>March 9,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9">
        <w:r>
          <w:rPr>
            <w:rFonts w:ascii="Times New Roman" w:cs="Times New Roman" w:eastAsia="Times New Roman" w:hAnsi="Times New Roman"/>
            <w:sz w:val="18"/>
            <w:szCs w:val="18"/>
            <w:u w:val="single" w:color="auto"/>
            <w:color w:val="0000EE"/>
          </w:rPr>
          <w:t>April 17,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0">
        <w:r>
          <w:rPr>
            <w:rFonts w:ascii="Times New Roman" w:cs="Times New Roman" w:eastAsia="Times New Roman" w:hAnsi="Times New Roman"/>
            <w:sz w:val="18"/>
            <w:szCs w:val="18"/>
            <w:u w:val="single" w:color="auto"/>
            <w:color w:val="0000EE"/>
          </w:rPr>
          <w:t>April 24,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1">
        <w:r>
          <w:rPr>
            <w:rFonts w:ascii="Times New Roman" w:cs="Times New Roman" w:eastAsia="Times New Roman" w:hAnsi="Times New Roman"/>
            <w:sz w:val="18"/>
            <w:szCs w:val="18"/>
            <w:u w:val="single" w:color="auto"/>
            <w:color w:val="0000EE"/>
          </w:rPr>
          <w:t>April 27,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2">
        <w:r>
          <w:rPr>
            <w:rFonts w:ascii="Times New Roman" w:cs="Times New Roman" w:eastAsia="Times New Roman" w:hAnsi="Times New Roman"/>
            <w:sz w:val="18"/>
            <w:szCs w:val="18"/>
            <w:u w:val="single" w:color="auto"/>
            <w:color w:val="0000EE"/>
          </w:rPr>
          <w:t>May 23,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3">
        <w:r>
          <w:rPr>
            <w:rFonts w:ascii="Times New Roman" w:cs="Times New Roman" w:eastAsia="Times New Roman" w:hAnsi="Times New Roman"/>
            <w:sz w:val="18"/>
            <w:szCs w:val="18"/>
            <w:u w:val="single" w:color="auto"/>
            <w:color w:val="0000EE"/>
          </w:rPr>
          <w:t>May 25,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4">
        <w:r>
          <w:rPr>
            <w:rFonts w:ascii="Times New Roman" w:cs="Times New Roman" w:eastAsia="Times New Roman" w:hAnsi="Times New Roman"/>
            <w:sz w:val="18"/>
            <w:szCs w:val="18"/>
            <w:u w:val="single" w:color="auto"/>
            <w:color w:val="0000EE"/>
          </w:rPr>
          <w:t>July 3,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5">
        <w:r>
          <w:rPr>
            <w:rFonts w:ascii="Times New Roman" w:cs="Times New Roman" w:eastAsia="Times New Roman" w:hAnsi="Times New Roman"/>
            <w:sz w:val="18"/>
            <w:szCs w:val="18"/>
            <w:u w:val="single" w:color="auto"/>
            <w:color w:val="0000EE"/>
          </w:rPr>
          <w:t>July 14,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6">
        <w:r>
          <w:rPr>
            <w:rFonts w:ascii="Times New Roman" w:cs="Times New Roman" w:eastAsia="Times New Roman" w:hAnsi="Times New Roman"/>
            <w:sz w:val="18"/>
            <w:szCs w:val="18"/>
            <w:u w:val="single" w:color="auto"/>
            <w:color w:val="0000EE"/>
          </w:rPr>
          <w:t>July 21,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7">
        <w:r>
          <w:rPr>
            <w:rFonts w:ascii="Times New Roman" w:cs="Times New Roman" w:eastAsia="Times New Roman" w:hAnsi="Times New Roman"/>
            <w:sz w:val="18"/>
            <w:szCs w:val="18"/>
            <w:u w:val="single" w:color="auto"/>
            <w:color w:val="0000EE"/>
          </w:rPr>
          <w:t>August 21,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8">
        <w:r>
          <w:rPr>
            <w:rFonts w:ascii="Times New Roman" w:cs="Times New Roman" w:eastAsia="Times New Roman" w:hAnsi="Times New Roman"/>
            <w:sz w:val="18"/>
            <w:szCs w:val="18"/>
            <w:u w:val="single" w:color="auto"/>
            <w:color w:val="0000EE"/>
          </w:rPr>
          <w:t>October 2,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9">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0">
        <w:r>
          <w:rPr>
            <w:rFonts w:ascii="Times New Roman" w:cs="Times New Roman" w:eastAsia="Times New Roman" w:hAnsi="Times New Roman"/>
            <w:sz w:val="18"/>
            <w:szCs w:val="18"/>
            <w:u w:val="single" w:color="auto"/>
            <w:color w:val="0000EE"/>
          </w:rPr>
          <w:t>October 30,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1">
        <w:r>
          <w:rPr>
            <w:rFonts w:ascii="Times New Roman" w:cs="Times New Roman" w:eastAsia="Times New Roman" w:hAnsi="Times New Roman"/>
            <w:sz w:val="18"/>
            <w:szCs w:val="18"/>
            <w:u w:val="single" w:color="auto"/>
            <w:color w:val="0000EE"/>
          </w:rPr>
          <w:t>November 8,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2">
        <w:r>
          <w:rPr>
            <w:rFonts w:ascii="Times New Roman" w:cs="Times New Roman" w:eastAsia="Times New Roman" w:hAnsi="Times New Roman"/>
            <w:sz w:val="18"/>
            <w:szCs w:val="18"/>
            <w:u w:val="single" w:color="auto"/>
            <w:color w:val="0000EE"/>
          </w:rPr>
          <w:t>November 22,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3">
        <w:r>
          <w:rPr>
            <w:rFonts w:ascii="Times New Roman" w:cs="Times New Roman" w:eastAsia="Times New Roman" w:hAnsi="Times New Roman"/>
            <w:sz w:val="18"/>
            <w:szCs w:val="18"/>
            <w:u w:val="single" w:color="auto"/>
            <w:color w:val="0000EE"/>
          </w:rPr>
          <w:t>November 30,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4">
        <w:r>
          <w:rPr>
            <w:rFonts w:ascii="Times New Roman" w:cs="Times New Roman" w:eastAsia="Times New Roman" w:hAnsi="Times New Roman"/>
            <w:sz w:val="18"/>
            <w:szCs w:val="18"/>
            <w:u w:val="single" w:color="auto"/>
            <w:color w:val="0000EE"/>
          </w:rPr>
          <w:t>December 6,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5">
        <w:r>
          <w:rPr>
            <w:rFonts w:ascii="Times New Roman" w:cs="Times New Roman" w:eastAsia="Times New Roman" w:hAnsi="Times New Roman"/>
            <w:sz w:val="18"/>
            <w:szCs w:val="18"/>
            <w:u w:val="single" w:color="auto"/>
            <w:color w:val="0000EE"/>
          </w:rPr>
          <w:t>January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16">
        <w:r>
          <w:rPr>
            <w:rFonts w:ascii="Times New Roman" w:cs="Times New Roman" w:eastAsia="Times New Roman" w:hAnsi="Times New Roman"/>
            <w:sz w:val="18"/>
            <w:szCs w:val="18"/>
            <w:u w:val="single" w:color="auto"/>
            <w:color w:val="0000EE"/>
          </w:rPr>
          <w:t>January 25,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17">
        <w:r>
          <w:rPr>
            <w:rFonts w:ascii="Times New Roman" w:cs="Times New Roman" w:eastAsia="Times New Roman" w:hAnsi="Times New Roman"/>
            <w:sz w:val="18"/>
            <w:szCs w:val="18"/>
            <w:u w:val="single" w:color="auto"/>
            <w:color w:val="0000EE"/>
          </w:rPr>
          <w:t>January 31, 2024</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except for information contained therein which is furnished rather than filed);</w:t>
      </w:r>
    </w:p>
    <w:p>
      <w:pPr>
        <w:spacing w:after="0" w:line="106" w:lineRule="exact"/>
        <w:rPr>
          <w:rFonts w:ascii="Times New Roman" w:cs="Times New Roman" w:eastAsia="Times New Roman" w:hAnsi="Times New Roman"/>
          <w:sz w:val="18"/>
          <w:szCs w:val="18"/>
          <w:color w:val="0000EE"/>
        </w:rPr>
      </w:pPr>
    </w:p>
    <w:p>
      <w:pPr>
        <w:ind w:left="1320" w:hanging="434"/>
        <w:spacing w:after="0"/>
        <w:tabs>
          <w:tab w:leader="none" w:pos="1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118">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December 18, 2023;</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1"/>
        </w:numPr>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auto"/>
          </w:rPr>
          <w:t xml:space="preserve">The description of our Common Stock contained in our registration statement on </w:t>
        </w:r>
        <w:r>
          <w:rPr>
            <w:rFonts w:ascii="Times New Roman" w:cs="Times New Roman" w:eastAsia="Times New Roman" w:hAnsi="Times New Roman"/>
            <w:sz w:val="18"/>
            <w:szCs w:val="18"/>
            <w:u w:val="single" w:color="auto"/>
            <w:color w:val="0000EE"/>
          </w:rPr>
          <w:t>Form 8-</w:t>
        </w:r>
      </w:hyperlink>
      <w:hyperlink r:id="rId119">
        <w:r>
          <w:rPr>
            <w:rFonts w:ascii="Times New Roman" w:cs="Times New Roman" w:eastAsia="Times New Roman" w:hAnsi="Times New Roman"/>
            <w:sz w:val="18"/>
            <w:szCs w:val="18"/>
            <w:u w:val="single" w:color="auto"/>
            <w:color w:val="0000EE"/>
          </w:rPr>
          <w:t>A12B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January 26, 2021; and</w:t>
        </w:r>
      </w:hyperlink>
    </w:p>
    <w:p>
      <w:pPr>
        <w:spacing w:after="0" w:line="94" w:lineRule="exact"/>
        <w:rPr>
          <w:rFonts w:ascii="Times New Roman" w:cs="Times New Roman" w:eastAsia="Times New Roman" w:hAnsi="Times New Roman"/>
          <w:sz w:val="18"/>
          <w:szCs w:val="18"/>
          <w:color w:val="0000EE"/>
        </w:rPr>
      </w:pPr>
    </w:p>
    <w:p>
      <w:pPr>
        <w:jc w:val="both"/>
        <w:ind w:left="1320" w:right="459" w:hanging="434"/>
        <w:spacing w:after="0" w:line="258"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future documents filed by us with the SEC pursuant to Section 13(a), 13(c), 14 or 15(d) of the Exchange Act, including all filings made after the date of the filing of this registration statement and prior to the effectiveness of this registration statement, prior to the termination of the offering of the underlying securities; provided, however, that we are not incorporating by reference any additional documents or information furnished and not filed with the SEC.</w:t>
      </w:r>
    </w:p>
    <w:p>
      <w:pPr>
        <w:spacing w:after="0" w:line="102" w:lineRule="exact"/>
        <w:rPr>
          <w:rFonts w:ascii="Times New Roman" w:cs="Times New Roman" w:eastAsia="Times New Roman" w:hAnsi="Times New Roman"/>
          <w:sz w:val="18"/>
          <w:szCs w:val="18"/>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12" w:lineRule="exact"/>
        <w:rPr>
          <w:rFonts w:ascii="Times New Roman" w:cs="Times New Roman" w:eastAsia="Times New Roman" w:hAnsi="Times New Roman"/>
          <w:sz w:val="18"/>
          <w:szCs w:val="18"/>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 address:</w:t>
      </w:r>
    </w:p>
    <w:p>
      <w:pPr>
        <w:spacing w:after="0" w:line="11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2468 Industrial Row Drive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(855) 420-0020</w:t>
      </w:r>
    </w:p>
    <w:p>
      <w:pPr>
        <w:spacing w:after="0" w:line="16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2580"/>
        <w:spacing w:after="0" w:line="260" w:lineRule="auto"/>
        <w:rPr>
          <w:sz w:val="20"/>
          <w:szCs w:val="20"/>
          <w:color w:val="auto"/>
        </w:rPr>
      </w:pPr>
      <w:r>
        <w:rPr>
          <w:rFonts w:ascii="Times New Roman" w:cs="Times New Roman" w:eastAsia="Times New Roman" w:hAnsi="Times New Roman"/>
          <w:sz w:val="29"/>
          <w:szCs w:val="29"/>
          <w:b w:val="1"/>
          <w:bCs w:val="1"/>
          <w:color w:val="auto"/>
        </w:rPr>
        <w:t>2,014,234 Shares of Common Stock and Pre-Funded Warrants to Purchase 2,014,234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1821815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544830</wp:posOffset>
            </wp:positionV>
            <wp:extent cx="840105" cy="7029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84010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270510</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ALEXANDER CAPITAL,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591185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976630</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in connection with this offering, other than placement agent fees and commissions. All amounts shown are estimates except for the SEC registration fee.</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509.22</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40"/>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41"/>
        </w:trPr>
        <w:tc>
          <w:tcPr>
            <w:tcW w:w="6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211,509.22</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Nevada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a Nevada corporation and generally governed by the Nevada Private Corporations Code, Title 78 of the Nevada Revised Statutes, or NRS.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Discretionary indemnification pursuant to Section 78.7502 may be made as authorized upon determination that the indemnification is proper under the circumstances. Such determination may be made by</w:t>
      </w:r>
    </w:p>
    <w:p>
      <w:pPr>
        <w:jc w:val="both"/>
        <w:ind w:left="460" w:right="459" w:hanging="6"/>
        <w:spacing w:after="0" w:line="253" w:lineRule="auto"/>
        <w:tabs>
          <w:tab w:leader="none" w:pos="6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the shares of common stock and preferred stock and the warrants issued, and options granted, by us in the three years preceding the filing of this registration statement that were not registered under the Securities Act.</w:t>
      </w:r>
    </w:p>
    <w:p>
      <w:pPr>
        <w:spacing w:after="0" w:line="108" w:lineRule="exact"/>
        <w:rPr>
          <w:sz w:val="20"/>
          <w:szCs w:val="20"/>
          <w:color w:val="auto"/>
        </w:rPr>
      </w:pPr>
    </w:p>
    <w:p>
      <w:pPr>
        <w:jc w:val="both"/>
        <w:ind w:left="1320" w:right="459" w:hanging="434"/>
        <w:spacing w:after="0" w:line="266" w:lineRule="auto"/>
        <w:tabs>
          <w:tab w:leader="none" w:pos="1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17, 2021, we granted ten-year options to purchase an aggregate of 5,250 shares of common stock pursuant to ours 2020 Omnibus Equity Incentive Plan to executive officers and directors. The stock options provide for an exercise price per share of $2,768.</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we issued stock options to purchase an aggregate of 40 shares of common stock to an employee in consideration of achieving certain milestones from the acquisition of Harbor Mountain Holdings, LLC.</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we issued an aggregate of 3,332 shares of its common stock to shareholders of Sinclair Scientific in connection with the acquisition of Precision Extraction Solutions and Cascade Sciences. In addition to the shares issued at the closing of the acquisition, we also held back an additional 588 shares of common stock due to shareholders of Sinclair Scientific, which were scheduled to be issued six (6) months after the close, subject to the satisfaction of certain covenants.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we issued an aggregate of 1,202 shares of its common stock to the former shareholders of PurePressure in connection with the acquisition of PurePressure. Additionally, we held back 444 shares of common stock, representing 15% of the value of the closing consideration amount. The shares were held back for a period of twelve months for purposes of satisfying any post-closing adjustments.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25, 2022, we entered into a Securities Purchase Agreement with an institutional investor and other accredited investors for the sale by us of (i) 12,252 shares of common stock, (ii) pre-funded warrants to purchase up to an aggregate of 7,853 shares of common stock and (iii) common warrants to purchase up to an aggregate of 15,079 shares of common stock in a private placement offering. The combined purchase price for one share of common stock (or one pre-funded warrant) and accompanying fraction of a common warrant was $6.80. Subject to certain ownership limitations, the common warrants became exercisable six months from issuance. Each pre-funded warrant was exercisable into one share of common stock at a price per share of $0.001. Each common warrant is exercisable into one share of common stock at a price per share of $1,496 and will expire on the fifth anniversary of the initial exercise date. The gross proceeds to the Company from the private placement approximately $27.3 million, before deducting the placement agent’s fees and other offering expenses, and excluding the proceeds, if any, from the exercise of the warrants.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2022, we issued an aggregate of 1,490 shares of common stock to the former shareholders of LS Holdings Corp. (“Lab Society”) in connection with the acquisition of Lab Society. Additionally, as per the purchase agreement, we held back 638 shares of common stock for a period of twelve months for purposes of satisfying any post-closing adjustments.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14, 2022, we entered into a Securities Purchase Agreement with the Former Lender, pursuant to which we sold to the Former Lender, in exchange for the payment by the Former Lender of $65,000,000, less applicable expenses, (i) a senior secured promissory note in an aggregate principal amount of $65,000,000 (the “Original Note”), and (ii) a warrant (the “Original Warrant”) to purchase up to an aggregate of 34,406 shares of common stock. Each warrant had an exercise price of $1,350 per share, subject to adjustment for stock splits, reverse stock splits, stock dividends and similar transactions, was immediately exercisable, has a term of five and one-half years from the date of issuance and will be exercisable on a cash basis, unless there is not an effective registration statement covering the resale of the shares issuable upon exercise of the warrant, in which case the warrant shall also be exercisable on a cashless exercise basis at the holder’s election.</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17, 2022, we issued 435 shares of Common Stock to the Sinclair Scientific in connection with the finalization of the net working capital settlement from the acquisition of Precision Extraction Solutions and Cascade Sciences.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2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2022, we entered into a Securities Exchange Agreement with the Former Lender, pursuant to which we partially prepaid $35.2 million under the Original Note and exchanged the remaining balance of the Original Note for (i) a new senior secured note (the “Exchange Note”) with an aggregate original principal amount of $35.0 million and (ii) a new warrant to purchase 71,138 shares of common stock (the “</w:t>
      </w:r>
      <w:r>
        <w:rPr>
          <w:rFonts w:ascii="Times New Roman" w:cs="Times New Roman" w:eastAsia="Times New Roman" w:hAnsi="Times New Roman"/>
          <w:sz w:val="18"/>
          <w:szCs w:val="18"/>
          <w:u w:val="single" w:color="auto"/>
          <w:color w:val="auto"/>
        </w:rPr>
        <w:t>Note Exchange Warrant</w:t>
      </w:r>
      <w:r>
        <w:rPr>
          <w:rFonts w:ascii="Times New Roman" w:cs="Times New Roman" w:eastAsia="Times New Roman" w:hAnsi="Times New Roman"/>
          <w:sz w:val="18"/>
          <w:szCs w:val="18"/>
          <w:color w:val="auto"/>
        </w:rPr>
        <w:t>”). Additionally, we exchanged the Original Warrant for a new warrant for the same number of underlying shares but with a reduced exercise price (the “Warrant Exchange Warrant”). The Warrant Exchange Warrant has an exercise price of $430 per share, subject to adjustment for stock splits, reverse stock splits, stock dividends and similar transactions, will be exercisable on and after the six-month anniversary of issuance, has a term of five and one-half years from the date of issuance and is exercisable on a cash basis, unless there is not an effective registration statement covering the resale of the shares issuable upon exercise of the Warrant Exchange Warrant, in which case the Warrant Exchange Warrant will also be exercisable on a cashless exercise basis at the holder’s election. The Note Exchange Warrant has an exercise price of $246 per share, subject to adjustment for stock splits, reverse stock splits, stock dividends and similar transactions, was exercisable upon issuance, has a term of five and one-half years from the date of issuance and is exercisable on a cash basis, unless there is not an effective registration statement covering the resale of the shares issuable upon exercise of the warrant, in which case the Note Exchange Warrant will also be exercisable on a cashless exercise basis at the holder’s election.</w:t>
      </w:r>
    </w:p>
    <w:p>
      <w:pPr>
        <w:spacing w:after="0" w:line="123"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3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8, 2023, we entered into a Securities Exchange Agreement with the Former Lender, pursuant to which we prepaid approximately $10.3 million in principal amount under the Exchange Note and exchanged $10.0 in principal amount of the remaining balance of the Exchange Note for a new senior secured convertible note (the “Convertible Note”) with an original principal amount of $10.0 million. At issuance, the conversion price under the Convertible Note was $7.64.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4" w:lineRule="auto"/>
        <w:tabs>
          <w:tab w:leader="none" w:pos="12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26, 2023, we entered into a letter agreement with the Former Lender, pursuant to which we agreed to exchange $2.0 million of the remaining outstanding principal amount under the Exchange Note for 445,196 shares (the “Exchange Shares”) of common stock. To the extent that receipt of Exchange Shares would cause the Former Lender to beneficially own in excess of 4.99% of common stock immediately after such exchange, we will only issue that number of Exchange Shares that would not cause the Former Lender to exceed the beneficial ownership limitation, with the balance to be held in abeyance until such balance (or a portion thereof) may be issued in compliance with the beneficial ownership limitation.</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12, 2023, we issued a promissory note with an original principal amount of $500,000 in favor of GIC Acquisition, LLC, an entity that is owned and managed by Raymond Chang, our Chairman and Chief Executive Officer.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2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we issued a junior secured promissory note to CP Acquisitions, LLC, an entity that is owned and managed by Raymond Chang, our Chairman and Chief Executive Officer, and I-Tseng Jenny Chan, a member of our Board of Directors. Pursuant to the note, CP Acquisitions will lend up to $3,000,000.</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and with an effective date as of October 18, 2023, we entered into a Modification and Settlement Agreement with Mack Molding Company. As part of the Modification Agreement, we issued to Mack a warrant to purchase 750,000 shares of the common stock. The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the holder’s election.</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we entered into a letter agreement with the Former Lender, pursuant to which we agreed to exchange $3.0 million in principal and approximately $1.1 million in accrued but unpaid interest outstanding under the Exchange Note for a warrant (the “Exchange Warrant”) to purchase 2,809,669 shares of common stock. Additionally, we agreed to exchange the 375,629 shares of common stock held in abeyance for the Former Lender as Exchange Shares under the April 26, 2023 letter agreement for a warrant to purchase 375,629 shares of common stock (the “Abeyance Warrant”). Each warrant has an exercise price of $0.001 per share, was exercisable upon issuance, has a term of five years from the date of issuance and is exercisable on a cash basis or on a cashless exercise basis at the holder’s election.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this Item 15 were deemed to be exempt from registration under the Securities Act in reliance on Section 4(a)(2) of the Securities Act and Rule 506 promulgated under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48" w:lineRule="exact"/>
        <w:rPr>
          <w:sz w:val="20"/>
          <w:szCs w:val="20"/>
          <w:color w:val="auto"/>
        </w:rPr>
      </w:pPr>
    </w:p>
    <w:p>
      <w:pPr>
        <w:ind w:left="880" w:hanging="426"/>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Exhibit Index immediately before the Signature Pages.</w:t>
      </w:r>
    </w:p>
    <w:p>
      <w:pPr>
        <w:spacing w:after="0" w:line="157" w:lineRule="exact"/>
        <w:rPr>
          <w:rFonts w:ascii="Times New Roman" w:cs="Times New Roman" w:eastAsia="Times New Roman" w:hAnsi="Times New Roman"/>
          <w:sz w:val="18"/>
          <w:szCs w:val="18"/>
          <w:color w:val="auto"/>
        </w:rPr>
      </w:pPr>
    </w:p>
    <w:p>
      <w:pPr>
        <w:ind w:left="840" w:hanging="386"/>
        <w:spacing w:after="0"/>
        <w:tabs>
          <w:tab w:leader="none" w:pos="8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either inapplicable or the required information has been given in the financial statements or notes thereto.</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jc w:val="both"/>
        <w:ind w:left="880" w:right="459" w:hanging="426"/>
        <w:spacing w:after="0" w:line="255" w:lineRule="auto"/>
        <w:tabs>
          <w:tab w:leader="none" w:pos="87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6" w:lineRule="exact"/>
        <w:rPr>
          <w:sz w:val="20"/>
          <w:szCs w:val="20"/>
          <w:color w:val="auto"/>
        </w:rPr>
      </w:pPr>
    </w:p>
    <w:p>
      <w:pPr>
        <w:ind w:left="840" w:hanging="386"/>
        <w:spacing w:after="0"/>
        <w:tabs>
          <w:tab w:leader="none" w:pos="8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23"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6"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33"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7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in the initial distribution of the securities, the undersigned registrant undertakes that in a primary offering of securities of the undersigned registrant pursuant to this registration statement, regardless of the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6"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27"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 (§230.424 of this chapter);</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3"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33"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3"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7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27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20" w:type="dxa"/>
            <w:vAlign w:val="bottom"/>
            <w:gridSpan w:val="15"/>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13"/>
        </w:trPr>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12"/>
          </w:tcPr>
          <w:p>
            <w:pPr>
              <w:ind w:left="5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47"/>
        </w:trPr>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4"/>
                <w:szCs w:val="14"/>
                <w:color w:val="auto"/>
              </w:rPr>
            </w:pPr>
          </w:p>
        </w:tc>
        <w:tc>
          <w:tcPr>
            <w:tcW w:w="7140" w:type="dxa"/>
            <w:vAlign w:val="bottom"/>
            <w:gridSpan w:val="1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Form of Placement Agency Agreement between the Registrant and Alexander Capital, L.P.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8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7140" w:type="dxa"/>
            <w:vAlign w:val="bottom"/>
            <w:gridSpan w:val="18"/>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Plan of Merger and Equity Purchase Agreement, dated as of September 29, 2021, among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Registrant, Sinclair Scientific, LLC, Mass2Media, LLC dba PX2 Holdings, LLC, and each of the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equity holders of Sinclair Scientific, LLC named therein (incorporated by reference to Exhibit 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to the Registrant’s Current Report on Form 8-K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Commission on October 5, 2021</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5"/>
                <w:szCs w:val="15"/>
                <w:color w:val="auto"/>
              </w:rPr>
            </w:pPr>
          </w:p>
        </w:tc>
        <w:tc>
          <w:tcPr>
            <w:tcW w:w="7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Amendment to Plan of Merger and Equity Purchase Agreement, dated as of October 1, 2021,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between the Registrant and Sinclair Scientific, LLC (incorporated by reference to Exhibit 2.2 to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the Registrant’s Current Report on Form 8-K filed with the Securities and Exchange Commission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on October 4,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5"/>
                <w:szCs w:val="15"/>
                <w:color w:val="auto"/>
              </w:rPr>
            </w:pPr>
          </w:p>
        </w:tc>
        <w:tc>
          <w:tcPr>
            <w:tcW w:w="7140" w:type="dxa"/>
            <w:vAlign w:val="bottom"/>
            <w:gridSpan w:val="18"/>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Membership Interest Purchase Agreement, dated as of December 31, 2021, among the Registrant,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PurePressure, LLC, Benjamin Britton as Member Representative, and each of the equity holders of</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PurePressure, LLC named therein (incorporated by reference to Exhibit 2.1 to the Registrant’s</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Current Report on Form 8-K filed with the Securities and Exchange Commission on January 5,</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2022)</w:t>
              </w:r>
            </w:hyperlink>
          </w:p>
        </w:tc>
        <w:tc>
          <w:tcPr>
            <w:tcW w:w="1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Merger Agreement, dated as of February 1, 2022, among the Registrant, LS Holdings Corp., Lab</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Society NewCo, LLC, Michael S. Maibach Jr. as Owner Representative, and each of the Owners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named therein (incorporated by reference to Exhibit 2.1 to the Registrant’s Current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8-K filed with the Securities and Exchange Commission on February 2,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Articles of Incorporation of the Registrant, as amended (incorporated by reference to Exhibit 3.1</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to the Registrant’s Amendment No. 1 to Registration Statement on Form S-1 filed with the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Securities and Exchange Commission on January 13, 2021)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Third Amended and Restated Certificate of Designations of the Series A Convertible Preferred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Stock of the Registrant (incorporated by reference to Exhibit 3.2 to the Registrant’s Amendment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No. 1 to Registration Statement on Form S-1 filed with the Securities and Exchange Commission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on January 13,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Amended and Restated Bylaws of the Registrant (incorporated by reference to Exhibit 3.3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Registrant’s Amendment No. 2 to Registration Statement on Form S-1 filed with the Securities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and Exchange Commission on January 26, 2021)</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Certificate of Amendment to the Articles of Incorporation of the Registrant, filed July 11, 2022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(incorporated by reference to Exhibit 3.1 to the Registrant’s Current Report on Form 8-K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with the Securities and Exchange Commission on July 14,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Certificate of Amendment to the Articles of Incorporation of the Registrant, filed October 17,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2022 (incorporated by reference to Exhibit 3.1 to the Registrant’s Current Report on Form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filed with the Securities and Exchange Commission on October 17, 2022).</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Certificate of Amendment to the Articles of Incorporation of the Registrant, filed March 1, 2023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(incorporated by reference to Exhibit 3.1 to the Registrant’s Current Report on Form 8-K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with the Securities and Exchange Commission on March 3,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5"/>
                <w:szCs w:val="15"/>
                <w:color w:val="auto"/>
              </w:rPr>
            </w:pPr>
          </w:p>
        </w:tc>
        <w:tc>
          <w:tcPr>
            <w:tcW w:w="7140" w:type="dxa"/>
            <w:vAlign w:val="bottom"/>
            <w:gridSpan w:val="18"/>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Certificate of Change to Articles of Incorporation of Agrify Corporation, filed June 30, 2023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(incorporated by reference to Exhibit 3.1 to the Registrant’s Current Report on Form 8-K filed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with the Securities and Exchange Commission on July 3, 2023).</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5"/>
                <w:szCs w:val="15"/>
                <w:color w:val="auto"/>
              </w:rPr>
            </w:pPr>
          </w:p>
        </w:tc>
        <w:tc>
          <w:tcPr>
            <w:tcW w:w="7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Certificate of Amendment to the Articles of Incorporation of the Registrant, filed January 22, 2024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(incorporated by reference to Exhibit 3.1 to the Registrant’s Current Report on Form 8-K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with the Securities and Exchange Commission on January 25,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Form of Common Stock Certificate (incorporated by reference to Exhibit 4.1 to the Registrant’s</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Amendment No. 2 to Registration Statement on Form S-1 filed with the Securities and Exchange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Commission on January 26, 2021)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5"/>
                <w:szCs w:val="15"/>
                <w:color w:val="auto"/>
              </w:rPr>
            </w:pPr>
          </w:p>
        </w:tc>
        <w:tc>
          <w:tcPr>
            <w:tcW w:w="7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Representative’s Warrant dated February 19, 2021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5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60" w:type="dxa"/>
            <w:vAlign w:val="bottom"/>
            <w:gridSpan w:val="10"/>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Registrant’s Registration Statement on Form S-1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Commission on February 11,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Representative’s Warrant dated January 27, 2021 (incorporated by reference to Exhibit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Registrant’s Amendment No. 2 to Registration Statement on Form S-1 filed with the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Securities and Exchange Commission on January 26, 2021)</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Warrant issued to Noteholders (incorporated by reference to Exhibit 4.3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Registrant’s Registration Statement on Form S-1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Commission on December 22, 2020)</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20" w:type="dxa"/>
            <w:vAlign w:val="bottom"/>
            <w:gridSpan w:val="9"/>
          </w:tcPr>
          <w:p>
            <w:pPr>
              <w:ind w:left="3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46"/>
        </w:trPr>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6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14"/>
                <w:szCs w:val="14"/>
                <w:color w:val="auto"/>
              </w:rPr>
            </w:pPr>
          </w:p>
        </w:tc>
        <w:tc>
          <w:tcPr>
            <w:tcW w:w="7140" w:type="dxa"/>
            <w:vAlign w:val="bottom"/>
            <w:tcBorders>
              <w:bottom w:val="single" w:sz="8" w:color="0000EE"/>
            </w:tcBorders>
            <w:gridSpan w:val="18"/>
            <w:shd w:val="clear" w:color="auto" w:fill="CCEEFF"/>
          </w:tcPr>
          <w:p>
            <w:pPr>
              <w:spacing w:after="0" w:line="169"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Description of Registrant’s Securities (incorporated by reference to Exhibit 4.5 to the Registrant’s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Annual Report on Form 10-K filed with the Securities and Exchange Commission on April 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2021)</w:t>
              </w:r>
            </w:hyperlink>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Common Stock Purchase Warrant dated January 28, 2022 (incorporated by reference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Exhibit 4.2 to the Registrant’s Current Report on Form 8-K filed with the Securities and Exchange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Commission on January 26, 2022)</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5"/>
                <w:szCs w:val="15"/>
                <w:color w:val="auto"/>
              </w:rPr>
            </w:pPr>
          </w:p>
        </w:tc>
        <w:tc>
          <w:tcPr>
            <w:tcW w:w="7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Form of Senior Secured Note (incorporated by reference to Exhibit 4.1 to the Registrant’s Current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Report on Form 8-K filed with the Securities and Exchange Commission on August 19, 2022).</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Warrant Exchange Warrant (incorporated by reference to Exhibit 4.2 to the Registrant’s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Current Report on Form 8-K filed with the Securities and Exchange Commission on August 19,</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2022).</w:t>
              </w:r>
            </w:hyperlink>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Note Exchange Warrant (incorporated by reference to Exhibit 4.3 to the Registrant’s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Current Report on Form 8-K filed with the Securities and Exchange Commission on August 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2022).</w:t>
              </w:r>
            </w:hyperlink>
          </w:p>
        </w:tc>
        <w:tc>
          <w:tcPr>
            <w:tcW w:w="20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880" w:type="dxa"/>
            <w:vAlign w:val="bottom"/>
            <w:tcBorders>
              <w:top w:val="single" w:sz="8" w:color="0000EE"/>
            </w:tcBorders>
            <w:shd w:val="clear" w:color="auto" w:fill="CCEEFF"/>
          </w:tcPr>
          <w:p>
            <w:pPr>
              <w:spacing w:after="0"/>
              <w:rPr>
                <w:sz w:val="17"/>
                <w:szCs w:val="17"/>
                <w:color w:val="auto"/>
              </w:rPr>
            </w:pPr>
          </w:p>
        </w:tc>
        <w:tc>
          <w:tcPr>
            <w:tcW w:w="124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620" w:type="dxa"/>
            <w:vAlign w:val="bottom"/>
            <w:tcBorders>
              <w:top w:val="single" w:sz="8" w:color="0000EE"/>
            </w:tcBorders>
            <w:shd w:val="clear" w:color="auto" w:fill="CCEEFF"/>
          </w:tcPr>
          <w:p>
            <w:pPr>
              <w:spacing w:after="0"/>
              <w:rPr>
                <w:sz w:val="17"/>
                <w:szCs w:val="17"/>
                <w:color w:val="auto"/>
              </w:rPr>
            </w:pPr>
          </w:p>
        </w:tc>
        <w:tc>
          <w:tcPr>
            <w:tcW w:w="7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5"/>
                <w:szCs w:val="15"/>
                <w:color w:val="auto"/>
              </w:rPr>
            </w:pPr>
          </w:p>
        </w:tc>
        <w:tc>
          <w:tcPr>
            <w:tcW w:w="7140" w:type="dxa"/>
            <w:vAlign w:val="bottom"/>
            <w:gridSpan w:val="18"/>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Pre-Funded Warrant (incorporated by reference to Exhibit 4.1 to the Registrant’s Current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Report on Form 8-K filed with the Securities and Exchange Commission on December 16, 2022)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Common Warrant (incorporated by reference to Exhibit 4.2 to the Registrant’s Current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Report on Form 8-K filed with the Securities and Exchange Commission on December 16,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Senior Secured Convertible Note (incorporated by reference to Exhibit 4.1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Registrant’s Current Report on Form 8-K filed with the Securities and Exchange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March 9, 2023)</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Amendment to Senior Secured Note (incorporated by reference to Exhibit 4.2 to the Registrant’s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Current Report on Form 8-K filed with the Securities and Exchange Commission on March 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2023)</w:t>
              </w:r>
            </w:hyperlink>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Exchange Warrant, dated October 27, 2023 (incorporated by reference to Exhibit 4.1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Registrant’s Current Report on Form 8-K filed with the Securities and Exchange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October 30, 2023)</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Common Stock Purchase Warrant, dated October 27, 2023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Registrant’s Current Report on Form 8-K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Commission on October 30, 2023)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Amended and Restated Junior Secured Promissory Note (incorporated by reference to Exhibit 4.4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to the Registrant’s Current Report on Form 8-K filed with the Securities and Exchange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Commission on October 30, 2023)</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5"/>
                <w:szCs w:val="15"/>
                <w:color w:val="auto"/>
              </w:rPr>
            </w:pPr>
          </w:p>
        </w:tc>
        <w:tc>
          <w:tcPr>
            <w:tcW w:w="714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Junior Secured Promissory Note (incorporated by reference to Exhibit 4.5 to the Registrant’s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Current Report on Form 8-K filed with the Securities and Exchange Commission on October 30,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2023)</w:t>
              </w:r>
            </w:hyperlink>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Amendment to Junior Secured Promissory Note, dated December 4, 2023, between Agrify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Corporation and CP Acquisitions, LLC (incorporated by reference to Exhibit 4.1 to the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Registrant’s Current Report on Form 8-K filed with the Securities and Exchange Commission on</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December 6, 2023).</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Senior  Secured  Amended,  Restated  and  Consolidated  Convertible  Promissory  Note  dated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January 25, 2024 (incorporated by reference to Exhibit 4.1 to the Registrant’s Current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Form 8-K filed with the Securities and Exchange Commission on January 25,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5"/>
                <w:szCs w:val="15"/>
                <w:color w:val="auto"/>
              </w:rPr>
            </w:pPr>
          </w:p>
        </w:tc>
        <w:tc>
          <w:tcPr>
            <w:tcW w:w="714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Second Amended and Restated Junior Secured Promissory Note dated January 25, 2024</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19"/>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(incorporated by reference to Exhibit 4.2 to the Registrant’s Current Report on Form 8-K filed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with the Securities and Exchange Commission on January 25, 2024).</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5"/>
                <w:szCs w:val="15"/>
                <w:color w:val="auto"/>
              </w:rPr>
            </w:pPr>
          </w:p>
        </w:tc>
        <w:tc>
          <w:tcPr>
            <w:tcW w:w="7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Pre-Funded Warrant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4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60" w:type="dxa"/>
            <w:vAlign w:val="bottom"/>
            <w:tcBorders>
              <w:top w:val="single" w:sz="8" w:color="0000EE"/>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5"/>
                <w:szCs w:val="15"/>
                <w:color w:val="auto"/>
              </w:rPr>
            </w:pPr>
          </w:p>
        </w:tc>
        <w:tc>
          <w:tcPr>
            <w:tcW w:w="71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Form of Placement Agent Warrant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5"/>
                <w:szCs w:val="15"/>
                <w:color w:val="auto"/>
              </w:rPr>
            </w:pPr>
          </w:p>
        </w:tc>
        <w:tc>
          <w:tcPr>
            <w:tcW w:w="71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Sherman &amp; Howard, L.L.C.</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4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660" w:type="dxa"/>
            <w:vAlign w:val="bottom"/>
            <w:tcBorders>
              <w:top w:val="single" w:sz="8" w:color="0000EE"/>
            </w:tcBorders>
            <w:shd w:val="clear" w:color="auto" w:fill="CCEEFF"/>
          </w:tcPr>
          <w:p>
            <w:pPr>
              <w:spacing w:after="0"/>
              <w:rPr>
                <w:sz w:val="7"/>
                <w:szCs w:val="7"/>
                <w:color w:val="auto"/>
              </w:rPr>
            </w:pPr>
          </w:p>
        </w:tc>
        <w:tc>
          <w:tcPr>
            <w:tcW w:w="38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CCEEFF"/>
            </w:tcBorders>
            <w:shd w:val="clear" w:color="auto" w:fill="CCEEFF"/>
          </w:tcPr>
          <w:p>
            <w:pPr>
              <w:spacing w:after="0"/>
              <w:rPr>
                <w:sz w:val="7"/>
                <w:szCs w:val="7"/>
                <w:color w:val="auto"/>
              </w:rPr>
            </w:pPr>
          </w:p>
        </w:tc>
        <w:tc>
          <w:tcPr>
            <w:tcW w:w="124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5"/>
                <w:szCs w:val="15"/>
                <w:color w:val="auto"/>
              </w:rPr>
            </w:pPr>
          </w:p>
        </w:tc>
        <w:tc>
          <w:tcPr>
            <w:tcW w:w="71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Opinion of Burns &amp; Levinson LLP</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Operating Agreement of Agrify-Valiant, LLC dated December 8, 2019 (incorporated by reference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to Exhibit 10.1 to the Registrant’s Registration Statement on Form S-1 filed with the Securities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and Exchange Commission on December 22, 2020)</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7140" w:type="dxa"/>
            <w:vAlign w:val="bottom"/>
            <w:gridSpan w:val="18"/>
          </w:tcPr>
          <w:p>
            <w:pPr>
              <w:spacing w:after="0" w:line="17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Distribution Agreement dated June 7, 2019 between the Registrant and Bluezone Products, Inc.±</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80" w:type="dxa"/>
            <w:vAlign w:val="bottom"/>
            <w:gridSpan w:val="13"/>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(incorporated by reference to Exhibit 10.2 to the Registrant’s Registration Statement on Form S-1</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filed with the Securities and Exchange Commission on December 22, 2020)</w:t>
              </w:r>
            </w:hyperlink>
          </w:p>
        </w:tc>
        <w:tc>
          <w:tcPr>
            <w:tcW w:w="16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60"/>
        <w:spacing w:after="0"/>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67">
        <w:r>
          <w:rPr>
            <w:rFonts w:ascii="Times New Roman" w:cs="Times New Roman" w:eastAsia="Times New Roman" w:hAnsi="Times New Roman"/>
            <w:sz w:val="18"/>
            <w:szCs w:val="18"/>
            <w:u w:val="single" w:color="auto"/>
            <w:color w:val="0000EE"/>
          </w:rPr>
          <w:t>Distribution Agreement dated March 9, 2020 between the Registrant and Enozo Technologies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4375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8">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spacing w:after="0" w:line="7" w:lineRule="exact"/>
        <w:rPr>
          <w:sz w:val="20"/>
          <w:szCs w:val="20"/>
          <w:color w:val="auto"/>
        </w:rPr>
      </w:pPr>
    </w:p>
    <w:p>
      <w:pPr>
        <w:ind w:left="1580" w:hanging="154"/>
        <w:spacing w:after="0"/>
        <w:tabs>
          <w:tab w:leader="none" w:pos="1580" w:val="left"/>
        </w:tabs>
        <w:numPr>
          <w:ilvl w:val="0"/>
          <w:numId w:val="49"/>
        </w:numPr>
        <w:rPr>
          <w:rFonts w:ascii="Times New Roman" w:cs="Times New Roman" w:eastAsia="Times New Roman" w:hAnsi="Times New Roman"/>
          <w:sz w:val="18"/>
          <w:szCs w:val="18"/>
          <w:u w:val="single" w:color="auto"/>
          <w:color w:val="0000EE"/>
        </w:rPr>
      </w:pPr>
      <w:hyperlink r:id="rId167">
        <w:r>
          <w:rPr>
            <w:rFonts w:ascii="Times New Roman" w:cs="Times New Roman" w:eastAsia="Times New Roman" w:hAnsi="Times New Roman"/>
            <w:sz w:val="18"/>
            <w:szCs w:val="18"/>
            <w:u w:val="single" w:color="auto"/>
            <w:color w:val="0000EE"/>
          </w:rPr>
          <w:t>(incorporated by reference to Exhibit 10.3 to the Registrant’s Registration Statement on Form S-</w:t>
        </w:r>
      </w:hyperlink>
    </w:p>
    <w:p>
      <w:pPr>
        <w:spacing w:after="0" w:line="9" w:lineRule="exact"/>
        <w:rPr>
          <w:rFonts w:ascii="Times New Roman" w:cs="Times New Roman" w:eastAsia="Times New Roman" w:hAnsi="Times New Roman"/>
          <w:sz w:val="18"/>
          <w:szCs w:val="18"/>
          <w:u w:val="single" w:color="auto"/>
          <w:color w:val="0000EE"/>
        </w:rPr>
      </w:pPr>
    </w:p>
    <w:p>
      <w:pPr>
        <w:ind w:left="1420"/>
        <w:spacing w:after="0"/>
        <w:rPr>
          <w:rFonts w:ascii="Times New Roman" w:cs="Times New Roman" w:eastAsia="Times New Roman" w:hAnsi="Times New Roman"/>
          <w:sz w:val="18"/>
          <w:szCs w:val="18"/>
          <w:u w:val="single" w:color="auto"/>
          <w:color w:val="0000EE"/>
        </w:rPr>
      </w:pPr>
      <w:hyperlink r:id="rId167">
        <w:r>
          <w:rPr>
            <w:rFonts w:ascii="Times New Roman" w:cs="Times New Roman" w:eastAsia="Times New Roman" w:hAnsi="Times New Roman"/>
            <w:sz w:val="18"/>
            <w:szCs w:val="18"/>
            <w:u w:val="single" w:color="auto"/>
            <w:color w:val="0000EE"/>
          </w:rPr>
          <w:t>1 filed with the Securities and Exchange Commission on December 22, 2020)</w:t>
        </w:r>
      </w:hyperlink>
    </w:p>
    <w:p>
      <w:pPr>
        <w:spacing w:after="0" w:line="31" w:lineRule="exact"/>
        <w:rPr>
          <w:rFonts w:ascii="Times New Roman" w:cs="Times New Roman" w:eastAsia="Times New Roman" w:hAnsi="Times New Roman"/>
          <w:sz w:val="18"/>
          <w:szCs w:val="18"/>
          <w:u w:val="single" w:color="auto"/>
          <w:color w:val="0000EE"/>
        </w:rPr>
      </w:pPr>
    </w:p>
    <w:p>
      <w:pPr>
        <w:jc w:val="both"/>
        <w:ind w:left="1420" w:right="479" w:hanging="971"/>
        <w:spacing w:after="0" w:line="266"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69">
        <w:r>
          <w:rPr>
            <w:rFonts w:ascii="Times New Roman" w:cs="Times New Roman" w:eastAsia="Times New Roman" w:hAnsi="Times New Roman"/>
            <w:sz w:val="18"/>
            <w:szCs w:val="18"/>
            <w:u w:val="single" w:color="auto"/>
            <w:color w:val="0000EE"/>
          </w:rPr>
          <w:t>Purchase Agreement dated as of July 28, 2020 between the Registrant and 4D Bios Inc.±</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(incorporated by reference to Exhibit 10.4 to the Registrant’s Registration Statement on Form S-1</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filed with the Securities and Exchange Commission on December 22, 2020)</w:t>
        </w:r>
      </w:hyperlink>
    </w:p>
    <w:p>
      <w:pPr>
        <w:spacing w:after="0" w:line="176"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461"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00" w:type="dxa"/>
            <w:vAlign w:val="bottom"/>
            <w:gridSpan w:val="16"/>
          </w:tcPr>
          <w:p>
            <w:pPr>
              <w:ind w:left="1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46"/>
        </w:trPr>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6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14"/>
                <w:szCs w:val="14"/>
                <w:color w:val="auto"/>
              </w:rPr>
            </w:pPr>
          </w:p>
        </w:tc>
        <w:tc>
          <w:tcPr>
            <w:tcW w:w="7140" w:type="dxa"/>
            <w:vAlign w:val="bottom"/>
            <w:tcBorders>
              <w:bottom w:val="single" w:sz="8" w:color="0000EE"/>
            </w:tcBorders>
            <w:gridSpan w:val="19"/>
            <w:shd w:val="clear" w:color="auto" w:fill="CCEEFF"/>
          </w:tcPr>
          <w:p>
            <w:pPr>
              <w:spacing w:after="0" w:line="169"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Employment Agreement dated as of January 4, 2021 between the Registrant and Raymond Chang</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(incorporated by reference to Exhibit 10.5 to the Registrant’s Annual Report on Form 10-K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with the Securities and Exchange Commission on April 2, 2021)</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7140" w:type="dxa"/>
            <w:vAlign w:val="bottom"/>
            <w:gridSpan w:val="19"/>
          </w:tcPr>
          <w:p>
            <w:pPr>
              <w:spacing w:after="0" w:line="17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2020 Omnibus Equity Incentive Plan (incorporated by reference to Exhibit 10.13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20"/>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Registrant’s Registration Statement on Form S-1 filed with the Securities and Exchange</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Commission on December 22, 2020)</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5"/>
                <w:szCs w:val="15"/>
                <w:color w:val="auto"/>
              </w:rPr>
            </w:pPr>
          </w:p>
        </w:tc>
        <w:tc>
          <w:tcPr>
            <w:tcW w:w="714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Intellectual Property Assignment and Transfer Agreement by and among the Registrant, Agrify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Brands, LLC and The Holden Company effective as of January 1, 2020 (incorporated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to Exhibit 10.16 to the Registrant’s Registration Statement on Form S-1 filed with the Securities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and Exchange Commission on December 22,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5"/>
                <w:szCs w:val="15"/>
                <w:color w:val="auto"/>
              </w:rPr>
            </w:pPr>
          </w:p>
        </w:tc>
        <w:tc>
          <w:tcPr>
            <w:tcW w:w="714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Supply Agreement by and among the Registrant and Mack Molding Co. dated December 7, 2020±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(incorporated by reference to Exhibit 10.15 to the Registrant’s Amendment No. 1 to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20"/>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Statement on Form S-1 filed with the Securities and Exchange Commission on January 13, 2021)</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Amended and Restated Operating Agreement of Agrify Brands, LLC effective as of August 12,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2020 (incorporated by reference to Exhibit 10.18 to the Registrant’s Registration Statement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Form S-1 filed with the Securities and Exchange Commission on December 22,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5"/>
                <w:szCs w:val="15"/>
                <w:color w:val="auto"/>
              </w:rPr>
            </w:pPr>
          </w:p>
        </w:tc>
        <w:tc>
          <w:tcPr>
            <w:tcW w:w="714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Indemnification Agreement with directors and executive officers (incorporated by</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reference to Exhibit 10.18 to the Registrant’s Registration Statement on Form S-1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20"/>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Securities and Exchange Commission on February 11, 2021)</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71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Employment Agreement, dated as of November 10, 2021, between the Registrant and Timothy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Oakes† (incorporated by reference to Exhibit 10.2 to the Registrant’s Current Report on Form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filed with the Securities and Exchange Commission on November 15,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5"/>
                <w:szCs w:val="15"/>
                <w:color w:val="auto"/>
              </w:rPr>
            </w:pPr>
          </w:p>
        </w:tc>
        <w:tc>
          <w:tcPr>
            <w:tcW w:w="714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Form of Securities Purchase Agreement, dated as of January 25, 2022, between the Registrant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the Purchasers party thereto (incorporated by reference to Exhibit 10.1 to the Registrant’s Current</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20"/>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Report on Form 8-K filed with the Securities and Exchange Commission on January 26, 2022</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5"/>
                <w:szCs w:val="15"/>
                <w:color w:val="auto"/>
              </w:rPr>
            </w:pPr>
          </w:p>
        </w:tc>
        <w:tc>
          <w:tcPr>
            <w:tcW w:w="714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Form of Securities Purchase Agreement, dated as of March 14, 2022, between the Registrant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High Trail Special Situations LLC (incorporated by reference to Exhibit 10.1 to the Registrant’s</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Current Report on Form 8-K filed with the Securities and Exchange Commission on March 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2022)</w:t>
              </w:r>
            </w:hyperlink>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714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Agrify Corporation 2022 Omnibus Equity Incentive Plan (incorporated by reference to Appendix</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20"/>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 to the Registrant’s Definitive Proxy Statement on Schedule 14A filed with the Securities and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Exchange Commission on April 29, 2022)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714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Agrify Corporation 2022 Employee Stock Purchase Plan (incorporated by reference to Appendix</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B to the Registrant’s Definitive Proxy Statement on Schedule 14A filed with the Securities and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Exchange Commission on April 29,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714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Separation Agreement of Thomas Massie, dated as of July 8, 2022 (incorporated by reference to</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Exhibit 10.2 to the Registrant’s Current Report on Form 8-K filed with the Securities and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20"/>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Exchange Commission on July 14, 2022).</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71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Employment  Agreement,  dated  as  of  July  14,  2022,  between  the  Registrant  and  Stuart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Wilcox (incorporated by reference to Exhibit 10.1 to the Registrant’s Current Report on Form 8-K</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filed with the Securities and Exchange Commission on July 14, 2022).</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5"/>
                <w:szCs w:val="15"/>
                <w:color w:val="auto"/>
              </w:rPr>
            </w:pPr>
          </w:p>
        </w:tc>
        <w:tc>
          <w:tcPr>
            <w:tcW w:w="714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Exchange Agreement, dated as of August 18, 2022, between the Registrant and High Trail Special</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20"/>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Situations LLC (incorporated by reference to Exhibit 10.1 to the Registrant’s Current Report on</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Form 8-K filed with the Securities and Exchange Commission on August 19, 2022).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Equity Distribution Agreement, dated as of October 18, 2022, between the Registrant and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Canaccord Genuity LLC (incorporated by reference to Exhibit 1.1 to the Registrant’s Current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Report on Form 8-K filed with the Securities and Exchange Commission on October 18, 2022).</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7140" w:type="dxa"/>
            <w:vAlign w:val="bottom"/>
            <w:gridSpan w:val="19"/>
          </w:tcPr>
          <w:p>
            <w:pPr>
              <w:spacing w:after="0" w:line="17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Employment Agreement, dated as of July 25, 2022, between the Registrant and Timothy Hayden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20" w:type="dxa"/>
            <w:vAlign w:val="bottom"/>
            <w:gridSpan w:val="8"/>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(incorporated by reference to Exhibit 10.1 to the Registrant’s Current Report on Form 8-K filed</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20"/>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with the Securities and Exchange Commission on January 24, 2023)</w:t>
              </w:r>
            </w:hyperlink>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shd w:val="clear" w:color="auto" w:fill="CCEEFF"/>
          </w:tcPr>
          <w:p>
            <w:pPr>
              <w:spacing w:after="0"/>
              <w:rPr>
                <w:sz w:val="15"/>
                <w:szCs w:val="15"/>
                <w:color w:val="auto"/>
              </w:rPr>
            </w:pPr>
          </w:p>
        </w:tc>
        <w:tc>
          <w:tcPr>
            <w:tcW w:w="714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Exchange Agreement, dated as of March 8, 2023, between the Registrant and High Trail Special</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Situations LLC (incorporated by reference to Exhibit 10.1 to the Registrant’s Current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Form 8-K filed with the Securities and Exchange Commission on March 9, 2023)</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5"/>
                <w:szCs w:val="15"/>
                <w:color w:val="auto"/>
              </w:rPr>
            </w:pPr>
          </w:p>
        </w:tc>
        <w:tc>
          <w:tcPr>
            <w:tcW w:w="714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Company and Investor Acknowledgment, dated as of October 27, 2023, between the Registrant</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60" w:type="dxa"/>
            <w:vAlign w:val="bottom"/>
            <w:gridSpan w:val="20"/>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and CP acquisitions LLC (incorporated by reference to Exhibit 10.1 to the Registrant’s Current</w:t>
              </w:r>
            </w:hyperlink>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Report on Form 8-K filed with the Securities and Exchange Commission on October 30, 2023)</w:t>
              </w:r>
            </w:hyperlink>
          </w:p>
        </w:tc>
        <w:tc>
          <w:tcPr>
            <w:tcW w:w="280" w:type="dxa"/>
            <w:vAlign w:val="bottom"/>
            <w:tcBorders>
              <w:top w:val="single" w:sz="8" w:color="0000EE"/>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60" w:type="dxa"/>
            <w:vAlign w:val="bottom"/>
            <w:gridSpan w:val="8"/>
          </w:tcPr>
          <w:p>
            <w:pPr>
              <w:ind w:left="7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46"/>
        </w:trPr>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69"/>
        </w:trPr>
        <w:tc>
          <w:tcPr>
            <w:tcW w:w="86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bottom w:val="single" w:sz="8" w:color="CCEEFF"/>
            </w:tcBorders>
            <w:shd w:val="clear" w:color="auto" w:fill="CCEEFF"/>
          </w:tcPr>
          <w:p>
            <w:pPr>
              <w:spacing w:after="0"/>
              <w:rPr>
                <w:sz w:val="14"/>
                <w:szCs w:val="14"/>
                <w:color w:val="auto"/>
              </w:rPr>
            </w:pPr>
          </w:p>
        </w:tc>
        <w:tc>
          <w:tcPr>
            <w:tcW w:w="7140" w:type="dxa"/>
            <w:vAlign w:val="bottom"/>
            <w:tcBorders>
              <w:bottom w:val="single" w:sz="8" w:color="0000EE"/>
            </w:tcBorders>
            <w:gridSpan w:val="11"/>
            <w:shd w:val="clear" w:color="auto" w:fill="CCEEFF"/>
          </w:tcPr>
          <w:p>
            <w:pPr>
              <w:spacing w:after="0" w:line="169"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Letter Agreement, dated as of October 27, 2023, between the Registrant and High Trail Special</w:t>
              </w:r>
            </w:hyperlink>
          </w:p>
        </w:tc>
      </w:tr>
      <w:tr>
        <w:trPr>
          <w:trHeight w:val="196"/>
        </w:trPr>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40" w:type="dxa"/>
            <w:vAlign w:val="bottom"/>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Situations LLC (incorporated by reference to Exhibit 10.2 to the Registrant’s Current Report on</w:t>
              </w:r>
            </w:hyperlink>
          </w:p>
        </w:tc>
      </w:tr>
      <w:tr>
        <w:trPr>
          <w:trHeight w:val="196"/>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2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Form 8-K filed with the Securities and Exchange Commission on October 30, 2023)</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0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5"/>
                <w:szCs w:val="15"/>
                <w:color w:val="auto"/>
              </w:rPr>
            </w:pPr>
          </w:p>
        </w:tc>
        <w:tc>
          <w:tcPr>
            <w:tcW w:w="7140" w:type="dxa"/>
            <w:vAlign w:val="bottom"/>
            <w:gridSpan w:val="11"/>
          </w:tcPr>
          <w:p>
            <w:pPr>
              <w:spacing w:after="0" w:line="17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Modification Agreement, effective as of October 18, 2023, between the Registrant and Mack</w:t>
              </w:r>
            </w:hyperlink>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1"/>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Molding Company (incorporated by reference to Exhibit 10.3 to the Registrant’s Current Report</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on Form 8-K filed with the Securities and Exchange Commission on October 30, 2023)</w:t>
              </w:r>
            </w:hyperlink>
          </w:p>
        </w:tc>
        <w:tc>
          <w:tcPr>
            <w:tcW w:w="20" w:type="dxa"/>
            <w:vAlign w:val="bottom"/>
          </w:tcPr>
          <w:p>
            <w:pPr>
              <w:spacing w:after="0"/>
              <w:rPr>
                <w:sz w:val="17"/>
                <w:szCs w:val="17"/>
                <w:color w:val="auto"/>
              </w:rPr>
            </w:pPr>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5"/>
                <w:szCs w:val="15"/>
                <w:color w:val="auto"/>
              </w:rPr>
            </w:pPr>
          </w:p>
        </w:tc>
        <w:tc>
          <w:tcPr>
            <w:tcW w:w="71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Subscription Agreement</w:t>
            </w:r>
          </w:p>
        </w:tc>
      </w:tr>
      <w:tr>
        <w:trPr>
          <w:trHeight w:val="88"/>
        </w:trPr>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840" w:type="dxa"/>
            <w:vAlign w:val="bottom"/>
            <w:tcBorders>
              <w:top w:val="single" w:sz="8" w:color="0000EE"/>
            </w:tcBorders>
            <w:shd w:val="clear" w:color="auto" w:fill="CCEEFF"/>
          </w:tcPr>
          <w:p>
            <w:pPr>
              <w:spacing w:after="0"/>
              <w:rPr>
                <w:sz w:val="7"/>
                <w:szCs w:val="7"/>
                <w:color w:val="auto"/>
              </w:rPr>
            </w:pPr>
          </w:p>
        </w:tc>
        <w:tc>
          <w:tcPr>
            <w:tcW w:w="4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20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5"/>
                <w:szCs w:val="15"/>
                <w:color w:val="auto"/>
              </w:rPr>
            </w:pPr>
          </w:p>
        </w:tc>
        <w:tc>
          <w:tcPr>
            <w:tcW w:w="714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Subsidiaries of the Registrant (previously filed as an exhibit to the Registrant’s Annual Report on</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1"/>
          </w:tcPr>
          <w:p>
            <w:pPr>
              <w:spacing w:after="0" w:line="19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Form 10-K filed on November 28, 2023 and incorporated by reference thereto).</w:t>
              </w:r>
            </w:hyperlink>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5"/>
                <w:szCs w:val="15"/>
                <w:color w:val="auto"/>
              </w:rPr>
            </w:pPr>
          </w:p>
        </w:tc>
        <w:tc>
          <w:tcPr>
            <w:tcW w:w="71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w:t>
            </w:r>
          </w:p>
        </w:tc>
      </w:tr>
      <w:tr>
        <w:trPr>
          <w:trHeight w:val="88"/>
        </w:trPr>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840" w:type="dxa"/>
            <w:vAlign w:val="bottom"/>
            <w:tcBorders>
              <w:top w:val="single" w:sz="8" w:color="0000EE"/>
            </w:tcBorders>
            <w:shd w:val="clear" w:color="auto" w:fill="CCEEFF"/>
          </w:tcPr>
          <w:p>
            <w:pPr>
              <w:spacing w:after="0"/>
              <w:rPr>
                <w:sz w:val="7"/>
                <w:szCs w:val="7"/>
                <w:color w:val="auto"/>
              </w:rPr>
            </w:pPr>
          </w:p>
        </w:tc>
        <w:tc>
          <w:tcPr>
            <w:tcW w:w="4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6"/>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5"/>
                <w:szCs w:val="15"/>
                <w:color w:val="auto"/>
              </w:rPr>
            </w:pPr>
          </w:p>
        </w:tc>
        <w:tc>
          <w:tcPr>
            <w:tcW w:w="71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Consent of Sherman &amp; Howard, L.L.C. (included in Exhibit 5.1).</w:t>
            </w:r>
          </w:p>
        </w:tc>
      </w:tr>
      <w:tr>
        <w:trPr>
          <w:trHeight w:val="88"/>
        </w:trPr>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tcBorders>
              <w:top w:val="single" w:sz="8" w:color="0000EE"/>
            </w:tcBorders>
          </w:tcPr>
          <w:p>
            <w:pPr>
              <w:spacing w:after="0"/>
              <w:rPr>
                <w:sz w:val="7"/>
                <w:szCs w:val="7"/>
                <w:color w:val="auto"/>
              </w:rPr>
            </w:pPr>
          </w:p>
        </w:tc>
        <w:tc>
          <w:tcPr>
            <w:tcW w:w="4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200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6"/>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5"/>
                <w:szCs w:val="15"/>
                <w:color w:val="auto"/>
              </w:rPr>
            </w:pPr>
          </w:p>
        </w:tc>
        <w:tc>
          <w:tcPr>
            <w:tcW w:w="71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Burns &amp; Levinson LLP (included in Exhibit 5.2).</w:t>
            </w:r>
          </w:p>
        </w:tc>
      </w:tr>
      <w:tr>
        <w:trPr>
          <w:trHeight w:val="88"/>
        </w:trPr>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840" w:type="dxa"/>
            <w:vAlign w:val="bottom"/>
            <w:tcBorders>
              <w:top w:val="single" w:sz="8" w:color="0000EE"/>
            </w:tcBorders>
            <w:shd w:val="clear" w:color="auto" w:fill="CCEEFF"/>
          </w:tcPr>
          <w:p>
            <w:pPr>
              <w:spacing w:after="0"/>
              <w:rPr>
                <w:sz w:val="7"/>
                <w:szCs w:val="7"/>
                <w:color w:val="auto"/>
              </w:rPr>
            </w:pPr>
          </w:p>
        </w:tc>
        <w:tc>
          <w:tcPr>
            <w:tcW w:w="4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200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5"/>
        </w:trPr>
        <w:tc>
          <w:tcPr>
            <w:tcW w:w="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5"/>
                <w:szCs w:val="15"/>
                <w:color w:val="auto"/>
              </w:rPr>
            </w:pPr>
          </w:p>
        </w:tc>
        <w:tc>
          <w:tcPr>
            <w:tcW w:w="714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Power of Attorney (previously filed as an exhibit to the Registrant’s Registration Statement on</w:t>
              </w:r>
            </w:hyperlink>
          </w:p>
        </w:tc>
      </w:tr>
      <w:tr>
        <w:trPr>
          <w:trHeight w:val="196"/>
        </w:trPr>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1"/>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Form S-1 filed on January 26, 2024 and incorporated by reference thereto).</w:t>
              </w:r>
            </w:hyperlink>
          </w:p>
        </w:tc>
      </w:tr>
      <w:tr>
        <w:trPr>
          <w:trHeight w:val="61"/>
        </w:trPr>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5"/>
                <w:szCs w:val="15"/>
                <w:color w:val="auto"/>
              </w:rPr>
            </w:pPr>
          </w:p>
        </w:tc>
        <w:tc>
          <w:tcPr>
            <w:tcW w:w="71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Calculation of Registration Fee</w:t>
            </w:r>
          </w:p>
        </w:tc>
      </w:tr>
      <w:tr>
        <w:trPr>
          <w:trHeight w:val="88"/>
        </w:trPr>
        <w:tc>
          <w:tcPr>
            <w:tcW w:w="8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840" w:type="dxa"/>
            <w:vAlign w:val="bottom"/>
            <w:tcBorders>
              <w:top w:val="single" w:sz="8" w:color="0000EE"/>
            </w:tcBorders>
            <w:shd w:val="clear" w:color="auto" w:fill="CCEEFF"/>
          </w:tcPr>
          <w:p>
            <w:pPr>
              <w:spacing w:after="0"/>
              <w:rPr>
                <w:sz w:val="7"/>
                <w:szCs w:val="7"/>
                <w:color w:val="auto"/>
              </w:rPr>
            </w:pPr>
          </w:p>
        </w:tc>
        <w:tc>
          <w:tcPr>
            <w:tcW w:w="42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has been omitted from this exhibit in reliance upon Item 601(a)(5) of Regulation S-K.</w:t>
      </w:r>
    </w:p>
    <w:p>
      <w:pPr>
        <w:spacing w:after="0" w:line="26" w:lineRule="exact"/>
        <w:rPr>
          <w:rFonts w:ascii="Times New Roman" w:cs="Times New Roman" w:eastAsia="Times New Roman" w:hAnsi="Times New Roman"/>
          <w:sz w:val="16"/>
          <w:szCs w:val="16"/>
          <w:color w:val="auto"/>
        </w:rPr>
      </w:pPr>
    </w:p>
    <w:p>
      <w:pPr>
        <w:ind w:left="460" w:right="3619"/>
        <w:spacing w:after="0" w:line="26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Indicates a management contract, compensatory plan, or arrangement. * Previously filed.</w:t>
      </w: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79" w:firstLine="43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Troy, State of Michigan, on this 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of February, 2024.</w:t>
      </w:r>
    </w:p>
    <w:p>
      <w:pPr>
        <w:spacing w:after="0" w:line="8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By: /s/ Raymond Nobu Chang</w:t>
      </w:r>
    </w:p>
    <w:p>
      <w:pPr>
        <w:spacing w:after="0" w:line="7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-127635</wp:posOffset>
            </wp:positionV>
            <wp:extent cx="16719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5">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Chairman and Chief Executive</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2"/>
          </w:tcPr>
          <w:p>
            <w:pPr>
              <w:ind w:left="16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6"/>
        </w:trPr>
        <w:tc>
          <w:tcPr>
            <w:tcW w:w="42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Raymond Nobu Chang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2024</w:t>
            </w:r>
          </w:p>
        </w:tc>
        <w:tc>
          <w:tcPr>
            <w:tcW w:w="0" w:type="dxa"/>
            <w:vAlign w:val="bottom"/>
          </w:tcPr>
          <w:p>
            <w:pPr>
              <w:spacing w:after="0"/>
              <w:rPr>
                <w:sz w:val="1"/>
                <w:szCs w:val="1"/>
                <w:color w:val="auto"/>
              </w:rPr>
            </w:pPr>
          </w:p>
        </w:tc>
      </w:tr>
      <w:tr>
        <w:trPr>
          <w:trHeight w:val="41"/>
        </w:trPr>
        <w:tc>
          <w:tcPr>
            <w:tcW w:w="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 and principal</w:t>
            </w: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5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Raymond Nobu Chang</w:t>
            </w:r>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640" w:type="dxa"/>
            <w:vAlign w:val="bottom"/>
            <w:gridSpan w:val="2"/>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2024</w:t>
            </w:r>
          </w:p>
        </w:tc>
        <w:tc>
          <w:tcPr>
            <w:tcW w:w="0" w:type="dxa"/>
            <w:vAlign w:val="bottom"/>
          </w:tcPr>
          <w:p>
            <w:pPr>
              <w:spacing w:after="0"/>
              <w:rPr>
                <w:sz w:val="1"/>
                <w:szCs w:val="1"/>
                <w:color w:val="auto"/>
              </w:rPr>
            </w:pPr>
          </w:p>
        </w:tc>
      </w:tr>
      <w:tr>
        <w:trPr>
          <w:trHeight w:val="40"/>
        </w:trPr>
        <w:tc>
          <w:tcPr>
            <w:tcW w:w="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I-Tseng Jenny Chan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2024</w:t>
            </w:r>
          </w:p>
        </w:tc>
        <w:tc>
          <w:tcPr>
            <w:tcW w:w="0" w:type="dxa"/>
            <w:vAlign w:val="bottom"/>
          </w:tcPr>
          <w:p>
            <w:pPr>
              <w:spacing w:after="0"/>
              <w:rPr>
                <w:sz w:val="1"/>
                <w:szCs w:val="1"/>
                <w:color w:val="auto"/>
              </w:rPr>
            </w:pPr>
          </w:p>
        </w:tc>
      </w:tr>
      <w:tr>
        <w:trPr>
          <w:trHeight w:val="41"/>
        </w:trPr>
        <w:tc>
          <w:tcPr>
            <w:tcW w:w="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2024</w:t>
            </w:r>
          </w:p>
        </w:tc>
        <w:tc>
          <w:tcPr>
            <w:tcW w:w="0" w:type="dxa"/>
            <w:vAlign w:val="bottom"/>
          </w:tcPr>
          <w:p>
            <w:pPr>
              <w:spacing w:after="0"/>
              <w:rPr>
                <w:sz w:val="1"/>
                <w:szCs w:val="1"/>
                <w:color w:val="auto"/>
              </w:rPr>
            </w:pPr>
          </w:p>
        </w:tc>
      </w:tr>
      <w:tr>
        <w:trPr>
          <w:trHeight w:val="40"/>
        </w:trPr>
        <w:tc>
          <w:tcPr>
            <w:tcW w:w="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2024</w:t>
            </w:r>
          </w:p>
        </w:tc>
        <w:tc>
          <w:tcPr>
            <w:tcW w:w="0" w:type="dxa"/>
            <w:vAlign w:val="bottom"/>
          </w:tcPr>
          <w:p>
            <w:pPr>
              <w:spacing w:after="0"/>
              <w:rPr>
                <w:sz w:val="1"/>
                <w:szCs w:val="1"/>
                <w:color w:val="auto"/>
              </w:rPr>
            </w:pPr>
          </w:p>
        </w:tc>
      </w:tr>
      <w:tr>
        <w:trPr>
          <w:trHeight w:val="40"/>
        </w:trPr>
        <w:tc>
          <w:tcPr>
            <w:tcW w:w="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Sokolow</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7, 2024</w:t>
            </w:r>
          </w:p>
        </w:tc>
        <w:tc>
          <w:tcPr>
            <w:tcW w:w="0" w:type="dxa"/>
            <w:vAlign w:val="bottom"/>
          </w:tcPr>
          <w:p>
            <w:pPr>
              <w:spacing w:after="0"/>
              <w:rPr>
                <w:sz w:val="1"/>
                <w:szCs w:val="1"/>
                <w:color w:val="auto"/>
              </w:rPr>
            </w:pPr>
          </w:p>
        </w:tc>
      </w:tr>
      <w:tr>
        <w:trPr>
          <w:trHeight w:val="40"/>
        </w:trPr>
        <w:tc>
          <w:tcPr>
            <w:tcW w:w="42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Raymond Nobu Chang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420" w:type="dxa"/>
            <w:vAlign w:val="bottom"/>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4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Raymond Nobu Chang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2"/>
          </w:tcPr>
          <w:p>
            <w:pPr>
              <w:ind w:left="1240"/>
              <w:spacing w:after="0"/>
              <w:rPr>
                <w:sz w:val="20"/>
                <w:szCs w:val="20"/>
                <w:color w:val="auto"/>
              </w:rPr>
            </w:pPr>
            <w:r>
              <w:rPr>
                <w:rFonts w:ascii="Times New Roman" w:cs="Times New Roman" w:eastAsia="Times New Roman" w:hAnsi="Times New Roman"/>
                <w:sz w:val="18"/>
                <w:szCs w:val="18"/>
                <w:color w:val="auto"/>
              </w:rPr>
              <w:t>II-10</w:t>
            </w: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__,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2468 Industrial Row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Raymond Nobu Chang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letter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constitutes the agreement between Alexander Capital, L.P.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and Agrify Corporation,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the Placement Agent shall serve as the exclusive placement agent for the Company, on a “reasonable best efforts” basis, in connection with the proposed placement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to certain purchasers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of up to an aggregate of (i) __ shares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”)and (ii) __ pre-funded warrants (each a “</w:t>
      </w:r>
      <w:r>
        <w:rPr>
          <w:rFonts w:ascii="Times New Roman" w:cs="Times New Roman" w:eastAsia="Times New Roman" w:hAnsi="Times New Roman"/>
          <w:sz w:val="18"/>
          <w:szCs w:val="18"/>
          <w:b w:val="1"/>
          <w:bCs w:val="1"/>
          <w:color w:val="auto"/>
        </w:rPr>
        <w:t>Pre-Funded Warrant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with each Pre-Funded Warrant exercisable to purchase one share of Common Stock (the “</w:t>
      </w:r>
      <w:r>
        <w:rPr>
          <w:rFonts w:ascii="Times New Roman" w:cs="Times New Roman" w:eastAsia="Times New Roman" w:hAnsi="Times New Roman"/>
          <w:sz w:val="18"/>
          <w:szCs w:val="18"/>
          <w:b w:val="1"/>
          <w:bCs w:val="1"/>
          <w:color w:val="auto"/>
        </w:rPr>
        <w:t>Pre-Funded Warrant Shares</w:t>
      </w:r>
      <w:r>
        <w:rPr>
          <w:rFonts w:ascii="Times New Roman" w:cs="Times New Roman" w:eastAsia="Times New Roman" w:hAnsi="Times New Roman"/>
          <w:sz w:val="18"/>
          <w:szCs w:val="18"/>
          <w:color w:val="auto"/>
        </w:rPr>
        <w:t>”) at an exercise price of $0.001 per share. The Shares, the Pre-Funded Warrants, and the Pre-Funded Warrant Shares are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terms of the Placement shall be mutually agreed upon by the Company and the Purchasers, and nothing herein constitutes that the Placement Agent would have the power or authority to bind the Company or any Purchaser, or an obligation for the Company to issue any Securities or complete the Placement. The purchase price to the Purchasers for each Share is $__ and the purchase price to the Purchasers for each Pre-Funded Warrant is $__. The Placement Agent may retain other brokers or dealers to act as sub-agents or selected-dealers on its behalf in connection with the Placement; provided, however, that the Company shall first approve any such sub-agents. The sale of Securities to any Purchaser will be evidenced by subscription agreements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between the Company and each Purchaser, in a form reasonably acceptable to the Company and the Purchaser. Prior to the signing of any Subscription Agreement, officers of the Company will be available to answer inquiries from prospective Purchasers.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REPRESENTATIONS AND WARRANTIES OF THE COMPANY; COVENANTS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xml:space="preserve"> The Company represents and warrants that there are no affiliations with any FINRA member firm among the Company's officers, directors or, to the knowledge of the Company, any five percent (5%) or greater securityholder of the Company.</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S-1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 January 26, 2024 (File No. 333-276724), as amended on February 7, 2024, and declared effective on February [ ], 2024 for the registration of the Securities under the Securities Act. Following the determination of pricing among the Company and the prospective Purchasers introduced to the Company by Placement Agent, the Company will file with the Commission pursuant to Rules 430A and 424(b) under the Securities Act, and the rules and regulations (the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of the Commission promulgated thereunder, a final prospectus relating to the placement of the Securities, their respective pricings and the plan of distribution thereof and will advise the Placement Agent of all further information (financial and other) with respect to the Company required to be set forth therein. Such registration statement, at any given time, including the exhibits thereto filed at such time, as amended at such time (and including any registration statement prepared and filed by the Company in accordance with Rule 462(b) pursuant to the Securities Act), is hereinafter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such prospectus in the form in which it, appears in the Registration Statement at the time of effectiveness, is hereinafter called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and the final prospectus, in the form in which it will be filed with the Commission pursuant to Rules 430A and/or 424(b) (including the Preliminary Prospectus as it may be amended or supplemented) is hereinafter called the “</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The Registration Statement at the time it originally became effective is hereinafter called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reference in this Agreement to the Registration Statement, the Original Registration Statement, the Preliminary Prospectus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Final Prospectus shall be deemed to refer to and include the documents incorporated by reference therein (the “</w:t>
      </w:r>
      <w:r>
        <w:rPr>
          <w:rFonts w:ascii="Times New Roman" w:cs="Times New Roman" w:eastAsia="Times New Roman" w:hAnsi="Times New Roman"/>
          <w:sz w:val="18"/>
          <w:szCs w:val="18"/>
          <w:b w:val="1"/>
          <w:bCs w:val="1"/>
          <w:color w:val="auto"/>
        </w:rPr>
        <w:t>Incorporated Documents</w:t>
      </w:r>
      <w:r>
        <w:rPr>
          <w:rFonts w:ascii="Times New Roman" w:cs="Times New Roman" w:eastAsia="Times New Roman" w:hAnsi="Times New Roman"/>
          <w:sz w:val="18"/>
          <w:szCs w:val="18"/>
          <w:color w:val="auto"/>
        </w:rPr>
        <w:t>”), if any, which were or are filed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at any given time, as the case may be; and any reference in this Agreement to the terms “amend,” “amendment” or “supplement” with respect to the Registration Statement, the Original Registration Statement, the Preliminary Prospectus or the Final Prospectus shall be deemed to refer to and include the filing of any document under the Exchange Act after the date of this Agreement, or the issue date of the Preliminary Prospectus or the Final Prospectus, as the case may be, deemed to be incorporated therein by reference. All references in this Agreement to financial statements and schedules and other information which is “contained,” “included,” “described,” “referenced,” “set forth” or “stated” in the Registration Statement, the Preliminary Prospectus or the Final Prospectus (and all other references of like import) shall be deemed to mean and include all such financial statements and schedules and other information which is or is deemed to be incorporated by reference in the Registration Statement, the Preliminary Prospectus or the Final Prospectus, as the case may be. As used in this paragraph and elsewhere in this Agreement, “</w:t>
      </w:r>
      <w:r>
        <w:rPr>
          <w:rFonts w:ascii="Times New Roman" w:cs="Times New Roman" w:eastAsia="Times New Roman" w:hAnsi="Times New Roman"/>
          <w:sz w:val="18"/>
          <w:szCs w:val="18"/>
          <w:b w:val="1"/>
          <w:bCs w:val="1"/>
          <w:color w:val="auto"/>
        </w:rPr>
        <w:t>Time of Sale Disclosure Package</w:t>
      </w:r>
      <w:r>
        <w:rPr>
          <w:rFonts w:ascii="Times New Roman" w:cs="Times New Roman" w:eastAsia="Times New Roman" w:hAnsi="Times New Roman"/>
          <w:sz w:val="18"/>
          <w:szCs w:val="18"/>
          <w:color w:val="auto"/>
        </w:rPr>
        <w:t>” means the Preliminary Prospectus, the final terms of the Offering provided to the Purchasers (orally or in writing), and any issuer free writing prospectus as defined in Rule 433 of the Act (each, an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if any, that the parties hereto shall hereafter expressly agree in writing to treat as part of the Time of Sale Disclosure Package. The term “</w:t>
      </w:r>
      <w:r>
        <w:rPr>
          <w:rFonts w:ascii="Times New Roman" w:cs="Times New Roman" w:eastAsia="Times New Roman" w:hAnsi="Times New Roman"/>
          <w:sz w:val="18"/>
          <w:szCs w:val="18"/>
          <w:b w:val="1"/>
          <w:bCs w:val="1"/>
          <w:color w:val="auto"/>
        </w:rPr>
        <w:t>any Prospectus</w:t>
      </w:r>
      <w:r>
        <w:rPr>
          <w:rFonts w:ascii="Times New Roman" w:cs="Times New Roman" w:eastAsia="Times New Roman" w:hAnsi="Times New Roman"/>
          <w:sz w:val="18"/>
          <w:szCs w:val="18"/>
          <w:color w:val="auto"/>
        </w:rPr>
        <w:t>” shall mean, as the context requires, the Preliminary Prospectus, the Final Prospectus and any supplement to either thereof. The Company has not received any notice that the Commission has issued or intends to issue a stop order suspending the effectiveness of the Registration Statement or the use of the Preliminary Prospectus or the Final Prospectus or intends to commence a proceeding for any such purpose.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7" w:name="page78"/>
    <w:bookmarkEnd w:id="77"/>
    <w:p>
      <w:pPr>
        <w:jc w:val="both"/>
        <w:spacing w:after="0" w:line="252" w:lineRule="auto"/>
        <w:rPr>
          <w:sz w:val="20"/>
          <w:szCs w:val="20"/>
          <w:color w:val="auto"/>
        </w:rPr>
      </w:pPr>
      <w:r>
        <w:rPr>
          <w:rFonts w:ascii="Times New Roman" w:cs="Times New Roman" w:eastAsia="Times New Roman" w:hAnsi="Times New Roman"/>
          <w:sz w:val="18"/>
          <w:szCs w:val="18"/>
          <w:color w:val="auto"/>
        </w:rPr>
        <w:t>The Original Registration Statement, as amended, (and any further documents to be filed with the Commission) contains all exhibits and schedules as required by the Securities Act. Each of the Registration Statement and any post-effective amendment thereto, at the time it became effective, complied in all material respects with the Securities Act and the applicable Rules and Regulations and did not contain any untrue statement of a material fact or omit to state a material fact required to be stated therein or necessary to make the statements therein not misleading. The Final Prospectus, as of its date, complied or will comply in all material respects with the Securities Act and the applicable Rules and Regulations. The Final Prospectus, as amended or supplemented, did not and will not contain as of the date thereof any untrue statement of a material fact or omit to state a material fact necessary in order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Except for this Agreement and the Subscription Agreements, there are no documents required to be filed with the Commission in connection with the transaction contemplated hereby that (i) have not been filed as required pursuant to the Securities Act or (ii) will not be filed within the requisite time period under the Rules and Regulations. Except for this Agreement and the Subscription Agreements, there are no contracts or other documents required to be described in the Final Prospectus, or to be filed as exhibits or schedules to the Registration Statement, which have not been described or filed as required. The foregoing shall not apply to statements in, or omissions from, any such document made in reliance upon, and in conformity with, information furnished to the Company by the Placement Agent specifically for use in the preparation thereof.</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directors and officers has distributed and none of them will distribute, prior to the Closing Date, any offering material in connection with the offering and sale of the Securities other than the Time of Sale Disclosure Package.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No forward-looking statement (within the meaning of Section 27A of the Securities Act and Section 21E of the Exchange Act (“</w:t>
      </w:r>
      <w:r>
        <w:rPr>
          <w:rFonts w:ascii="Times New Roman" w:cs="Times New Roman" w:eastAsia="Times New Roman" w:hAnsi="Times New Roman"/>
          <w:sz w:val="18"/>
          <w:szCs w:val="18"/>
          <w:b w:val="1"/>
          <w:bCs w:val="1"/>
          <w:u w:val="single" w:color="auto"/>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Statement</w:t>
      </w:r>
      <w:r>
        <w:rPr>
          <w:rFonts w:ascii="Times New Roman" w:cs="Times New Roman" w:eastAsia="Times New Roman" w:hAnsi="Times New Roman"/>
          <w:sz w:val="18"/>
          <w:szCs w:val="18"/>
          <w:color w:val="auto"/>
        </w:rPr>
        <w:t>”) contained in the Time of Sale Disclosure Package has been made or reaffirmed without a reasonable basis or has been disclosed other than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faith.</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xml:space="preserve"> The Company covenants and agrees to use commercially reasonable efforts in order to continue to retain (i) a firm of independent Public Company Accounting Oversight Board (PCAOB) registered public accountants for a period of at least five (5) years after the Closing Date and (ii) a competent transfer agent with respect to the Common Stock for a period of five (5) years after the Closing Date. From the date hereof until 180 days after the Closing Date, without the prior written consent of the Placement Agent, neither the Company nor any Subsidiary shall issue, enter into any agreement to issue or announce the issuance or proposed issuance of any shares of Common Stock or any securities of the Company that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Notwithstanding the foregoing, this Section 1.B shall not apply in respect of any issuance of (a) shares of Common Stock, restricted stock units or options, including the shares of Common Stock underlying the restricted stock units or options, to employees, officers, consultants or directors of the Company pursuant to any stock or option plan or arrangement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under the Subscription Agreements and/or other securities exercisable or exchangeable for or convertible into shares of Common Stock issued and outstanding on the date of this Agreement, and (c) securities pursuant to merger, acquisition or strategic transactions approved by a majority of the disinterested directors of the Company.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Registration Statement Matters.</w:t>
      </w:r>
      <w:r>
        <w:rPr>
          <w:rFonts w:ascii="Times New Roman" w:cs="Times New Roman" w:eastAsia="Times New Roman" w:hAnsi="Times New Roman"/>
          <w:sz w:val="18"/>
          <w:szCs w:val="18"/>
          <w:color w:val="auto"/>
        </w:rPr>
        <w:t xml:space="preserve"> The Company will advise the Placement Agent promptly after it receives notice thereof of the time when any amendment to the Registration Statement has been filed or becomes effective or any supplement to the Final Prospectus has been filed and will furnish the Placement Agent with copies thereof. The Company will file promptly all reports and any definitive proxy or information statements required to be filed by the Company with the Commission pursuant to Section 13(a), 14 or 15(d) of the Exchange Act subsequent to the date of any Prospectus and for so long as the delivery of a prospectus is required in connection with the Offering. The Company will advise the Placement Agent, promptly after it receives notice thereof (i) of any request by the Commission to amend the Registration Statement or to amend or supplement any Prospectus or for additional information, and (ii) of the issuance by the Commission of any stop order suspending the effectiveness of the Registration Statement or any post-effective amendment thereto or any order directed at any Incorporated Document, if any, or any amendment or supplement thereto or any order preventing or suspending the use of the Preliminary Prospectus or the Final Prospectus or any prospectus supplement or any amendment or supplement thereto or any post-effective amendment to the Registration Statement, of the suspension of the qualification of the Securities for offering or sale in any jurisdiction, of the institution or threatened institution of any proceeding for any such purpose, or of any request by the Commission for the amending or supplementing of the Registration Statement or a Prospectus or for additional information. The Company shall use its best efforts to prevent the issuance of any such stop order or prevention or suspension of such use. If the Commission shall enter any such stop order or order or notice of prevention or suspension at any time, the Company will use its best efforts to obtain the lifting of such order at the earliest possible moment, or will file a new registration statement and use its best efforts to have such new registration statement declared effective as soon as practicable. Additionally, the Company agrees that it shall comply with the provisions of Rules 424(b), 430A, 430B and 430C, as applicable, under the Securities Act, including with respect to the timely filing of documents thereunder, and will use its reasonable efforts to confirm that any filings made by the Company under such Rule 424(b) are received in a timely manner by the Commission.</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Amendments and Other Matters.</w:t>
      </w:r>
      <w:r>
        <w:rPr>
          <w:rFonts w:ascii="Times New Roman" w:cs="Times New Roman" w:eastAsia="Times New Roman" w:hAnsi="Times New Roman"/>
          <w:sz w:val="18"/>
          <w:szCs w:val="18"/>
          <w:color w:val="auto"/>
        </w:rPr>
        <w:t xml:space="preserve"> The Company will comply with the Securities Act and the Exchange Act, and the rules and regulations of the Commission thereunder, so as to permit the completion of the distribution of the Securities as contemplated in this Agreement, the Incorporated Documents and any Prospectus. If during the period in which a prospectus is required by law to be delivered in connection with the distribution of Securities contemplated by the Incorporated Documents or any Prospectus (the “</w:t>
      </w:r>
      <w:r>
        <w:rPr>
          <w:rFonts w:ascii="Times New Roman" w:cs="Times New Roman" w:eastAsia="Times New Roman" w:hAnsi="Times New Roman"/>
          <w:sz w:val="18"/>
          <w:szCs w:val="18"/>
          <w:b w:val="1"/>
          <w:bCs w:val="1"/>
          <w:color w:val="auto"/>
        </w:rPr>
        <w:t>Prospectus Delivery Period</w:t>
      </w:r>
      <w:r>
        <w:rPr>
          <w:rFonts w:ascii="Times New Roman" w:cs="Times New Roman" w:eastAsia="Times New Roman" w:hAnsi="Times New Roman"/>
          <w:sz w:val="18"/>
          <w:szCs w:val="18"/>
          <w:color w:val="auto"/>
        </w:rPr>
        <w:t>”), any event shall occur as a result of which, in the judgment of the Company or in the opinion of the Placement Agent or counsel for the Placement Agent, it becomes necessary to amend or supplement the Incorporated Documents or any Prospectus in order to make the statements therein, in light of the circumstances under which they were made, as the case may be, not misleading, or if it is necessary at any time to amend or supplement the Incorporated Documents or any Prospectus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any Prospectus that is necessary in order to make the statements in the Incorporated Documents and any Prospectus as so amended or supplemented, in light of the circumstances under which they were made, as the case may be, not misleading, or so that the Registration Statement, the Incorporated Documents or any Prospectus, as so amended or supplemented, will comply with law. Before amending the Registration Statement or supplementing the Incorporated Documents or any Prospectus in connection with the Offering, the Company will furnish the Placement Agent with a copy of such proposed amendment or supplement and will not file any such amendment or supplement to which the Placement Agent reasonably objects.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Copies.</w:t>
      </w:r>
      <w:r>
        <w:rPr>
          <w:rFonts w:ascii="Times New Roman" w:cs="Times New Roman" w:eastAsia="Times New Roman" w:hAnsi="Times New Roman"/>
          <w:sz w:val="18"/>
          <w:szCs w:val="18"/>
          <w:color w:val="auto"/>
        </w:rPr>
        <w:t xml:space="preserve"> The Company will furnish the Placement Agent, without charge, during the period beginning on the date hereof and ending on the Closing Date, as many copies of any Prospectus or prospectus supplement and any amendments and supplements thereto, as the Placement Agent may reasonably request.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No Manipulation.</w:t>
      </w:r>
      <w:r>
        <w:rPr>
          <w:rFonts w:ascii="Times New Roman" w:cs="Times New Roman" w:eastAsia="Times New Roman" w:hAnsi="Times New Roman"/>
          <w:sz w:val="18"/>
          <w:szCs w:val="18"/>
          <w:color w:val="auto"/>
        </w:rPr>
        <w:t xml:space="preserve"> The Company will not take, directly or indirectly, any action designed to cause or result in, or that has constituted or might reasonably be expected to constitute, the stabilization or manipulation of the price of any securities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spacing w:after="0" w:line="255" w:lineRule="auto"/>
        <w:rPr>
          <w:sz w:val="20"/>
          <w:szCs w:val="20"/>
          <w:color w:val="auto"/>
        </w:rPr>
      </w:pPr>
      <w:r>
        <w:rPr>
          <w:rFonts w:ascii="Times New Roman" w:cs="Times New Roman" w:eastAsia="Times New Roman" w:hAnsi="Times New Roman"/>
          <w:sz w:val="18"/>
          <w:szCs w:val="18"/>
          <w:color w:val="auto"/>
        </w:rPr>
        <w:t>SECTION 2. REPRESENTATIONS OF THE PLACEMENT AGENT. The Placement Agent represents and warrants that it (i) is a member in good standing of FINRA, (ii) is registered as a broker/dealer under the Exchange Act, (iii) is licensed as a broker/dealer under the laws of the United States of America, applicable to the offers and sales of the Securities by the Placement Agent, (iv) is and will be a corporate body validly existing under the laws of its place of incorporation, and (v) has full power and authority to enter into and perform its obligations under this Agreement. The Placement Agent will immediately notify the Company in writing of any change in its status with respect to subsections (i) through (v) above. The Placement Agent covenants that it will use its reasonable best efforts to conduct the Placement hereunder in compliance with the provisions of this Agreement and the requirements of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 AGREEMENT TO ACT AS PLACEMENT AGENT; COMPENSATION.</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On the basis of the representations, warranties and agreements of the Company herein contained, and subject to all the terms and conditions of this Agreement, the Placement Agent shall be the exclusive placement agent in connection with the offering and sale by the Company of the Securities pursuant to the Registration Statement, with the terms of such offering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to be subject to market conditions and negotiations between the Company, the Placement Agent and the prospective Purchasers. The Placement Agent will act on a reasonable best efforts basis and the Company agrees and acknowledges that there is no guarantee of the successful placement of the Securities, or any portion thereof, in the prospective Offering. Under no circumstances will the Placement Agent or any of its “Affiliates” (as defined below) be obligated to underwrite or purchase any of the Securities for its own account or otherwise provide any financing. The Placement Agent shall act solely as the Company’s agent and not as principal. The Placement Agent shall have no authority to bind the Company with respect to any prospective offer to purchase the Securities and the Company shall have the sole right to accept offers to purchase the Securities and may reject any such offer, in whole or in part. Subject to the terms and conditions hereof, payment of the purchase price for, and delivery of, the Securities shall be made at the closing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Unless otherwise requested by a Purchaser, on the Closing Date, the Company shall issue the Shares directly to the account designated by the Placement Agent and, upon receipt of such Shares, the Placement Agent shall electronically deliver such Shares to the applicable Purchaser and payment shall be made by the Placement Agent (or its clearing firm) by wire transfer to the Company, and delivery of the Pre-Funded Warrants shall be made to the applicable Purchaser.</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 In consideration of the services to be provided for hereunder, the Company shall pay to the Placement Agent and/or their respective designees a cash fee of seven percent (7.0%) of the aggregate gross proceeds raised from the sale of the Securities at the Closing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 The Cash Fee shall be paid on the Closing Date. The Company will reimburse the Placement Agent for a certain amount of its accountable expenses including actual accountable road show expenses for the Offering; the cost associated with the Placement Agent’s use of book-building and compliance software for the Offering, reasonable and documented fees and disbursements of the Placement Agent's counsel up to an amount of $75,000 (which maximum shall apply solely to such fees and disbursements of counsel and not to other fees and expenses provided for in this paragraph); background checks of the Company’s officers and directors; preparation of bound volumes and Lucite cube mementos in such quantities as the Placement Agent may reasonably request; provided that these actual accountable expenses of the underwriter shall not exceed $100,000, including the fees and disbursements of the Placement Agent's counsel. The Placement Agent acknowledges it received $25,000 as an advance to be applied towards the accountable expenses (the “</w:t>
      </w:r>
      <w:r>
        <w:rPr>
          <w:rFonts w:ascii="Times New Roman" w:cs="Times New Roman" w:eastAsia="Times New Roman" w:hAnsi="Times New Roman"/>
          <w:sz w:val="18"/>
          <w:szCs w:val="18"/>
          <w:b w:val="1"/>
          <w:bCs w:val="1"/>
          <w:color w:val="auto"/>
        </w:rPr>
        <w:t>Advance</w:t>
      </w:r>
      <w:r>
        <w:rPr>
          <w:rFonts w:ascii="Times New Roman" w:cs="Times New Roman" w:eastAsia="Times New Roman" w:hAnsi="Times New Roman"/>
          <w:sz w:val="18"/>
          <w:szCs w:val="18"/>
          <w:color w:val="auto"/>
        </w:rPr>
        <w:t>”). In the event the Offering is terminated, the Advance received against reasonable out-of-pocket expenses incurred in connection with the Offering will be returned to the issuer to the extent not actually incurred in accordance with FINRA Rule 5110(f)(2)(C).The Placement Agent reserves the right to reduce any item of compensation or adjust the terms thereof as specified herein in the event that a determination shall be made by FINRA to the effect that the Placement Agent’s aggregate compensation is in excess of FINRA Rules or that the terms thereof require adjustment.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 The Company shall, at the Closing, grant to Alexander Capital, L.P (or such other recipient as designated by Placement Agent) securities purchase warrants (the “</w:t>
      </w:r>
      <w:r>
        <w:rPr>
          <w:rFonts w:ascii="Times New Roman" w:cs="Times New Roman" w:eastAsia="Times New Roman" w:hAnsi="Times New Roman"/>
          <w:sz w:val="18"/>
          <w:szCs w:val="18"/>
          <w:b w:val="1"/>
          <w:bCs w:val="1"/>
          <w:color w:val="auto"/>
        </w:rPr>
        <w:t>Placement Agent Warrants</w:t>
      </w:r>
      <w:r>
        <w:rPr>
          <w:rFonts w:ascii="Times New Roman" w:cs="Times New Roman" w:eastAsia="Times New Roman" w:hAnsi="Times New Roman"/>
          <w:sz w:val="18"/>
          <w:szCs w:val="18"/>
          <w:color w:val="auto"/>
        </w:rPr>
        <w:t xml:space="preserve">”) covering a number of Securities equal to one percent (1.0%) of the total number of Securities being sold and/or issued in the Placement. The form of the Placement Agent Warrants is set forth as </w:t>
      </w:r>
      <w:r>
        <w:rPr>
          <w:rFonts w:ascii="Times New Roman" w:cs="Times New Roman" w:eastAsia="Times New Roman" w:hAnsi="Times New Roman"/>
          <w:sz w:val="18"/>
          <w:szCs w:val="18"/>
          <w:u w:val="single" w:color="auto"/>
          <w:color w:val="auto"/>
        </w:rPr>
        <w:t>Addendum A</w:t>
      </w:r>
      <w:r>
        <w:rPr>
          <w:rFonts w:ascii="Times New Roman" w:cs="Times New Roman" w:eastAsia="Times New Roman" w:hAnsi="Times New Roman"/>
          <w:sz w:val="18"/>
          <w:szCs w:val="18"/>
          <w:color w:val="auto"/>
        </w:rPr>
        <w:t xml:space="preserve"> hereto. The Placement Agent Warrants will be non-exercisable for six (6) months after the date of the initial Closing and will be exercisable and expire five (5) years after the Closing. The Placement Agent Warrants will be exercisable at a price per share equal to 100% of the price of the Securities paid by the Purchasers in connection with the Placement. The Placement Agent Warrants shall not be redeemable. The Placement Agent Warrants (and the underlying securities) may not be transferred, assigned or hypothecated for a period of one (1) year following Closing, except that they may be assigned, in whole or in part, to any successor, officer or member of the Placement Agent (or to officers or partners of any such successor or member) pursuant to FINRA Rule 5110(e)(2). The Placement Agent Warrants may be exercised in whole or in part, shall provide for “cashless” exercise, and shall provide for customary anti-dilution and price protection.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SECTION 4. INDEMNIFICATION.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To the extent permitted by law, with respect to the Securities, the Company will indemnify each Placement Agent and its affiliates, directors, officers, employees, members and controlling persons (within the meaning of Section 15 of the Securities Act or Section 20 of the Exchange Act) against all losses, claims, damages, expenses and liabilities, as the same are incurred (including the reasonable fees and expenses of counsel), relating to or arising out of its activities hereunder or pursuant to this Agreement, except to the extent that any losses, claims, damages, expenses or liabilities (or actions in respect thereof) are found in a final judgment (not subject to appeal) by a court of law to have resulted primarily and directly from any Placement Agent’s willful misconduct, bad faith or gross negligence in performing the services described herein.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 Promptly after receipt by a Placement Agent of notice of any claim or the commencement of any action or proceeding with respect to which such Placement Agent is entitled to indemnity hereunder, the Placement Agent will notify the Company in writing of such claim or of the commencement of such action or proceeding, but failure to so notify the Company shall not relieve the Company from any obligation it may have hereunder, except and only to the extent such failure results in the forfeiture by the Company of substantial rights and defenses. If the Company so elects or is requested by a Placement Agent, the Company will assume the defense of such action or proceeding and will employ counsel reasonably satisfactory to such Placement Agent and will pay the reasonable fees and expenses of such counsel. Notwithstanding the preceding sentence, any Placement Agent will be entitled to employ counsel separate from counsel for the Company and from any other party in such action if counsel for the Placement Agent reasonably determines that it would be conflict of interest under the applicable rules of professional responsibility for the same counsel to represent both the Company and the Placement Agent. In such event, the reasonable fees and disbursements of no more than one such separate counsel will be paid by the Company, in addition to fees of local counsel. The Company will have the right to settle the claim or proceeding provided that the Company will not settle any such claim, action or proceeding without the prior written consent of the Placement Agent, which will not be unreasonably withheld. The Company shall not be liable for any settlement of any action effected without its written consent, which will not be unreasonably withheld.</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 The Company agrees to notify the Placement Agent promptly of the assertion against it or any other person of any claim or the commencement of any action or proceeding relating to a transaction contemplated by this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 If for any reason the foregoing indemnity is unavailable to the Placement Agent or insufficient to hold the Placement Agent harmless, then the Company shall contribute to the amount paid or payable by the Placement Agent as a result of such losses, claims, damages or liabilities in such proportion as is appropriate to reflect not only the relative benefits received by the Company on the one hand and the Placement Agent on the other, but also the relative fault of the Company on the one hand and the Placement Agent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a Placement Agent’s share of the liability hereunder shall not be in excess of the amount of fees actually received, or to be received, by such Placement Agent under this Agreement (excluding any amounts received as reimbursement of expenses incurred by the Placement Agent).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 These indemnification provisions shall remain in full force and effect whether or not the transaction contemplated by this Agreement is completed and shall survive the termination of this Agreement, and shall be in addition to any liability that the Company might otherwise have to any indemnified party under this Agreement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spacing w:after="0" w:line="253" w:lineRule="auto"/>
        <w:rPr>
          <w:sz w:val="20"/>
          <w:szCs w:val="20"/>
          <w:color w:val="auto"/>
        </w:rPr>
      </w:pPr>
      <w:r>
        <w:rPr>
          <w:rFonts w:ascii="Times New Roman" w:cs="Times New Roman" w:eastAsia="Times New Roman" w:hAnsi="Times New Roman"/>
          <w:sz w:val="18"/>
          <w:szCs w:val="18"/>
          <w:color w:val="auto"/>
        </w:rPr>
        <w:t>SECTION 5. ENGAGEMENT TERM. The Placement Agent’s engagement hereunder will be until the earlier of (i) sixty (60) days and (ii) the Closing Date. The date of termination of this Agreement is referred to herein as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In the event, however, in the course of the Placement Agent’s performance of due diligence it deems it necessary to terminate the engagement with respect to itself, such Placement Agent may do so prior to the Termination Date. The Company may elect to terminate the engagement hereunder for any reason prior to the Termination Date but will remain responsible for fees and expenses pursuant to Section 3 hereof and fees with respect to the Securities if sold in the Placement. Notwithstanding anything to the contrary contained herein, the provisions concerning the Company’s obligation to pay any fees actually earned pursuant to Section 3 hereof, to pay expenses pursuant to Section 3 hereof, and the provisions concerning confidentiality, indemnification and contribution, and no fiduciary relationship and governing law (including the waiver of the right to trial by jury) contained herein will survive any expiration or termination of this Agreement. If this Agreement is terminated prior to the completion of the Placement, all fees and expenses due to the Placement Agent shall be paid by the Company to the Placement Agent on or before the Termination Date (in the event such fees are earned or owed as of the Termination Date). The Placement Agent agrees not to use any confidential information concerning the Company provided to such Placement Agent by the Company for any purposes other than those contemplated under this Agreement.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6. PLACEMENT AGENT’S INFORMATION. The Company agrees that any information or advice rendered by the Placement Agent in connection with this engagement is for the confidential use of the Company only in their evaluation of the Placement and, except as otherwise required by law, the Company will not disclose or otherwise refer to the advice or information in any manner without the Placement Agent’s prior written consent.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7. NO FIDUCIARY RELATIONSHIP. This Agreement does not create, and shall not be construed as creating rights enforceable by any person or entity not 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8. CLOSING. The obligations of the Placement Agent, and the closing of the sale of the Securities hereunder are subject to the accuracy, when made and on the Closing Date, of the representations and warranties on the part of the Company contained herein, to the performance by the Company of its obligations hereunder and in the Subscription Agreements, and to each of the following additional terms and conditions, except as otherwise disclosed to and acknowledged and waived by the Placement Agent: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All corporate proceedings and other legal matters incident to the authorization, form, execution, delivery and validity of each of this Agreement, the Securities, and all other legal matters relating to this Agreement and the transactions contemplated hereby with respect to the Securities shall be reasonably satisfactory in all material respects to the Placement Agent.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 The Placement Agent shall have received from outside U.S. corporate counsel to the Company, each such counsel’s written opinion and a negative assurance letter, addressed to the Placement Agent and dated as of the Closing Date, in form and substance reasonably satisfactory to the Placement Agent.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 The Placement Agent shall have received a certificate of the Company’s secretary certifying that (i) the Company’s charter documents are true and complete, have not been modified and are in full force and effect; (ii) that the resolutions of the Company’s Board of Directors relating to the Placement are in full force and effect and have not been modified; and (iii) as to the incumbency of the officers of the Company.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 The Placement Agent shall have received an executed FINRA questionnaire from each of the Company and the Company’s executive officers, directors and holders of at least ten percent (10%) of the Company’s common stock.</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 The Common Stock shall be registered under the Exchange Act and, as of the Closing Date, the Common Stock shall be listed and admitted and authorized for trading on The Nasdaq Capital Market (or any nationally recognized successor thereto) (the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or other applicable U.S. national exchange and reasonably satisfactory evidence of such action shall have been provided to the Placement Agent. The Company shall have taken no action designed to, or likely to have the effect of terminating the registration of the Common Stock under the Exchange Act or delisting or suspending from trading the Common Stock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spacing w:after="0" w:line="258" w:lineRule="auto"/>
        <w:rPr>
          <w:sz w:val="20"/>
          <w:szCs w:val="20"/>
          <w:color w:val="auto"/>
        </w:rPr>
      </w:pPr>
      <w:r>
        <w:rPr>
          <w:rFonts w:ascii="Times New Roman" w:cs="Times New Roman" w:eastAsia="Times New Roman" w:hAnsi="Times New Roman"/>
          <w:sz w:val="18"/>
          <w:szCs w:val="18"/>
          <w:color w:val="auto"/>
        </w:rPr>
        <w:t>F. No action shall have been taken and no statute, rule, regulation or order shall have been enacted, adopted or issued by any governmental agency or body which would, as of the Closing Date, prevent the issuance or sale of the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Securities or materially and adversely affect or potentially and adversely affect the business or operations of the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 The Company shall have entered into a Subscription Agreement with each of the several Purchasers of the Securities and such agreements shall be in full force and effect and shall contain representations, warranties and covenants of the Company as agreed upon between the Company and the Purchasers.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 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2710 with respect to the Placement and pay all filing fees required in connection therewith.</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 The Placement Agent shall have received Lock-up Agreements, in form and substance reasonably acceptable to the Placement Agent, executed by each officer and director of the Company.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 At the pricing of the Offering and the Closing, the Placement Agent shall have received, and the Company shall have caused to be delivered to the Placement Agent, a cold “comfort letter” and a bring-down “comfort letter”, respectively, from the current independent registered public accounting firm of the Company, addressed to the Placement Agent, dated as of the Closing Date, in form and substance reasonably satisfactory to the Placement Agent. The letter shall not disclose any change in the condition (financial or other), earnings, operations, business or prospects of the Company from that set forth in the Incorporated Documents or the applicable Prospectus or prospectus supplement, which, in the Placement Agent’s sole judgment, is material and adverse and that makes it, in the Placement Agent’s sole judgment, impracticable or inadvisable to proceed with the Offering of the Securities as contemplated by such Prospectus.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 On the date of this Agreement and on the Closing Date, the Placement Agent shall have received a certificate of the Chief Financial Officer of the Company addressed to the Placement Agent and in form and substance reasonably satisfactory to the Placement Agent and Placement Agent’s counsel.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 Prior to the Closing Date, the Company shall have furnished to the Placement Agent such further information, certificates and documents as the Placement Agent may reasonably request.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conditions specified in this Section 8 shall not have been fulfilled when and as required by this Agreement, all obligations of the Placement Agent hereunder may be cancelled by the Placement Agent at, or at any time prior to, the Closing Date. Notice of such cancellation shall be given to the Company in writing or orally. Any such oral notice shall be confirmed promptly thereafter in writing.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spacing w:after="0" w:line="253" w:lineRule="auto"/>
        <w:rPr>
          <w:sz w:val="20"/>
          <w:szCs w:val="20"/>
          <w:color w:val="auto"/>
        </w:rPr>
      </w:pPr>
      <w:r>
        <w:rPr>
          <w:rFonts w:ascii="Times New Roman" w:cs="Times New Roman" w:eastAsia="Times New Roman" w:hAnsi="Times New Roman"/>
          <w:sz w:val="18"/>
          <w:szCs w:val="18"/>
          <w:color w:val="auto"/>
        </w:rPr>
        <w:t>SECTION 9. GOVERNING LAW. This Agreement will be governed by, and construed in accordance with, the laws of the State of New York applicable to agreements made and to be performed entirely in such State.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this Agreement, then the prevailing party in such action or proceeding shall be reimbursed by the other party for its attorney's fees and other costs and expenses incurred with the investigation, preparation and prosecution of such action or proceeding.</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10. ENTIRE AGREEMENT/MISCELLANEOUS.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the Placement Agent and the Company. The representations, warranties, agreements and covenants contained herein shall survive the Closing Date of the Placement and delivery of the Securities.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11. NOTICES.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SECTION 12. PRESS ANNOUNCEMENTS. The Company agrees that the Placement Agent shall, on and after the Closing Date,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Please confirm that the foregoing correctly sets forth our agreement by signing and returning to the Placement Agent the enclosed copy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ALEXANDER CAPITAL, 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2468 Industrial Row Drive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Raymond Nobu Chang</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Placement Agency Agreement]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85" w:name="page86"/>
    <w:bookmarkEnd w:id="85"/>
    <w:p>
      <w:pPr>
        <w:ind w:left="10320"/>
        <w:spacing w:after="0"/>
        <w:rPr>
          <w:sz w:val="20"/>
          <w:szCs w:val="20"/>
          <w:color w:val="auto"/>
        </w:rPr>
      </w:pPr>
      <w:r>
        <w:rPr>
          <w:rFonts w:ascii="Times New Roman" w:cs="Times New Roman" w:eastAsia="Times New Roman" w:hAnsi="Times New Roman"/>
          <w:sz w:val="17"/>
          <w:szCs w:val="17"/>
          <w:b w:val="1"/>
          <w:bCs w:val="1"/>
          <w:color w:val="auto"/>
        </w:rPr>
        <w:t>Exhibit 4.21</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PRE-FUNDED COMMON STOCK PURCHASE WARRANT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February _, 2024</w:t>
      </w:r>
    </w:p>
    <w:p>
      <w:pPr>
        <w:spacing w:after="0" w:line="200" w:lineRule="exact"/>
        <w:rPr>
          <w:sz w:val="20"/>
          <w:szCs w:val="20"/>
          <w:color w:val="auto"/>
        </w:rPr>
      </w:pPr>
    </w:p>
    <w:p>
      <w:pPr>
        <w:sectPr>
          <w:pgSz w:w="11900" w:h="16838" w:orient="portrait"/>
          <w:cols w:equalWidth="0" w:num="2">
            <w:col w:w="8440" w:space="720"/>
            <w:col w:w="2080"/>
          </w:cols>
          <w:pgMar w:left="320" w:top="117" w:right="339" w:bottom="1440" w:gutter="0" w:footer="0" w:header="0"/>
          <w:type w:val="continuous"/>
        </w:sectPr>
      </w:pPr>
    </w:p>
    <w:p>
      <w:pPr>
        <w:spacing w:after="0" w:line="2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 or</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Issue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_________ shares (as subject to adjustment hereunder,</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Warrant shall be equal to the Exercise Price, as defined in Section 2(b).</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3" w:lineRule="exact"/>
        <w:rPr>
          <w:sz w:val="20"/>
          <w:szCs w:val="20"/>
          <w:color w:val="auto"/>
        </w:rPr>
      </w:pPr>
    </w:p>
    <w:p>
      <w:pPr>
        <w:jc w:val="both"/>
        <w:ind w:left="660" w:hanging="4"/>
        <w:spacing w:after="0" w:line="255" w:lineRule="auto"/>
        <w:tabs>
          <w:tab w:leader="none" w:pos="9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6" w:name="page87"/>
    <w:bookmarkEnd w:id="86"/>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Company’s registration statement on Form S-1 (File No. 333-276724).</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means the subscription agreements, dated as of February _, 2024, among the Company and the purchasers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Broadridge Corporate Issuer Solutions, Inc., the current transfer agent of the Company, with a mailing address of 51 Mercedes Way, Edgewood, New York 11717, and any successor transfer agent of the Company.</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7" w:name="page88"/>
    <w:bookmarkEnd w:id="8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this Warrant and other Common Stock purchase warrants issued by the Company pursuant to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Warrant, acknowledge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8" w:name="page89"/>
    <w:bookmarkEnd w:id="88"/>
    <w:p>
      <w:pPr>
        <w:jc w:val="both"/>
        <w:ind w:left="-460" w:firstLine="644"/>
        <w:spacing w:after="0" w:line="256" w:lineRule="auto"/>
        <w:tabs>
          <w:tab w:leader="none" w:pos="3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$0.001 per Warrant Share, was pre-funded to the Company on or prior to the Initial Exercise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7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issuance of the Warrant Shares to the Holder, then this Warrant may only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680" w:hanging="496"/>
        <w:spacing w:after="0" w:line="253" w:lineRule="auto"/>
        <w:tabs>
          <w:tab w:leader="none" w:pos="49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460" w:hanging="276"/>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760" w:hanging="576"/>
        <w:spacing w:after="0" w:line="282" w:lineRule="auto"/>
        <w:tabs>
          <w:tab w:leader="none" w:pos="49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9" w:name="page90"/>
    <w:bookmarkEnd w:id="89"/>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6"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960" w:firstLine="648"/>
        <w:spacing w:after="0" w:line="25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5" w:lineRule="exact"/>
        <w:rPr>
          <w:sz w:val="20"/>
          <w:szCs w:val="20"/>
          <w:color w:val="auto"/>
        </w:rPr>
      </w:pPr>
    </w:p>
    <w:p>
      <w:pPr>
        <w:jc w:val="both"/>
        <w:ind w:left="1960" w:firstLine="640"/>
        <w:spacing w:after="0" w:line="261" w:lineRule="auto"/>
        <w:tabs>
          <w:tab w:leader="none" w:pos="281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1960" w:firstLine="640"/>
        <w:spacing w:after="0" w:line="282" w:lineRule="auto"/>
        <w:tabs>
          <w:tab w:leader="none" w:pos="286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left="840" w:firstLine="640"/>
        <w:spacing w:after="0" w:line="252" w:lineRule="auto"/>
        <w:tabs>
          <w:tab w:leader="none" w:pos="1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9"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17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1" w:name="page92"/>
    <w:bookmarkEnd w:id="91"/>
    <w:p>
      <w:pPr>
        <w:ind w:left="1300" w:firstLine="640"/>
        <w:spacing w:after="0" w:line="282" w:lineRule="auto"/>
        <w:tabs>
          <w:tab w:leader="none" w:pos="222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51" w:lineRule="auto"/>
        <w:tabs>
          <w:tab w:leader="none" w:pos="8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2(d)(v).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3" w:name="page94"/>
    <w:bookmarkEnd w:id="93"/>
    <w:p>
      <w:pPr>
        <w:jc w:val="both"/>
        <w:ind w:left="-460" w:firstLine="644"/>
        <w:spacing w:after="0" w:line="251" w:lineRule="auto"/>
        <w:tabs>
          <w:tab w:leader="none" w:pos="3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except as expressly set forth in this Warrant, in no event does this agreement result in the Company having an obligation to issue cash or other assets to the Holder.</w:t>
      </w:r>
    </w:p>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4" w:name="page95"/>
    <w:bookmarkEnd w:id="94"/>
    <w:p>
      <w:pPr>
        <w:jc w:val="both"/>
        <w:ind w:left="-460" w:firstLine="644"/>
        <w:spacing w:after="0" w:line="266" w:lineRule="auto"/>
        <w:tabs>
          <w:tab w:leader="none" w:pos="37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89" w:lineRule="auto"/>
        <w:tabs>
          <w:tab w:leader="none" w:pos="1628"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840" w:firstLine="640"/>
        <w:spacing w:after="0" w:line="251" w:lineRule="auto"/>
        <w:tabs>
          <w:tab w:leader="none" w:pos="170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6" w:name="page97"/>
    <w:bookmarkEnd w:id="96"/>
    <w:p>
      <w:pPr>
        <w:jc w:val="both"/>
        <w:ind w:left="-460" w:firstLine="644"/>
        <w:spacing w:after="0" w:line="258" w:lineRule="auto"/>
        <w:tabs>
          <w:tab w:leader="none" w:pos="38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as otherwise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7" w:name="page98"/>
    <w:bookmarkEnd w:id="97"/>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460" w:firstLine="644"/>
        <w:spacing w:after="0" w:line="252" w:lineRule="auto"/>
        <w:tabs>
          <w:tab w:leader="none" w:pos="37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8" w:name="page99"/>
    <w:bookmarkEnd w:id="98"/>
    <w:p>
      <w:pPr>
        <w:jc w:val="both"/>
        <w:ind w:left="4" w:firstLine="644"/>
        <w:spacing w:after="0" w:line="267" w:lineRule="auto"/>
        <w:tabs>
          <w:tab w:leader="none" w:pos="874"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2468 Industrial Row Drive, Troy, Michigan 48084, Attention: General Counsel, email address: josh.savitz@agrify.com,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w:t>
      </w:r>
    </w:p>
    <w:p>
      <w:pPr>
        <w:spacing w:after="0" w:line="3" w:lineRule="exact"/>
        <w:rPr>
          <w:rFonts w:ascii="Times New Roman" w:cs="Times New Roman" w:eastAsia="Times New Roman" w:hAnsi="Times New Roman"/>
          <w:sz w:val="17"/>
          <w:szCs w:val="17"/>
          <w:color w:val="auto"/>
        </w:rPr>
      </w:pPr>
    </w:p>
    <w:p>
      <w:pPr>
        <w:jc w:val="both"/>
        <w:ind w:left="4" w:right="20" w:hanging="4"/>
        <w:spacing w:after="0" w:line="253" w:lineRule="auto"/>
        <w:tabs>
          <w:tab w:leader="none" w:pos="33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0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0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4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80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or the beneficial owner of this Warrant, on the other hand.</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9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84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44"/>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9" w:name="page100"/>
    <w:bookmarkEnd w:id="99"/>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Raymond N. Chang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ind w:firstLine="1304"/>
        <w:spacing w:after="0" w:line="282" w:lineRule="auto"/>
        <w:tabs>
          <w:tab w:leader="none" w:pos="158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1840" w:hanging="212"/>
        <w:spacing w:after="0"/>
        <w:tabs>
          <w:tab w:leader="none" w:pos="1840" w:val="left"/>
        </w:tabs>
        <w:numPr>
          <w:ilvl w:val="1"/>
          <w:numId w:val="7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620" w:right="20" w:firstLine="8"/>
        <w:spacing w:after="0" w:line="266" w:lineRule="auto"/>
        <w:tabs>
          <w:tab w:leader="none" w:pos="1857" w:val="left"/>
        </w:tabs>
        <w:numPr>
          <w:ilvl w:val="1"/>
          <w:numId w:val="7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291465</wp:posOffset>
            </wp:positionV>
            <wp:extent cx="28543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291465</wp:posOffset>
            </wp:positionV>
            <wp:extent cx="28543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600075</wp:posOffset>
            </wp:positionV>
            <wp:extent cx="285432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5">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908685</wp:posOffset>
            </wp:positionV>
            <wp:extent cx="28543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right="999"/>
        <w:spacing w:after="0" w:line="610"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30480</wp:posOffset>
            </wp:positionV>
            <wp:extent cx="284607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02" w:name="page103"/>
    <w:bookmarkEnd w:id="102"/>
    <w:p>
      <w:pPr>
        <w:ind w:left="10120"/>
        <w:spacing w:after="0"/>
        <w:rPr>
          <w:sz w:val="20"/>
          <w:szCs w:val="20"/>
          <w:color w:val="auto"/>
        </w:rPr>
      </w:pPr>
      <w:r>
        <w:rPr>
          <w:rFonts w:ascii="Times New Roman" w:cs="Times New Roman" w:eastAsia="Times New Roman" w:hAnsi="Times New Roman"/>
          <w:sz w:val="21"/>
          <w:szCs w:val="21"/>
          <w:b w:val="1"/>
          <w:bCs w:val="1"/>
          <w:color w:val="auto"/>
        </w:rPr>
        <w:t>Exhibit 4.22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PLACEMENT AGENT COMMON STOCK PURCHASE WARRANT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ectPr>
          <w:pgSz w:w="11900" w:h="16838" w:orient="portrait"/>
          <w:cols w:equalWidth="0" w:num="1">
            <w:col w:w="11240"/>
          </w:cols>
          <w:pgMar w:left="320" w:top="108"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February _, 2024</w:t>
      </w:r>
    </w:p>
    <w:p>
      <w:pPr>
        <w:spacing w:after="0" w:line="200" w:lineRule="exact"/>
        <w:rPr>
          <w:sz w:val="20"/>
          <w:szCs w:val="20"/>
          <w:color w:val="auto"/>
        </w:rPr>
      </w:pPr>
    </w:p>
    <w:p>
      <w:pPr>
        <w:sectPr>
          <w:pgSz w:w="11900" w:h="16838" w:orient="portrait"/>
          <w:cols w:equalWidth="0" w:num="2">
            <w:col w:w="8440" w:space="720"/>
            <w:col w:w="2080"/>
          </w:cols>
          <w:pgMar w:left="320" w:top="108" w:right="339" w:bottom="1440" w:gutter="0" w:footer="0" w:header="0"/>
          <w:type w:val="continuous"/>
        </w:sectPr>
      </w:pPr>
    </w:p>
    <w:p>
      <w:pPr>
        <w:spacing w:after="0" w:line="3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THIS PLACEMENT AGENT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Alexander Capital, L.P.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[180 days after the Issue Date]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February __, 2029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shall be equal to the Exercise Price, as defined in Section 2(b).</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3" w:lineRule="exact"/>
        <w:rPr>
          <w:sz w:val="20"/>
          <w:szCs w:val="20"/>
          <w:color w:val="auto"/>
        </w:rPr>
      </w:pPr>
    </w:p>
    <w:p>
      <w:pPr>
        <w:jc w:val="both"/>
        <w:ind w:left="660" w:hanging="4"/>
        <w:spacing w:after="0" w:line="255" w:lineRule="auto"/>
        <w:tabs>
          <w:tab w:leader="none" w:pos="9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3" w:name="page104"/>
    <w:bookmarkEnd w:id="10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Company’s registration statement on Form S-1 (File No. 333-276724).</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means the subscription agreements, dated as of February _, 2024, among the Company and the purchasers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Broadridge Corporate Issuer Solutions, Inc., the current transfer agent of the Company, with a mailing address of 51 Mercedes Way, Edgewood, New York 11717, and any successor transfer agent of the Company.</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4" w:name="page105"/>
    <w:bookmarkEnd w:id="10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this Warrant and other Common Stock purchase warrants issued by the Company pursuant to the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Warrant, acknowledge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5" w:name="page106"/>
    <w:bookmarkEnd w:id="105"/>
    <w:p>
      <w:pPr>
        <w:ind w:firstLine="644"/>
        <w:spacing w:after="0" w:line="282" w:lineRule="auto"/>
        <w:tabs>
          <w:tab w:leader="none" w:pos="85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[100% of the offering price],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issuance of the Warrant Shares to the Holder, then this Warrant may only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1160" w:hanging="516"/>
        <w:spacing w:after="0" w:line="253" w:lineRule="auto"/>
        <w:tabs>
          <w:tab w:leader="none" w:pos="9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160" w:hanging="516"/>
        <w:spacing w:after="0" w:line="282" w:lineRule="auto"/>
        <w:tabs>
          <w:tab w:leader="none" w:pos="97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6" w:name="page107"/>
    <w:bookmarkEnd w:id="106"/>
    <w:p>
      <w:pPr>
        <w:ind w:left="328" w:hanging="328"/>
        <w:spacing w:after="0"/>
        <w:tabs>
          <w:tab w:leader="none" w:pos="3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628" w:firstLine="648"/>
        <w:spacing w:after="0" w:line="25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5" w:lineRule="exact"/>
        <w:rPr>
          <w:sz w:val="20"/>
          <w:szCs w:val="20"/>
          <w:color w:val="auto"/>
        </w:rPr>
      </w:pPr>
    </w:p>
    <w:p>
      <w:pPr>
        <w:jc w:val="both"/>
        <w:ind w:left="1628" w:firstLine="640"/>
        <w:spacing w:after="0" w:line="261" w:lineRule="auto"/>
        <w:tabs>
          <w:tab w:leader="none" w:pos="247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07" w:name="page108"/>
    <w:bookmarkEnd w:id="107"/>
    <w:p>
      <w:pPr>
        <w:ind w:left="840" w:firstLine="640"/>
        <w:spacing w:after="0" w:line="282" w:lineRule="auto"/>
        <w:tabs>
          <w:tab w:leader="none" w:pos="174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9"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171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8" w:name="page109"/>
    <w:bookmarkEnd w:id="108"/>
    <w:p>
      <w:pPr>
        <w:jc w:val="both"/>
        <w:ind w:firstLine="644"/>
        <w:spacing w:after="0" w:line="251" w:lineRule="auto"/>
        <w:tabs>
          <w:tab w:leader="none" w:pos="8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subject to the limitation on fractional shares in Section 2(d)(v).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other than a dividend or other distribution of the type described in Section 3(a) above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0" w:name="page111"/>
    <w:bookmarkEnd w:id="110"/>
    <w:p>
      <w:pPr>
        <w:jc w:val="both"/>
        <w:ind w:left="-460" w:firstLine="644"/>
        <w:spacing w:after="0" w:line="251" w:lineRule="auto"/>
        <w:tabs>
          <w:tab w:leader="none" w:pos="39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except as expressly set forth in this Warrant, in no event does this agreement result in the Company having an obligation to issue cash or other assets to the Holder.</w:t>
      </w:r>
    </w:p>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1" w:name="page112"/>
    <w:bookmarkEnd w:id="111"/>
    <w:p>
      <w:pPr>
        <w:jc w:val="both"/>
        <w:ind w:left="-460" w:firstLine="644"/>
        <w:spacing w:after="0" w:line="266" w:lineRule="auto"/>
        <w:tabs>
          <w:tab w:leader="none" w:pos="37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89" w:lineRule="auto"/>
        <w:tabs>
          <w:tab w:leader="none" w:pos="1628"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840" w:firstLine="640"/>
        <w:spacing w:after="0" w:line="251" w:lineRule="auto"/>
        <w:tabs>
          <w:tab w:leader="none" w:pos="170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61" w:lineRule="auto"/>
        <w:tabs>
          <w:tab w:leader="none" w:pos="8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Pursuant to FINRA Rule 5110(e),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commencement of sales of the offering pursuant to which this Warrant is being issued, except the transfer of any security:</w:t>
      </w:r>
    </w:p>
    <w:p>
      <w:pPr>
        <w:spacing w:after="0" w:line="179" w:lineRule="exact"/>
        <w:rPr>
          <w:rFonts w:ascii="Times New Roman" w:cs="Times New Roman" w:eastAsia="Times New Roman" w:hAnsi="Times New Roman"/>
          <w:sz w:val="18"/>
          <w:szCs w:val="18"/>
          <w:color w:val="auto"/>
        </w:rPr>
      </w:pPr>
    </w:p>
    <w:p>
      <w:pPr>
        <w:ind w:left="1180" w:hanging="212"/>
        <w:spacing w:after="0"/>
        <w:tabs>
          <w:tab w:leader="none" w:pos="11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or by reason of reorganization of the Company;</w:t>
      </w:r>
    </w:p>
    <w:p>
      <w:pPr>
        <w:spacing w:after="0" w:line="225" w:lineRule="exact"/>
        <w:rPr>
          <w:rFonts w:ascii="Times New Roman" w:cs="Times New Roman" w:eastAsia="Times New Roman" w:hAnsi="Times New Roman"/>
          <w:sz w:val="18"/>
          <w:szCs w:val="18"/>
          <w:color w:val="auto"/>
        </w:rPr>
      </w:pPr>
    </w:p>
    <w:p>
      <w:pPr>
        <w:ind w:left="960" w:right="20" w:firstLine="8"/>
        <w:spacing w:after="0" w:line="282" w:lineRule="auto"/>
        <w:tabs>
          <w:tab w:leader="none" w:pos="123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FINRA member firm participating in the offering and the officers, partners, registered persons or affiliates thereof, if all securities so transferred remain subject to the lock-up restriction in this Section 4(a) for the remainder of the time period;</w:t>
      </w:r>
    </w:p>
    <w:p>
      <w:pPr>
        <w:spacing w:after="0" w:line="162" w:lineRule="exact"/>
        <w:rPr>
          <w:sz w:val="20"/>
          <w:szCs w:val="20"/>
          <w:color w:val="auto"/>
        </w:rPr>
      </w:pPr>
    </w:p>
    <w:p>
      <w:pPr>
        <w:jc w:val="both"/>
        <w:ind w:left="960"/>
        <w:spacing w:after="0" w:line="282" w:lineRule="auto"/>
        <w:rPr>
          <w:sz w:val="20"/>
          <w:szCs w:val="20"/>
          <w:color w:val="auto"/>
        </w:rPr>
      </w:pPr>
      <w:r>
        <w:rPr>
          <w:rFonts w:ascii="Times New Roman" w:cs="Times New Roman" w:eastAsia="Times New Roman" w:hAnsi="Times New Roman"/>
          <w:sz w:val="18"/>
          <w:szCs w:val="18"/>
          <w:color w:val="auto"/>
        </w:rPr>
        <w:t>(iii)if the aggregate amount of securities of the Company held by the Holder or related person does not exceed 1% of the securities being offered;</w:t>
      </w:r>
    </w:p>
    <w:p>
      <w:pPr>
        <w:spacing w:after="0" w:line="162" w:lineRule="exact"/>
        <w:rPr>
          <w:sz w:val="20"/>
          <w:szCs w:val="20"/>
          <w:color w:val="auto"/>
        </w:rPr>
      </w:pPr>
    </w:p>
    <w:p>
      <w:pPr>
        <w:jc w:val="both"/>
        <w:ind w:left="960"/>
        <w:spacing w:after="0" w:line="266" w:lineRule="auto"/>
        <w:rPr>
          <w:sz w:val="20"/>
          <w:szCs w:val="20"/>
          <w:color w:val="auto"/>
        </w:rPr>
      </w:pPr>
      <w:r>
        <w:rPr>
          <w:rFonts w:ascii="Times New Roman" w:cs="Times New Roman" w:eastAsia="Times New Roman" w:hAnsi="Times New Roman"/>
          <w:sz w:val="18"/>
          <w:szCs w:val="18"/>
          <w:color w:val="auto"/>
        </w:rPr>
        <w:t>(iv)that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76" w:lineRule="exact"/>
        <w:rPr>
          <w:sz w:val="20"/>
          <w:szCs w:val="20"/>
          <w:color w:val="auto"/>
        </w:rPr>
      </w:pPr>
    </w:p>
    <w:p>
      <w:pPr>
        <w:jc w:val="both"/>
        <w:ind w:left="960"/>
        <w:spacing w:after="0" w:line="282" w:lineRule="auto"/>
        <w:rPr>
          <w:sz w:val="20"/>
          <w:szCs w:val="20"/>
          <w:color w:val="auto"/>
        </w:rPr>
      </w:pPr>
      <w:r>
        <w:rPr>
          <w:rFonts w:ascii="Times New Roman" w:cs="Times New Roman" w:eastAsia="Times New Roman" w:hAnsi="Times New Roman"/>
          <w:sz w:val="18"/>
          <w:szCs w:val="18"/>
          <w:color w:val="auto"/>
        </w:rPr>
        <w:t>(v)the exercise or conversion of any security, if all securities received remain subject to the lock-up restriction in this Section 4(a) for the remainder of the time period;</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(vi)if the Company meets the registration requirements of Forms S-3, F-3 or F-10; or</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(vii)back to the Company in a transaction exempt from registration with the Commission.</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3" w:name="page114"/>
    <w:bookmarkEnd w:id="113"/>
    <w:p>
      <w:pPr>
        <w:jc w:val="both"/>
        <w:ind w:left="960"/>
        <w:spacing w:after="0" w:line="253" w:lineRule="auto"/>
        <w:rPr>
          <w:sz w:val="20"/>
          <w:szCs w:val="20"/>
          <w:color w:val="auto"/>
        </w:rPr>
      </w:pPr>
      <w:r>
        <w:rPr>
          <w:rFonts w:ascii="Times New Roman" w:cs="Times New Roman" w:eastAsia="Times New Roman" w:hAnsi="Times New Roman"/>
          <w:sz w:val="18"/>
          <w:szCs w:val="18"/>
          <w:color w:val="auto"/>
        </w:rPr>
        <w:t>Subject to the foregoing restriction,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0" w:lineRule="exact"/>
        <w:rPr>
          <w:sz w:val="20"/>
          <w:szCs w:val="20"/>
          <w:color w:val="auto"/>
        </w:rPr>
      </w:pPr>
    </w:p>
    <w:p>
      <w:pPr>
        <w:jc w:val="both"/>
        <w:ind w:firstLine="644"/>
        <w:spacing w:after="0" w:line="256" w:lineRule="auto"/>
        <w:tabs>
          <w:tab w:leader="none" w:pos="84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4" w:name="page115"/>
    <w:bookmarkEnd w:id="114"/>
    <w:p>
      <w:pPr>
        <w:jc w:val="both"/>
        <w:ind w:left="-460" w:firstLine="644"/>
        <w:spacing w:after="0" w:line="258" w:lineRule="auto"/>
        <w:tabs>
          <w:tab w:leader="none" w:pos="38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as otherwise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5" w:name="page116"/>
    <w:bookmarkEnd w:id="115"/>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460" w:firstLine="644"/>
        <w:spacing w:after="0" w:line="252" w:lineRule="auto"/>
        <w:tabs>
          <w:tab w:leader="none" w:pos="37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9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6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6" w:name="page117"/>
    <w:bookmarkEnd w:id="116"/>
    <w:p>
      <w:pPr>
        <w:jc w:val="both"/>
        <w:ind w:left="4" w:firstLine="644"/>
        <w:spacing w:after="0" w:line="267" w:lineRule="auto"/>
        <w:tabs>
          <w:tab w:leader="none" w:pos="874"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2468 Industrial Row Drive, Troy, Michigan 48084, Attention: General Counsel, email address: josh.savitz@agrify.com,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w:t>
      </w:r>
    </w:p>
    <w:p>
      <w:pPr>
        <w:spacing w:after="0" w:line="3" w:lineRule="exact"/>
        <w:rPr>
          <w:rFonts w:ascii="Times New Roman" w:cs="Times New Roman" w:eastAsia="Times New Roman" w:hAnsi="Times New Roman"/>
          <w:sz w:val="17"/>
          <w:szCs w:val="17"/>
          <w:color w:val="auto"/>
        </w:rPr>
      </w:pPr>
    </w:p>
    <w:p>
      <w:pPr>
        <w:jc w:val="both"/>
        <w:ind w:left="4" w:right="20" w:hanging="4"/>
        <w:spacing w:after="0" w:line="253" w:lineRule="auto"/>
        <w:tabs>
          <w:tab w:leader="none" w:pos="33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0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0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7" w:name="page118"/>
    <w:bookmarkEnd w:id="117"/>
    <w:p>
      <w:pPr>
        <w:jc w:val="both"/>
        <w:ind w:left="-460" w:firstLine="644"/>
        <w:spacing w:after="0" w:line="261" w:lineRule="auto"/>
        <w:tabs>
          <w:tab w:leader="none" w:pos="38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4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the Holder or the beneficial owner of this Warrant, on the other hand.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3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8" w:name="page119"/>
    <w:bookmarkEnd w:id="118"/>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Raymond N. Chang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AGRIFY CORPORATION</w:t>
      </w:r>
    </w:p>
    <w:p>
      <w:pPr>
        <w:spacing w:after="0" w:line="225" w:lineRule="exact"/>
        <w:rPr>
          <w:sz w:val="20"/>
          <w:szCs w:val="20"/>
          <w:color w:val="auto"/>
        </w:rPr>
      </w:pPr>
    </w:p>
    <w:p>
      <w:pPr>
        <w:ind w:firstLine="1304"/>
        <w:spacing w:after="0" w:line="282" w:lineRule="auto"/>
        <w:tabs>
          <w:tab w:leader="none" w:pos="156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9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9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left="200" w:right="819"/>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34290</wp:posOffset>
            </wp:positionV>
            <wp:extent cx="284607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34290</wp:posOffset>
            </wp:positionV>
            <wp:extent cx="284607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-7620</wp:posOffset>
            </wp:positionV>
            <wp:extent cx="285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156845</wp:posOffset>
            </wp:positionV>
            <wp:extent cx="5829300" cy="11315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8">
                      <a:extLst>
                        <a:ext uri="{28A0092B-C50C-407E-A947-70E740481C1C}"/>
                      </a:extLst>
                    </a:blip>
                    <a:srcRect/>
                    <a:stretch>
                      <a:fillRect/>
                    </a:stretch>
                  </pic:blipFill>
                  <pic:spPr bwMode="auto">
                    <a:xfrm>
                      <a:off x="0" y="0"/>
                      <a:ext cx="582930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2468 Industrial Row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Re:</w:t>
      </w:r>
      <w:r>
        <w:rPr>
          <w:sz w:val="20"/>
          <w:szCs w:val="20"/>
          <w:color w:val="auto"/>
        </w:rPr>
        <w:tab/>
      </w:r>
      <w:r>
        <w:rPr>
          <w:rFonts w:ascii="Times New Roman" w:cs="Times New Roman" w:eastAsia="Times New Roman" w:hAnsi="Times New Roman"/>
          <w:sz w:val="18"/>
          <w:szCs w:val="18"/>
          <w:b w:val="1"/>
          <w:bCs w:val="1"/>
          <w:i w:val="1"/>
          <w:iCs w:val="1"/>
          <w:color w:val="auto"/>
        </w:rPr>
        <w:t>Agrify Corporation/Registration Statement on Form S-1 (File No. 333-276724)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special Nevada counsel to Agrify Corporation, a Nevada corporation (the “Company”), in connection with the issuance and sale by the Company of (a) up to 2,014,234 shares (the “Shares”) of the Company’s common stock, par value $0.001 per share (the “Common Stock”); (b) up to 2,014,234 pre-funded warrants (the “Pre-Funded Warrants”) to purchase and equal number of shares of Common Stock (the “Pre-Funded Warrant Shares”) with an exercise price equal to $0.001 per share; and (c) up to 60,427 warrants (the “Representative’s Warrants”) to purchase an aggregate of 60,427 shares of Common Stock (the “Representative Warrant Shares”) with an exercise price equal to $0.7447 per share. The Shares, the Pre-Funded Warrants, the Pre-Funded Warrant Shares, the Representative’s Warrants, and the Representative Warrant Shares are collectively referred to herein as the “Securities.” The Securities are being offered, sold, and issued under the terms of a Placement Agency Agreement (the “Placement Agreement”), to be entered into between the Company and Alexander Capital L.P., as placement agent, and the terms of a Subscription Agreement (the “Subscription Agreement”) to be entered into between the Company and the purchaser of the Shares and Pre-Funded Warrants.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are to be offered by the Company under a Registration Statement on Form S-1 (Registration No. 333-276724) (the “Registration Statement”) in accordance with the Securities Act of 1933, as amended (the “Securities Act”), as filed with the Securities and Exchange Commission (the “Commission”) under the Securities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these opinions, we have examined originals or copies, certified or otherwise identified to our satisfaction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February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-119380</wp:posOffset>
            </wp:positionV>
            <wp:extent cx="1285875" cy="1036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0">
                      <a:extLst>
                        <a:ext uri="{28A0092B-C50C-407E-A947-70E740481C1C}"/>
                      </a:extLst>
                    </a:blip>
                    <a:srcRect/>
                    <a:stretch>
                      <a:fillRect/>
                    </a:stretch>
                  </pic:blipFill>
                  <pic:spPr bwMode="auto">
                    <a:xfrm>
                      <a:off x="0" y="0"/>
                      <a:ext cx="1285875" cy="10369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20" w:hanging="264"/>
        <w:spacing w:after="0"/>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the Placement Agreement;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Subscription Agreement;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the Pre-Funded Warrants;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the Representative’s Warrants;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of the Board of Directors and such other matters as relevant related to (i) the approval of the Placement Agreement and authorization of the Company to execute, deliver, and perform its obligations under the Placement Agreement and the Subscription Agreements, (ii) the issuance and registration of the Securities under the Securities Act, and (iii) such other matters as relevant.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examined originals or copies, certified or otherwise identified to our satisfaction, of such records of the Company corporate charter documents and such agreements, certificates of public officials, certificates of officers or other representatives of the Company and others, and such other documents, certificates, and records as we have deemed necessary or appropriate as a basis for the opinions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examination, we have assumed:</w:t>
      </w:r>
    </w:p>
    <w:p>
      <w:pPr>
        <w:spacing w:after="0" w:line="225" w:lineRule="exact"/>
        <w:rPr>
          <w:sz w:val="20"/>
          <w:szCs w:val="20"/>
          <w:color w:val="auto"/>
        </w:rPr>
      </w:pPr>
    </w:p>
    <w:p>
      <w:pPr>
        <w:ind w:left="900" w:hanging="244"/>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capacity of all natural persons executing the documents;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the documents;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89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documents submitted to us as originals, and the conformity to original documents of all documents submitted to us as copies or forms;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parties to such documents, other than the Company, had the power, corporate or other, to enter into and perform all obligations thereunder; and</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Company, the due authorization by all requisite action, corporate or other; and</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all parties of the documents, and the validity and binding effect thereof on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February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-119380</wp:posOffset>
            </wp:positionV>
            <wp:extent cx="1285875" cy="1036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2">
                      <a:extLst>
                        <a:ext uri="{28A0092B-C50C-407E-A947-70E740481C1C}"/>
                      </a:extLst>
                    </a:blip>
                    <a:srcRect/>
                    <a:stretch>
                      <a:fillRect/>
                    </a:stretch>
                  </pic:blipFill>
                  <pic:spPr bwMode="auto">
                    <a:xfrm>
                      <a:off x="0" y="0"/>
                      <a:ext cx="1285875" cy="10369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relied upon the accuracy and completeness of the information, factual matters, representations, and warranties contained in such documents. The opinions expressed herein are subject to the effect of applicable bankruptcy, insolvency, reorganization, receivership, moratorium, fraudulent transfer, and other similar laws affecting the rights and remedies of creditors generally and the effect of general principles of equity.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assumptions, limitations, and qualifications set forth herein, we are of the opinion that:</w:t>
      </w:r>
    </w:p>
    <w:p>
      <w:pPr>
        <w:spacing w:after="0" w:line="162" w:lineRule="exact"/>
        <w:rPr>
          <w:sz w:val="20"/>
          <w:szCs w:val="20"/>
          <w:color w:val="auto"/>
        </w:rPr>
      </w:pPr>
    </w:p>
    <w:p>
      <w:pPr>
        <w:ind w:right="20" w:firstLine="656"/>
        <w:spacing w:after="0" w:line="282" w:lineRule="auto"/>
        <w:tabs>
          <w:tab w:leader="none" w:pos="90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against payment in accordance with the terms of the Placement Agreement, will be validly issued, fully paid, and nonassessable;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 Shares have been duly authorized, and when issued upon exercise of the Pre-Funded Warrants in accordance with the terms thereof and the Company’s charter documents, including, without limitation, the payment in full of the applicable consideration, will be validly issued, fully paid, and non-assessable;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Warrant Shares have been duly authorized, and when issued upon exercise of the Representative’s Warrants in accordance with the terms thereof and the Company’s charter documents, including, without limitation, the payment in full of the applicable consideration, will be validly issued, fully paid, and non-assessable.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subsequent to the date the Registration Statement is declared effective.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certain members of this firm are admitted to practice in certain jurisdictions other than Nevada, in rendering the foregoing opinions we have not examined the laws of any jurisdiction other than Nevada. The opinions we express herein are limited solely to the laws of the State of Nevada. We express no opinion regarding any state or federal securities laws, including any Nevada securities laws or regulations. We express no opinion regarding the effect of the laws of any other jurisdiction or state, including any federal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t>February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-119380</wp:posOffset>
            </wp:positionV>
            <wp:extent cx="1285875" cy="1036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4">
                      <a:extLst>
                        <a:ext uri="{28A0092B-C50C-407E-A947-70E740481C1C}"/>
                      </a:extLst>
                    </a:blip>
                    <a:srcRect/>
                    <a:stretch>
                      <a:fillRect/>
                    </a:stretch>
                  </pic:blipFill>
                  <pic:spPr bwMode="auto">
                    <a:xfrm>
                      <a:off x="0" y="0"/>
                      <a:ext cx="1285875" cy="10369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use of this opinion letter as Exhibit 5.1 to the Registration Statement and to the use of our name under the caption “Legal Matters” in the Prospectus forming a part of the Registration Statement. In giving the foregoing consent, we do not 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Sherman &amp; Howard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SHERMAN &amp; HOWARD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w:t>
      </w:r>
      <w:r>
        <w:rPr>
          <w:rFonts w:ascii="Times New Roman" w:cs="Times New Roman" w:eastAsia="Times New Roman" w:hAnsi="Times New Roman"/>
          <w:sz w:val="12"/>
          <w:szCs w:val="12"/>
          <w:color w:val="auto"/>
        </w:rPr>
        <w:t>etterhead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urns</w:t>
      </w:r>
      <w:r>
        <w:rPr>
          <w:rFonts w:ascii="Times New Roman" w:cs="Times New Roman" w:eastAsia="Times New Roman" w:hAnsi="Times New Roman"/>
          <w:sz w:val="18"/>
          <w:szCs w:val="18"/>
          <w:color w:val="auto"/>
        </w:rPr>
        <w:t xml:space="preserve"> &amp; L</w:t>
      </w:r>
      <w:r>
        <w:rPr>
          <w:rFonts w:ascii="Times New Roman" w:cs="Times New Roman" w:eastAsia="Times New Roman" w:hAnsi="Times New Roman"/>
          <w:sz w:val="12"/>
          <w:szCs w:val="12"/>
          <w:color w:val="auto"/>
        </w:rPr>
        <w:t>evinson</w:t>
      </w:r>
      <w:r>
        <w:rPr>
          <w:rFonts w:ascii="Times New Roman" w:cs="Times New Roman" w:eastAsia="Times New Roman" w:hAnsi="Times New Roman"/>
          <w:sz w:val="18"/>
          <w:szCs w:val="18"/>
          <w:color w:val="auto"/>
        </w:rPr>
        <w:t xml:space="preserv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2468 Industrial Row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We have acted as counsel to Agrify Corporation, a Nevada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connection with the preparation of a Registration Statement on Form S-1 (Registration No. 333-276724)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filed by the Company with the U.S.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on January 26, 2024, as amended on February 7, 2024, with respect to the offer and sale of (a) 2,014,234 shares (the “</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of the Company’s common stock, par value $0.001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w:t>
      </w:r>
    </w:p>
    <w:p>
      <w:pPr>
        <w:jc w:val="both"/>
        <w:ind w:firstLine="8"/>
        <w:spacing w:after="0" w:line="253" w:lineRule="auto"/>
        <w:tabs>
          <w:tab w:leader="none" w:pos="28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to purchase an aggregate of 2,014,234 shares of Common Stock (the “</w:t>
      </w:r>
      <w:r>
        <w:rPr>
          <w:rFonts w:ascii="Times New Roman" w:cs="Times New Roman" w:eastAsia="Times New Roman" w:hAnsi="Times New Roman"/>
          <w:sz w:val="18"/>
          <w:szCs w:val="18"/>
          <w:b w:val="1"/>
          <w:bCs w:val="1"/>
          <w:color w:val="auto"/>
        </w:rPr>
        <w:t>Pre-Funded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(c) warrants issuable to the placement agent (the “</w:t>
      </w:r>
      <w:r>
        <w:rPr>
          <w:rFonts w:ascii="Times New Roman" w:cs="Times New Roman" w:eastAsia="Times New Roman" w:hAnsi="Times New Roman"/>
          <w:sz w:val="18"/>
          <w:szCs w:val="18"/>
          <w:b w:val="1"/>
          <w:bCs w:val="1"/>
          <w:color w:val="auto"/>
        </w:rPr>
        <w:t>Placement Agent Warrants</w:t>
      </w:r>
      <w:r>
        <w:rPr>
          <w:rFonts w:ascii="Times New Roman" w:cs="Times New Roman" w:eastAsia="Times New Roman" w:hAnsi="Times New Roman"/>
          <w:sz w:val="18"/>
          <w:szCs w:val="18"/>
          <w:color w:val="auto"/>
        </w:rPr>
        <w:t>” and, together with the Pre-Funded Warrants,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to purchase an aggregate of 40,285 shares of Common Stock (the “</w:t>
      </w:r>
      <w:r>
        <w:rPr>
          <w:rFonts w:ascii="Times New Roman" w:cs="Times New Roman" w:eastAsia="Times New Roman" w:hAnsi="Times New Roman"/>
          <w:sz w:val="18"/>
          <w:szCs w:val="18"/>
          <w:b w:val="1"/>
          <w:bCs w:val="1"/>
          <w:color w:val="auto"/>
        </w:rPr>
        <w:t>Placement Agent Warrant Shares</w:t>
      </w:r>
      <w:r>
        <w:rPr>
          <w:rFonts w:ascii="Times New Roman" w:cs="Times New Roman" w:eastAsia="Times New Roman" w:hAnsi="Times New Roman"/>
          <w:sz w:val="18"/>
          <w:szCs w:val="18"/>
          <w:color w:val="auto"/>
        </w:rPr>
        <w:t>” and, together with the Pre-Funded Warrant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The Common Shares, Warrants and Warrant Shares are referred to herein collectively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Securities are to be sold to purchasers as described in the Registration Statement and pursuant to subscription agreements referred to in the Registration Statement (collectively,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We have assumed that the sale of the Securities by the Company and the exercise price of the Warrants will be at a price established by the Board of Directors of the Company or a duly-formed Pricing Committee thereof in accordance with applicable law that is at least the par value for each share of Common Stock being sold as part of the Securities and upon exercise of the Warrants. We have also assumed that: (i) the Warrant Shares will be properly delivered to the persons exercising the Warrants, and (ii) at the time of exercise of the Warrants, the consideration for the issuance and sale of the Common Stock in connection with such exercise is an amount that is not less than the par value of the Common Stock. With respect to the Warrant Shares, we express no opinion to the extent that future issuances of securities of the Company, including the Warrant Shares, may cause the Warrants to be exercisable for more shares of Common Stock than the number that then remain authorized but unissued and available for issuance.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the Registration Statement and the related prospectus, the Company’s Articles of Incorporation, as amended, the Company’s By-Laws, the Subscription Agreement, the Pre-Funded Warrants, the Placement Agent Warrants, and such instruments, documents, certificates and records that we have deemed relevant and necessary for the basis of our opinion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records, documents, instruments and certificates we have reviewed; and (iv) the due execution and delivery of all documents where due execution and delivery are a prerequisite to the effectiveness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upon the foregoing, we are of the opinion that when the Warrants have been offered, sold, issued, duly executed and delivered by the Company as described in the Registration Statement and the related prospectus, and in accordance with, and in the manner set forth in, the Subscription Agreement (including, without limitation, the payment in full of all applicable consideration therefor), against payment therefor, such Warrants will constitute binding obligations of the Company enforceable with their terms except: (a) as such enforceability may be limited by bankruptcy, insolvency, reorganization or similar laws affecting creditors’ rights generally and by general equitable principles (regardless of whether enforceability is considered in a proceeding in equity or at law); (b) as enforceability of any indemnification or contribution provision may be limited under the federal and state securities laws, and (c) that the remedy of specific performance and injunctive and other forms of equitable relief may be subject to the equitable defenses and to the discretion of the court before which any proceeding therefor may be brought.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opinion is limited to the Commonwealth of Massachusetts, and we express no opinion with respect to the laws of any other jurisdiction. We have assumed, with the permission of the Company and without any independent investigation, that the law of New York is identical to that of the Commonwealth of Massachusetts as it relates to the Warrants. No opinion is expressed herein with respect to the qualification of the Shares under the securities or blue sky laws of any state or foreign jurisdiction.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and to the reference to this firm under the caption “Legal Matters” in the Registration Statement.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giving this consent, we do not admit that we are within the category of persons whose consent is required by Section 7 of the Securities Act or the rules and regulations promulgated thereunder by the Commission. This opinion letter is given to you solely for use in connection with the offer and sale of the Securities while the Registration Statement is in effect and is not to be relied upon for any other purpose. Our opinion is expressly limited to the matters set forth above, and we render no opinion, whether by implication or otherwise, as to any other matters relating to the Company, the Securities or the Registration Statement.</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BURNS &amp; LEVINSON LLP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BURNS &amp; LEVINSON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ind w:left="10220"/>
        <w:spacing w:after="0"/>
        <w:rPr>
          <w:sz w:val="20"/>
          <w:szCs w:val="20"/>
          <w:color w:val="auto"/>
        </w:rPr>
      </w:pPr>
      <w:r>
        <w:rPr>
          <w:rFonts w:ascii="Times New Roman" w:cs="Times New Roman" w:eastAsia="Times New Roman" w:hAnsi="Times New Roman"/>
          <w:sz w:val="17"/>
          <w:szCs w:val="17"/>
          <w:b w:val="1"/>
          <w:bCs w:val="1"/>
          <w:color w:val="auto"/>
        </w:rPr>
        <w:t>Exhibit 10.25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and/or Pre-Funded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relates to my agreement to purchase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and/or pre-funded warrants (the “Pre-</w:t>
      </w:r>
      <w:r>
        <w:rPr>
          <w:rFonts w:ascii="Times New Roman" w:cs="Times New Roman" w:eastAsia="Times New Roman" w:hAnsi="Times New Roman"/>
          <w:sz w:val="18"/>
          <w:szCs w:val="18"/>
          <w:b w:val="1"/>
          <w:bCs w:val="1"/>
          <w:color w:val="auto"/>
        </w:rPr>
        <w:t>Funded Warrants</w:t>
      </w:r>
      <w:r>
        <w:rPr>
          <w:rFonts w:ascii="Times New Roman" w:cs="Times New Roman" w:eastAsia="Times New Roman" w:hAnsi="Times New Roman"/>
          <w:sz w:val="18"/>
          <w:szCs w:val="18"/>
          <w:color w:val="auto"/>
        </w:rPr>
        <w:t>” and, collectively with the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of Agrify Corporation,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a purchase price of $__ per Share and $__ per Pre-Funded Warrant, for a total purchase price as indicated on the signature page to this Subscription Agreement (the “</w:t>
      </w:r>
      <w:r>
        <w:rPr>
          <w:rFonts w:ascii="Times New Roman" w:cs="Times New Roman" w:eastAsia="Times New Roman" w:hAnsi="Times New Roman"/>
          <w:sz w:val="18"/>
          <w:szCs w:val="18"/>
          <w:b w:val="1"/>
          <w:bCs w:val="1"/>
          <w:color w:val="auto"/>
        </w:rPr>
        <w:t>Subscription Price</w:t>
      </w:r>
      <w:r>
        <w:rPr>
          <w:rFonts w:ascii="Times New Roman" w:cs="Times New Roman" w:eastAsia="Times New Roman" w:hAnsi="Times New Roman"/>
          <w:sz w:val="18"/>
          <w:szCs w:val="18"/>
          <w:color w:val="auto"/>
        </w:rPr>
        <w:t>”), subject to the terms, conditions, acknowledgments, representations and warranties stated herein and in the registration statement on Form S-1 under the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initial filed on January 26, 2024 (File No. 333-276724), as amended on February 7, 2024, and declared effective on February __,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sale of the Securities. Capitalized terms used but not defined herein shall have the meanings given to them in the Registration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understand that if I wish to purchase Securities, I must sign this Subscription Agreement and have funds deposited into the following escrow account: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induce the Company to accept this Subscription Agreement for the Securities and as further consideration for such acceptance, I hereby make, adopt, confirm and agree to all of the following covenants, acknowledgments, representations and warranties with the full knowledge that the Company and its affiliates will expressly rely thereon in making a decision to accept or reject this Subscription Agreement:</w:t>
      </w:r>
    </w:p>
    <w:p>
      <w:pPr>
        <w:spacing w:after="0" w:line="176" w:lineRule="exact"/>
        <w:rPr>
          <w:sz w:val="20"/>
          <w:szCs w:val="20"/>
          <w:color w:val="auto"/>
        </w:rPr>
      </w:pPr>
    </w:p>
    <w:p>
      <w:pPr>
        <w:ind w:firstLine="8"/>
        <w:spacing w:after="0" w:line="282" w:lineRule="auto"/>
        <w:tabs>
          <w:tab w:leader="none" w:pos="21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the Company reserves the right to, in its sole discretion, accept or reject this subscription, in whole or in part, for any reason whatsoever, and to the extent not accepted, unused funds will be returned to me.</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the Registration Statement.</w:t>
      </w:r>
    </w:p>
    <w:p>
      <w:pPr>
        <w:spacing w:after="0" w:line="225"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I was offered the Securities, I was, and as of the date hereof I am, either: (i) an “accredited investor” as defined in Rule 501(a)(1), (a)(2),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(a)(7) or (a)(8) under the Securities Act or (ii) a “qualified institutional buyer” as defined in Rule 144A(a) under the Securities Act.</w:t>
      </w:r>
    </w:p>
    <w:p>
      <w:pPr>
        <w:spacing w:after="0" w:line="206" w:lineRule="exact"/>
        <w:rPr>
          <w:rFonts w:ascii="Times New Roman" w:cs="Times New Roman" w:eastAsia="Times New Roman" w:hAnsi="Times New Roman"/>
          <w:sz w:val="18"/>
          <w:szCs w:val="18"/>
          <w:color w:val="auto"/>
        </w:rPr>
      </w:pPr>
    </w:p>
    <w:p>
      <w:pPr>
        <w:jc w:val="both"/>
        <w:ind w:firstLine="8"/>
        <w:spacing w:after="0" w:line="253" w:lineRule="auto"/>
        <w:tabs>
          <w:tab w:leader="none" w:pos="20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either an individual or an entity duly incorporated or formed, validly existing and in good standing under the laws of the jurisdiction of my incorporation or formation with full right, corporate, partnership, limited liability company or similar power and authority to enter into and to consummate the transactions contemplated by this Subscription Agreement and otherwise to carry out my obligations hereunder. The execution and delivery of this Subscription Agreement and performance by me of the transactions contemplated by the this Subscription Agreement has been duly authorized by all necessary corporate, partnership, limited liability company or similar action, as applicable, by me. The Subscription Agreement has been duly executed by me, and when delivered by me in accordance with the terms hereof or thereof, will constitute my valid and legally binding obligation, enforceable against me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4" w:lineRule="exact"/>
        <w:rPr>
          <w:rFonts w:ascii="Times New Roman" w:cs="Times New Roman" w:eastAsia="Times New Roman" w:hAnsi="Times New Roman"/>
          <w:sz w:val="18"/>
          <w:szCs w:val="18"/>
          <w:color w:val="auto"/>
        </w:rPr>
      </w:pPr>
    </w:p>
    <w:p>
      <w:pPr>
        <w:jc w:val="both"/>
        <w:ind w:firstLine="8"/>
        <w:spacing w:after="0" w:line="261" w:lineRule="auto"/>
        <w:tabs>
          <w:tab w:leader="none" w:pos="1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acquiring the Securities hereunder in the ordinary course of my business. I am acquiring the Securities as principal for my own account and I have no direct or indirect arrangement or understandings with any other persons to distribute or regarding the distribution of such Securities in violation of the Securities Act or any applicable state securities law (this representation and warranty not limiting my right to sell such Shares pursuant to a registration statement or otherwise in compliance with applicable federal and state securities laws).</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19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either alone or together with my representatives, have such knowledge, sophistication and experience in business and financial matters so as to be capable of evaluating the merits and risks of the prospective investment in the Securities, and have so evaluated the merits and risks of such investment. I am able to bear the economic risk of an investment in the Securities and, at the present time, am able to afford a complete loss of such investment.</w:t>
      </w:r>
    </w:p>
    <w:p>
      <w:pPr>
        <w:spacing w:after="0" w:line="175" w:lineRule="exact"/>
        <w:rPr>
          <w:rFonts w:ascii="Times New Roman" w:cs="Times New Roman" w:eastAsia="Times New Roman" w:hAnsi="Times New Roman"/>
          <w:sz w:val="18"/>
          <w:szCs w:val="18"/>
          <w:color w:val="auto"/>
        </w:rPr>
      </w:pPr>
    </w:p>
    <w:p>
      <w:pPr>
        <w:jc w:val="both"/>
        <w:ind w:firstLine="8"/>
        <w:spacing w:after="0" w:line="254" w:lineRule="auto"/>
        <w:tabs>
          <w:tab w:leader="none" w:pos="18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hereby represent and warrant that I am not on, and am not acting as an agent, representative, intermediary or nominee for any person identified on, the list of blocked persons maintained by the Office of Foreign Assets Control, U.S. Department of Treasury. In addition, I have complied with all applicable U.S. laws, regulations, directives, and executive orders relating to anti-money laundering, including but not limited to the following laws: (1) the Uniting and Strengthening America by Providing Appropriate Tools Required to Intercept and Obstruct Terrorism Act of 2001, Public Law 107-56; and (2) Executive Order 13224 (Blocking Property and Prohibiting Transactions with Persons Who Commit, Threaten to Commit, or Support Terrorism) of September 23, 2001. </w:t>
      </w:r>
      <w:r>
        <w:rPr>
          <w:rFonts w:ascii="Times New Roman" w:cs="Times New Roman" w:eastAsia="Times New Roman" w:hAnsi="Times New Roman"/>
          <w:sz w:val="18"/>
          <w:szCs w:val="18"/>
          <w:b w:val="1"/>
          <w:bCs w:val="1"/>
          <w:color w:val="auto"/>
        </w:rPr>
        <w:t>By making the previous representations, you have not waived any right of action you may have under federal or 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 law. Any such waiver would be unenforceable. The Company will assert your representations as a defense in any subsequent litigation where such an assertion would be relevant. This Subscription Agreement and all rights hereunder shall be governed by, and interpreted in accordance with, the laws of the State of Nevada without giving effect to the principles of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ind w:left="3500"/>
        <w:spacing w:after="0"/>
        <w:rPr>
          <w:sz w:val="20"/>
          <w:szCs w:val="20"/>
          <w:color w:val="auto"/>
        </w:rPr>
      </w:pPr>
      <w:r>
        <w:rPr>
          <w:rFonts w:ascii="Times New Roman" w:cs="Times New Roman" w:eastAsia="Times New Roman" w:hAnsi="Times New Roman"/>
          <w:sz w:val="18"/>
          <w:szCs w:val="18"/>
          <w:color w:val="auto"/>
        </w:rPr>
        <w:t>SIGNATURE PAGE TO SUBSCRIPTION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signs this Subscription Agreement as of ____________________,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Print Name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292735</wp:posOffset>
            </wp:positionV>
            <wp:extent cx="284607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Sign Above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IF subscriber is an entity, specify name and title below:</w:t>
      </w: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Price (this is the total amount of your investment) $ 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9617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3">
                      <a:extLst>
                        <a:ext uri="{28A0092B-C50C-407E-A947-70E740481C1C}"/>
                      </a:extLst>
                    </a:blip>
                    <a:srcRect/>
                    <a:stretch>
                      <a:fillRect/>
                    </a:stretch>
                  </pic:blipFill>
                  <pic:spPr bwMode="auto">
                    <a:xfrm>
                      <a:off x="0" y="0"/>
                      <a:ext cx="39617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38093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5">
                      <a:extLst>
                        <a:ext uri="{28A0092B-C50C-407E-A947-70E740481C1C}"/>
                      </a:extLst>
                    </a:blip>
                    <a:srcRect/>
                    <a:stretch>
                      <a:fillRect/>
                    </a:stretch>
                  </pic:blipFill>
                  <pic:spPr bwMode="auto">
                    <a:xfrm>
                      <a:off x="0" y="0"/>
                      <a:ext cx="3809365" cy="8255"/>
                    </a:xfrm>
                    <a:prstGeom prst="rect">
                      <a:avLst/>
                    </a:prstGeom>
                    <a:noFill/>
                  </pic:spPr>
                </pic:pic>
              </a:graphicData>
            </a:graphic>
          </wp:anchor>
        </w:drawing>
      </w:r>
    </w:p>
    <w:p>
      <w:pPr>
        <w:sectPr>
          <w:pgSz w:w="11900" w:h="16838" w:orient="portrait"/>
          <w:cols w:equalWidth="0" w:num="1">
            <w:col w:w="10760"/>
          </w:cols>
          <w:pgMar w:left="320" w:top="904" w:right="8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Agrify Corporation and Subsidiaries on Form S-1 Amendment No. 1 of our report dated November 27, 2023, which includes an explanatory paragraph as to Agrify Corporation and Subsidiaries ability to continue as a going concern, with respect to our audits of the consolidated financial statements of Agrify Corporation and Subsidiaries as of December 31, 2022 and 2021 and for the two years in the period ended December 31, 2022, which report appears in the Prospectus, which is part of this Registration Statement. We also consent to the reference to our Firm under the heading “Experts” in such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7, 2024</w:t>
      </w:r>
    </w:p>
    <w:p>
      <w:pPr>
        <w:sectPr>
          <w:pgSz w:w="11900" w:h="16838" w:orient="portrait"/>
          <w:cols w:equalWidth="0" w:num="1">
            <w:col w:w="11240"/>
          </w:cols>
          <w:pgMar w:left="320" w:top="10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S-1/A</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1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jc w:val="center"/>
              <w:ind w:right="40"/>
              <w:spacing w:after="0" w:line="165" w:lineRule="exact"/>
              <w:rPr>
                <w:sz w:val="20"/>
                <w:szCs w:val="20"/>
                <w:color w:val="auto"/>
              </w:rPr>
            </w:pPr>
            <w:r>
              <w:rPr>
                <w:rFonts w:ascii="Times New Roman" w:cs="Times New Roman" w:eastAsia="Times New Roman" w:hAnsi="Times New Roman"/>
                <w:sz w:val="16"/>
                <w:szCs w:val="16"/>
                <w:b w:val="1"/>
                <w:bCs w:val="1"/>
                <w:color w:val="auto"/>
              </w:rPr>
              <w:t>Calculation</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120" w:type="dxa"/>
            <w:vAlign w:val="bottom"/>
            <w:gridSpan w:val="3"/>
            <w:vMerge w:val="continue"/>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or Carry</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22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1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Forward</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0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7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Fee</w:t>
            </w:r>
          </w:p>
        </w:tc>
        <w:tc>
          <w:tcPr>
            <w:tcW w:w="40" w:type="dxa"/>
            <w:vAlign w:val="bottom"/>
          </w:tcPr>
          <w:p>
            <w:pPr>
              <w:spacing w:after="0"/>
              <w:rPr>
                <w:sz w:val="17"/>
                <w:szCs w:val="17"/>
                <w:color w:val="auto"/>
              </w:rPr>
            </w:pP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Type</w:t>
            </w:r>
          </w:p>
        </w:tc>
        <w:tc>
          <w:tcPr>
            <w:tcW w:w="60" w:type="dxa"/>
            <w:vAlign w:val="bottom"/>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4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Rule</w:t>
            </w:r>
          </w:p>
        </w:tc>
        <w:tc>
          <w:tcPr>
            <w:tcW w:w="4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Unit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22"/>
              <w:spacing w:after="0" w:line="256" w:lineRule="exact"/>
              <w:rPr>
                <w:sz w:val="20"/>
                <w:szCs w:val="20"/>
                <w:color w:val="auto"/>
              </w:rPr>
            </w:pPr>
            <w:r>
              <w:rPr>
                <w:rFonts w:ascii="Times New Roman" w:cs="Times New Roman" w:eastAsia="Times New Roman" w:hAnsi="Times New Roman"/>
                <w:sz w:val="16"/>
                <w:szCs w:val="16"/>
                <w:b w:val="1"/>
                <w:bCs w:val="1"/>
                <w:color w:val="auto"/>
                <w:w w:val="90"/>
              </w:rPr>
              <w:t xml:space="preserve">Price </w:t>
            </w:r>
            <w:r>
              <w:rPr>
                <w:rFonts w:ascii="Times New Roman" w:cs="Times New Roman" w:eastAsia="Times New Roman" w:hAnsi="Times New Roman"/>
                <w:sz w:val="26"/>
                <w:szCs w:val="26"/>
                <w:b w:val="1"/>
                <w:bCs w:val="1"/>
                <w:color w:val="auto"/>
                <w:w w:val="90"/>
                <w:vertAlign w:val="superscript"/>
              </w:rPr>
              <w:t>(1)</w:t>
            </w:r>
          </w:p>
        </w:tc>
        <w:tc>
          <w:tcPr>
            <w:tcW w:w="260" w:type="dxa"/>
            <w:vAlign w:val="bottom"/>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Rate</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Fee</w:t>
            </w:r>
          </w:p>
        </w:tc>
        <w:tc>
          <w:tcPr>
            <w:tcW w:w="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w w:val="92"/>
              </w:rPr>
              <w:t>Newly Registered Securities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Fees Previously</w:t>
            </w: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8"/>
              </w:rPr>
              <w:t>Equity</w:t>
            </w:r>
          </w:p>
        </w:tc>
        <w:tc>
          <w:tcPr>
            <w:tcW w:w="22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Common Stock, par value</w:t>
            </w:r>
          </w:p>
        </w:tc>
        <w:tc>
          <w:tcPr>
            <w:tcW w:w="11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Rule 457(o)</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Paid</w:t>
            </w: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jc w:val="center"/>
              <w:ind w:right="40"/>
              <w:spacing w:after="0" w:line="257" w:lineRule="exact"/>
              <w:rPr>
                <w:sz w:val="20"/>
                <w:szCs w:val="20"/>
                <w:color w:val="auto"/>
              </w:rPr>
            </w:pPr>
            <w:r>
              <w:rPr>
                <w:rFonts w:ascii="Times New Roman" w:cs="Times New Roman" w:eastAsia="Times New Roman" w:hAnsi="Times New Roman"/>
                <w:sz w:val="16"/>
                <w:szCs w:val="16"/>
                <w:color w:val="auto"/>
                <w:w w:val="96"/>
              </w:rPr>
              <w:t>$0.001 per share</w:t>
            </w:r>
            <w:r>
              <w:rPr>
                <w:rFonts w:ascii="Times New Roman" w:cs="Times New Roman" w:eastAsia="Times New Roman" w:hAnsi="Times New Roman"/>
                <w:sz w:val="26"/>
                <w:szCs w:val="26"/>
                <w:color w:val="auto"/>
                <w:w w:val="96"/>
                <w:vertAlign w:val="superscript"/>
              </w:rPr>
              <w:t>(2)</w:t>
            </w:r>
          </w:p>
        </w:tc>
        <w:tc>
          <w:tcPr>
            <w:tcW w:w="1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3,000,000</w:t>
            </w: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$147.60 per $1,000,000</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442.80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Fees Previously</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8"/>
              </w:rPr>
              <w:t>Equity</w:t>
            </w:r>
          </w:p>
        </w:tc>
        <w:tc>
          <w:tcPr>
            <w:tcW w:w="22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Pre-Funded Warrants to purchase</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Rule 457(g)</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3"/>
                <w:szCs w:val="13"/>
                <w:color w:val="auto"/>
              </w:rPr>
              <w:t>(4)</w:t>
            </w: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Paid</w:t>
            </w: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gridSpan w:val="2"/>
          </w:tcPr>
          <w:p>
            <w:pPr>
              <w:jc w:val="center"/>
              <w:ind w:right="40"/>
              <w:spacing w:after="0" w:line="257" w:lineRule="exact"/>
              <w:rPr>
                <w:sz w:val="20"/>
                <w:szCs w:val="20"/>
                <w:color w:val="auto"/>
              </w:rPr>
            </w:pPr>
            <w:r>
              <w:rPr>
                <w:rFonts w:ascii="Times New Roman" w:cs="Times New Roman" w:eastAsia="Times New Roman" w:hAnsi="Times New Roman"/>
                <w:sz w:val="16"/>
                <w:szCs w:val="16"/>
                <w:color w:val="auto"/>
                <w:w w:val="95"/>
              </w:rPr>
              <w:t>Common Stock</w:t>
            </w:r>
            <w:r>
              <w:rPr>
                <w:rFonts w:ascii="Times New Roman" w:cs="Times New Roman" w:eastAsia="Times New Roman" w:hAnsi="Times New Roman"/>
                <w:sz w:val="26"/>
                <w:szCs w:val="26"/>
                <w:color w:val="auto"/>
                <w:w w:val="95"/>
                <w:vertAlign w:val="superscript"/>
              </w:rPr>
              <w:t>(2)(3)</w:t>
            </w: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Fees Previously</w:t>
            </w: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8"/>
              </w:rPr>
              <w:t>Equity</w:t>
            </w:r>
          </w:p>
        </w:tc>
        <w:tc>
          <w:tcPr>
            <w:tcW w:w="22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Common Stock issuable upon</w:t>
            </w:r>
          </w:p>
        </w:tc>
        <w:tc>
          <w:tcPr>
            <w:tcW w:w="11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Rule 457(o)</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Paid</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rPr>
              <w:t>exercise of Pre-Funded</w:t>
            </w: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20" w:type="dxa"/>
            <w:vAlign w:val="bottom"/>
            <w:gridSpan w:val="2"/>
            <w:shd w:val="clear" w:color="auto" w:fill="CCEEFF"/>
          </w:tcPr>
          <w:p>
            <w:pPr>
              <w:jc w:val="center"/>
              <w:ind w:right="40"/>
              <w:spacing w:after="0" w:line="256" w:lineRule="exact"/>
              <w:rPr>
                <w:sz w:val="20"/>
                <w:szCs w:val="20"/>
                <w:color w:val="auto"/>
              </w:rPr>
            </w:pPr>
            <w:r>
              <w:rPr>
                <w:rFonts w:ascii="Times New Roman" w:cs="Times New Roman" w:eastAsia="Times New Roman" w:hAnsi="Times New Roman"/>
                <w:sz w:val="16"/>
                <w:szCs w:val="16"/>
                <w:color w:val="auto"/>
                <w:w w:val="93"/>
              </w:rPr>
              <w:t>Warrants</w:t>
            </w:r>
            <w:r>
              <w:rPr>
                <w:rFonts w:ascii="Times New Roman" w:cs="Times New Roman" w:eastAsia="Times New Roman" w:hAnsi="Times New Roman"/>
                <w:sz w:val="26"/>
                <w:szCs w:val="26"/>
                <w:color w:val="auto"/>
                <w:w w:val="93"/>
                <w:vertAlign w:val="superscript"/>
              </w:rPr>
              <w:t>(2)</w:t>
            </w:r>
          </w:p>
        </w:tc>
        <w:tc>
          <w:tcPr>
            <w:tcW w:w="1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Fees Previously</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8"/>
              </w:rPr>
              <w:t>Equity</w:t>
            </w:r>
          </w:p>
        </w:tc>
        <w:tc>
          <w:tcPr>
            <w:tcW w:w="222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w w:val="98"/>
              </w:rPr>
              <w:t>Placement Agent Warrants to</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Rule 457(g)</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3"/>
                <w:szCs w:val="13"/>
                <w:color w:val="auto"/>
              </w:rPr>
              <w:t>(4)</w:t>
            </w: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Paid</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2"/>
          </w:tcPr>
          <w:p>
            <w:pPr>
              <w:jc w:val="center"/>
              <w:ind w:right="40"/>
              <w:spacing w:after="0" w:line="284" w:lineRule="exact"/>
              <w:rPr>
                <w:sz w:val="20"/>
                <w:szCs w:val="20"/>
                <w:color w:val="auto"/>
              </w:rPr>
            </w:pPr>
            <w:r>
              <w:rPr>
                <w:rFonts w:ascii="Times New Roman" w:cs="Times New Roman" w:eastAsia="Times New Roman" w:hAnsi="Times New Roman"/>
                <w:sz w:val="18"/>
                <w:szCs w:val="18"/>
                <w:color w:val="auto"/>
                <w:w w:val="97"/>
              </w:rPr>
              <w:t>purchase Common Stock</w:t>
            </w:r>
            <w:r>
              <w:rPr>
                <w:rFonts w:ascii="Times New Roman" w:cs="Times New Roman" w:eastAsia="Times New Roman" w:hAnsi="Times New Roman"/>
                <w:sz w:val="29"/>
                <w:szCs w:val="29"/>
                <w:color w:val="auto"/>
                <w:w w:val="97"/>
                <w:vertAlign w:val="superscript"/>
              </w:rPr>
              <w:t>(2)</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continue"/>
          </w:tcPr>
          <w:p>
            <w:pPr>
              <w:spacing w:after="0"/>
              <w:rPr>
                <w:sz w:val="24"/>
                <w:szCs w:val="24"/>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Fees Previously</w:t>
            </w: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8"/>
              </w:rPr>
              <w:t>Equity</w:t>
            </w:r>
          </w:p>
        </w:tc>
        <w:tc>
          <w:tcPr>
            <w:tcW w:w="2220" w:type="dxa"/>
            <w:vAlign w:val="bottom"/>
            <w:gridSpan w:val="2"/>
            <w:shd w:val="clear" w:color="auto" w:fill="CCEEFF"/>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w w:val="99"/>
              </w:rPr>
              <w:t>Common Stock issuable upon</w:t>
            </w:r>
          </w:p>
        </w:tc>
        <w:tc>
          <w:tcPr>
            <w:tcW w:w="116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rPr>
              <w:t>Rule 457(o)</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Paid</w:t>
            </w: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exercise of Placement Agent</w:t>
            </w: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$147.60 per</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20" w:type="dxa"/>
            <w:vAlign w:val="bottom"/>
            <w:gridSpan w:val="2"/>
            <w:shd w:val="clear" w:color="auto" w:fill="CCEEFF"/>
          </w:tcPr>
          <w:p>
            <w:pPr>
              <w:jc w:val="center"/>
              <w:ind w:right="40"/>
              <w:spacing w:after="0" w:line="270" w:lineRule="exact"/>
              <w:rPr>
                <w:sz w:val="20"/>
                <w:szCs w:val="20"/>
                <w:color w:val="auto"/>
              </w:rPr>
            </w:pPr>
            <w:r>
              <w:rPr>
                <w:rFonts w:ascii="Times New Roman" w:cs="Times New Roman" w:eastAsia="Times New Roman" w:hAnsi="Times New Roman"/>
                <w:sz w:val="18"/>
                <w:szCs w:val="18"/>
                <w:color w:val="auto"/>
                <w:w w:val="92"/>
              </w:rPr>
              <w:t>Warrants</w:t>
            </w:r>
            <w:r>
              <w:rPr>
                <w:rFonts w:ascii="Times New Roman" w:cs="Times New Roman" w:eastAsia="Times New Roman" w:hAnsi="Times New Roman"/>
                <w:sz w:val="29"/>
                <w:szCs w:val="29"/>
                <w:color w:val="auto"/>
                <w:w w:val="92"/>
                <w:vertAlign w:val="superscript"/>
              </w:rPr>
              <w:t>(2)</w:t>
            </w:r>
          </w:p>
        </w:tc>
        <w:tc>
          <w:tcPr>
            <w:tcW w:w="1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30,000</w:t>
            </w: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38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3,030,000</w:t>
            </w:r>
          </w:p>
        </w:tc>
        <w:tc>
          <w:tcPr>
            <w:tcW w:w="1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447.23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16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3380" w:type="dxa"/>
            <w:vAlign w:val="bottom"/>
            <w:tcBorders>
              <w:top w:val="single" w:sz="8" w:color="CCEEFF"/>
              <w:bottom w:val="single" w:sz="8" w:color="CCEEFF"/>
            </w:tcBorders>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Total Fees Previously Paid</w:t>
            </w:r>
          </w:p>
        </w:tc>
        <w:tc>
          <w:tcPr>
            <w:tcW w:w="8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170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447.23</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gridSpan w:val="2"/>
            <w:shd w:val="clear" w:color="auto" w:fill="CCEEFF"/>
          </w:tcPr>
          <w:p>
            <w:pPr>
              <w:jc w:val="center"/>
              <w:ind w:left="937"/>
              <w:spacing w:after="0"/>
              <w:rPr>
                <w:sz w:val="20"/>
                <w:szCs w:val="20"/>
                <w:color w:val="auto"/>
              </w:rPr>
            </w:pPr>
            <w:r>
              <w:rPr>
                <w:rFonts w:ascii="Times New Roman" w:cs="Times New Roman" w:eastAsia="Times New Roman" w:hAnsi="Times New Roman"/>
                <w:sz w:val="16"/>
                <w:szCs w:val="16"/>
                <w:b w:val="1"/>
                <w:bCs w:val="1"/>
                <w:color w:val="auto"/>
                <w:w w:val="99"/>
              </w:rPr>
              <w:t>Total Fee Offsets</w:t>
            </w:r>
          </w:p>
        </w:tc>
        <w:tc>
          <w:tcPr>
            <w:tcW w:w="1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20" w:type="dxa"/>
            <w:vAlign w:val="bottom"/>
            <w:gridSpan w:val="2"/>
          </w:tcPr>
          <w:p>
            <w:pPr>
              <w:jc w:val="center"/>
              <w:ind w:left="937"/>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in accordance with Rule 457(i) and Rule 457(o) under the Securities Act of 1933 (the “Securities Act”).</w:t>
      </w:r>
    </w:p>
    <w:p>
      <w:pPr>
        <w:ind w:left="340" w:hanging="332"/>
        <w:spacing w:after="0" w:line="250"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there are also being registered such indeterminate number of additional securities as may be issued to prevent dilution resulting from share splits, share dividends or similar transactions.</w:t>
      </w:r>
    </w:p>
    <w:p>
      <w:pPr>
        <w:jc w:val="both"/>
        <w:ind w:left="340" w:hanging="332"/>
        <w:spacing w:after="0" w:line="265" w:lineRule="auto"/>
        <w:tabs>
          <w:tab w:leader="none" w:pos="3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may issue Pre-Funded Warrants in lieu of shares of Common Stock in the offering. The purchase price of each Pre-Funded Warrant will equal the price per share at which shares of Common Stock are being sold to the public in this offering, minus $0.001, which constitutes the pre-funded portion of the exercise price of the Pre-Funded Warrants, and the remaining unpaid exercise price of the Pre-Funded Warrants will equal $0.001 per share (subject to adjustment as provided for therein). The proposed maximum aggregate offering price of the Pre-Funded Warrants will be reduced on a dollar-for-dollar basis based on the offering price of any shares of Common Stock issued in the offering, and the proposed maximum aggregate offering price of the Pre-Funded Warrants will be reduced on a dollar-for-dollar basis based on the offering price of any shares of Common Stock issued in the offering. Accordingly, the proposed maximum aggregate offering price of the Common Stock and Pre-Funded Warrants is $3,000,000.</w:t>
      </w:r>
    </w:p>
    <w:p>
      <w:pPr>
        <w:spacing w:after="0" w:line="1" w:lineRule="exact"/>
        <w:rPr>
          <w:rFonts w:ascii="Times New Roman" w:cs="Times New Roman" w:eastAsia="Times New Roman" w:hAnsi="Times New Roman"/>
          <w:sz w:val="17"/>
          <w:szCs w:val="17"/>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separate registration fee required pursuant to Rule 457(g).</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1)"/>
      <w:numFmt w:val="lowerRoman"/>
      <w:start w:val="6"/>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1)"/>
      <w:numFmt w:val="lowerRoman"/>
      <w:start w:val="5"/>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1)"/>
      <w:numFmt w:val="decimal"/>
      <w:start w:val="1"/>
    </w:lvl>
  </w:abstractNum>
  <w:abstractNum w:abstractNumId="29">
    <w:nsid w:val="579BE4F1"/>
    <w:multiLevelType w:val="hybridMultilevel"/>
    <w:lvl w:ilvl="0">
      <w:lvlJc w:val="left"/>
      <w:lvlText w:val="(%1)"/>
      <w:numFmt w:val="decimal"/>
      <w:start w:val="1"/>
    </w:lvl>
  </w:abstractNum>
  <w:abstractNum w:abstractNumId="30">
    <w:nsid w:val="310C50B3"/>
    <w:multiLevelType w:val="hybridMultilevel"/>
    <w:lvl w:ilvl="0">
      <w:lvlJc w:val="left"/>
      <w:lvlText w:val="(%1)"/>
      <w:numFmt w:val="lowerRoman"/>
      <w:start w:val="2"/>
    </w:lvl>
  </w:abstractNum>
  <w:abstractNum w:abstractNumId="31">
    <w:nsid w:val="5FF87E05"/>
    <w:multiLevelType w:val="hybridMultilevel"/>
    <w:lvl w:ilvl="0">
      <w:lvlJc w:val="left"/>
      <w:lvlText w:val="(%1)"/>
      <w:numFmt w:val="lowerRoman"/>
      <w:start w:val="2"/>
    </w:lvl>
  </w:abstractNum>
  <w:abstractNum w:abstractNumId="32">
    <w:nsid w:val="2F305DEF"/>
    <w:multiLevelType w:val="hybridMultilevel"/>
    <w:lvl w:ilvl="0">
      <w:lvlJc w:val="left"/>
      <w:lvlText w:val="(%1)"/>
      <w:numFmt w:val="lowerLetter"/>
      <w:start w:val="2"/>
    </w:lvl>
  </w:abstractNum>
  <w:abstractNum w:abstractNumId="33">
    <w:nsid w:val="25A70BF7"/>
    <w:multiLevelType w:val="hybridMultilevel"/>
    <w:lvl w:ilvl="0">
      <w:lvlJc w:val="left"/>
      <w:lvlText w:val="(%1)"/>
      <w:numFmt w:val="decimal"/>
      <w:start w:val="1"/>
    </w:lvl>
  </w:abstractNum>
  <w:abstractNum w:abstractNumId="34">
    <w:nsid w:val="1DBABF00"/>
    <w:multiLevelType w:val="hybridMultilevel"/>
    <w:lvl w:ilvl="0">
      <w:lvlJc w:val="left"/>
      <w:lvlText w:val="(%1)"/>
      <w:numFmt w:val="decimal"/>
      <w:start w:val="1"/>
    </w:lvl>
  </w:abstractNum>
  <w:abstractNum w:abstractNumId="35">
    <w:nsid w:val="4AD084E9"/>
    <w:multiLevelType w:val="hybridMultilevel"/>
    <w:lvl w:ilvl="0">
      <w:lvlJc w:val="left"/>
      <w:lvlText w:val="(%1)"/>
      <w:numFmt w:val="decimal"/>
      <w:start w:val="2"/>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1)"/>
      <w:numFmt w:val="decimal"/>
      <w:start w:val="1"/>
    </w:lvl>
    <w:lvl w:ilvl="1">
      <w:lvlJc w:val="left"/>
      <w:lvlText w:val="(%2)"/>
      <w:numFmt w:val="lowerLetter"/>
      <w:start w:val="1"/>
    </w:lvl>
  </w:abstractNum>
  <w:abstractNum w:abstractNumId="38">
    <w:nsid w:val="5DB70AE5"/>
    <w:multiLevelType w:val="hybridMultilevel"/>
    <w:lvl w:ilvl="0">
      <w:lvlJc w:val="left"/>
      <w:lvlText w:val="(%1)"/>
      <w:numFmt w:val="decimal"/>
      <w:start w:val="4"/>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1)"/>
      <w:numFmt w:val="lowerRoman"/>
      <w:start w:val="1"/>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decimal"/>
      <w:start w:val="5"/>
    </w:lvl>
  </w:abstractNum>
  <w:abstractNum w:abstractNumId="44">
    <w:nsid w:val="799D0247"/>
    <w:multiLevelType w:val="hybridMultilevel"/>
    <w:lvl w:ilvl="0">
      <w:lvlJc w:val="left"/>
      <w:lvlText w:val="(%1)"/>
      <w:numFmt w:val="decimal"/>
      <w:start w:val="11"/>
    </w:lvl>
  </w:abstractNum>
  <w:abstractNum w:abstractNumId="45">
    <w:nsid w:val="6B94764"/>
    <w:multiLevelType w:val="hybridMultilevel"/>
    <w:lvl w:ilvl="0">
      <w:lvlJc w:val="left"/>
      <w:lvlText w:val="(%1)"/>
      <w:numFmt w:val="lowerLetter"/>
      <w:start w:val="1"/>
    </w:lvl>
  </w:abstractNum>
  <w:abstractNum w:abstractNumId="46">
    <w:nsid w:val="42C296BD"/>
    <w:multiLevelType w:val="hybridMultilevel"/>
    <w:lvl w:ilvl="0">
      <w:lvlJc w:val="left"/>
      <w:lvlText w:val="(%1)"/>
      <w:numFmt w:val="lowerLetter"/>
      <w:start w:val="1"/>
    </w:lvl>
  </w:abstractNum>
  <w:abstractNum w:abstractNumId="47">
    <w:nsid w:val="168E121F"/>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1)"/>
      <w:numFmt w:val="lowerLetter"/>
      <w:start w:val="4"/>
    </w:lvl>
  </w:abstractNum>
  <w:abstractNum w:abstractNumId="51">
    <w:nsid w:val="540A471C"/>
    <w:multiLevelType w:val="hybridMultilevel"/>
    <w:lvl w:ilvl="0">
      <w:lvlJc w:val="left"/>
      <w:lvlText w:val="%1)"/>
      <w:numFmt w:val="lowerLetter"/>
      <w:start w:val="1"/>
    </w:lvl>
  </w:abstractNum>
  <w:abstractNum w:abstractNumId="52">
    <w:nsid w:val="7BD3EE7B"/>
    <w:multiLevelType w:val="hybridMultilevel"/>
    <w:lvl w:ilvl="0">
      <w:lvlJc w:val="left"/>
      <w:lvlText w:val="%1)"/>
      <w:numFmt w:val="lowerLetter"/>
      <w:start w:val="2"/>
    </w:lvl>
  </w:abstractNum>
  <w:abstractNum w:abstractNumId="53">
    <w:nsid w:val="51D9C564"/>
    <w:multiLevelType w:val="hybridMultilevel"/>
    <w:lvl w:ilvl="0">
      <w:lvlJc w:val="left"/>
      <w:lvlText w:val="(%1)"/>
      <w:numFmt w:val="upperLetter"/>
      <w:start w:val="1"/>
    </w:lvl>
  </w:abstractNum>
  <w:abstractNum w:abstractNumId="54">
    <w:nsid w:val="613EFDC5"/>
    <w:multiLevelType w:val="hybridMultilevel"/>
    <w:lvl w:ilvl="0">
      <w:lvlJc w:val="left"/>
      <w:lvlText w:val="(%1)"/>
      <w:numFmt w:val="upperLetter"/>
      <w:start w:val="24"/>
    </w:lvl>
  </w:abstractNum>
  <w:abstractNum w:abstractNumId="55">
    <w:nsid w:val="BF72B14"/>
    <w:multiLevelType w:val="hybridMultilevel"/>
    <w:lvl w:ilvl="0">
      <w:lvlJc w:val="left"/>
      <w:lvlText w:val="%1)"/>
      <w:numFmt w:val="lowerLetter"/>
      <w:start w:val="4"/>
    </w:lvl>
  </w:abstractNum>
  <w:abstractNum w:abstractNumId="56">
    <w:nsid w:val="11447B73"/>
    <w:multiLevelType w:val="hybridMultilevel"/>
    <w:lvl w:ilvl="0">
      <w:lvlJc w:val="left"/>
      <w:lvlText w:val="%1."/>
      <w:numFmt w:val="lowerRoman"/>
      <w:start w:val="2"/>
    </w:lvl>
  </w:abstractNum>
  <w:abstractNum w:abstractNumId="57">
    <w:nsid w:val="42963E5A"/>
    <w:multiLevelType w:val="hybridMultilevel"/>
    <w:lvl w:ilvl="0">
      <w:lvlJc w:val="left"/>
      <w:lvlText w:val="%1."/>
      <w:numFmt w:val="lowerRoman"/>
      <w:start w:val="4"/>
    </w:lvl>
  </w:abstractNum>
  <w:abstractNum w:abstractNumId="58">
    <w:nsid w:val="A0382C5"/>
    <w:multiLevelType w:val="hybridMultilevel"/>
    <w:lvl w:ilvl="0">
      <w:lvlJc w:val="left"/>
      <w:lvlText w:val="%1"/>
      <w:numFmt w:val="lowerLetter"/>
      <w:start w:val="1"/>
    </w:lvl>
    <w:lvl w:ilvl="1">
      <w:lvlJc w:val="left"/>
      <w:lvlText w:val="%2."/>
      <w:numFmt w:val="lowerRoman"/>
      <w:start w:val="7"/>
    </w:lvl>
  </w:abstractNum>
  <w:abstractNum w:abstractNumId="59">
    <w:nsid w:val="8F2B15E"/>
    <w:multiLevelType w:val="hybridMultilevel"/>
    <w:lvl w:ilvl="0">
      <w:lvlJc w:val="left"/>
      <w:lvlText w:val="%1)"/>
      <w:numFmt w:val="lowerLetter"/>
      <w:start w:val="5"/>
    </w:lvl>
    <w:lvl w:ilvl="1">
      <w:lvlJc w:val="left"/>
      <w:lvlText w:val="%2"/>
      <w:numFmt w:val="lowerRoman"/>
      <w:start w:val="1"/>
    </w:lvl>
  </w:abstractNum>
  <w:abstractNum w:abstractNumId="60">
    <w:nsid w:val="1A32234B"/>
    <w:multiLevelType w:val="hybridMultilevel"/>
    <w:lvl w:ilvl="0">
      <w:lvlJc w:val="left"/>
      <w:lvlText w:val="%1)"/>
      <w:numFmt w:val="lowerLetter"/>
      <w:start w:val="1"/>
    </w:lvl>
  </w:abstractNum>
  <w:abstractNum w:abstractNumId="61">
    <w:nsid w:val="3B0FD379"/>
    <w:multiLevelType w:val="hybridMultilevel"/>
    <w:lvl w:ilvl="0">
      <w:lvlJc w:val="left"/>
      <w:lvlText w:val="%1)"/>
      <w:numFmt w:val="lowerLetter"/>
      <w:start w:val="4"/>
    </w:lvl>
  </w:abstractNum>
  <w:abstractNum w:abstractNumId="62">
    <w:nsid w:val="68EB2F63"/>
    <w:multiLevelType w:val="hybridMultilevel"/>
    <w:lvl w:ilvl="0">
      <w:lvlJc w:val="left"/>
      <w:lvlText w:val="%1)"/>
      <w:numFmt w:val="lowerLetter"/>
      <w:start w:val="5"/>
    </w:lvl>
    <w:lvl w:ilvl="1">
      <w:lvlJc w:val="left"/>
      <w:lvlText w:val="%2."/>
      <w:numFmt w:val="lowerRoman"/>
      <w:start w:val="1"/>
    </w:lvl>
  </w:abstractNum>
  <w:abstractNum w:abstractNumId="63">
    <w:nsid w:val="4962813B"/>
    <w:multiLevelType w:val="hybridMultilevel"/>
    <w:lvl w:ilvl="0">
      <w:lvlJc w:val="left"/>
      <w:lvlText w:val="%1)"/>
      <w:numFmt w:val="lowerLetter"/>
      <w:start w:val="1"/>
    </w:lvl>
  </w:abstractNum>
  <w:abstractNum w:abstractNumId="64">
    <w:nsid w:val="60B6DF70"/>
    <w:multiLevelType w:val="hybridMultilevel"/>
    <w:lvl w:ilvl="0">
      <w:lvlJc w:val="left"/>
      <w:lvlText w:val="%1)"/>
      <w:numFmt w:val="lowerLetter"/>
      <w:start w:val="1"/>
    </w:lvl>
  </w:abstractNum>
  <w:abstractNum w:abstractNumId="65">
    <w:nsid w:val="6A5EE64"/>
    <w:multiLevelType w:val="hybridMultilevel"/>
    <w:lvl w:ilvl="0">
      <w:lvlJc w:val="left"/>
      <w:lvlText w:val="%1)"/>
      <w:numFmt w:val="lowerLetter"/>
      <w:start w:val="2"/>
    </w:lvl>
  </w:abstractNum>
  <w:abstractNum w:abstractNumId="66">
    <w:nsid w:val="14330624"/>
    <w:multiLevelType w:val="hybridMultilevel"/>
    <w:lvl w:ilvl="0">
      <w:lvlJc w:val="left"/>
      <w:lvlText w:val="%1)"/>
      <w:numFmt w:val="lowerLetter"/>
      <w:start w:val="5"/>
    </w:lvl>
  </w:abstractNum>
  <w:abstractNum w:abstractNumId="67">
    <w:nsid w:val="7FFFCA11"/>
    <w:multiLevelType w:val="hybridMultilevel"/>
    <w:lvl w:ilvl="0">
      <w:lvlJc w:val="left"/>
      <w:lvlText w:val="%1"/>
      <w:numFmt w:val="lowerRoman"/>
      <w:start w:val="1"/>
    </w:lvl>
    <w:lvl w:ilvl="1">
      <w:lvlJc w:val="left"/>
      <w:lvlText w:val="%2)"/>
      <w:numFmt w:val="lowerLetter"/>
      <w:start w:val="8"/>
    </w:lvl>
  </w:abstractNum>
  <w:abstractNum w:abstractNumId="68">
    <w:nsid w:val="1A27709E"/>
    <w:multiLevelType w:val="hybridMultilevel"/>
    <w:lvl w:ilvl="0">
      <w:lvlJc w:val="left"/>
      <w:lvlText w:val="(%1)"/>
      <w:numFmt w:val="lowerRoman"/>
      <w:start w:val="3"/>
    </w:lvl>
    <w:lvl w:ilvl="1">
      <w:lvlJc w:val="left"/>
      <w:lvlText w:val="%2)"/>
      <w:numFmt w:val="lowerLetter"/>
      <w:start w:val="9"/>
    </w:lvl>
  </w:abstractNum>
  <w:abstractNum w:abstractNumId="69">
    <w:nsid w:val="71EA1109"/>
    <w:multiLevelType w:val="hybridMultilevel"/>
    <w:lvl w:ilvl="0">
      <w:lvlJc w:val="left"/>
      <w:lvlText w:val="(%1)"/>
      <w:numFmt w:val="decimal"/>
      <w:start w:val="1"/>
    </w:lvl>
    <w:lvl w:ilvl="1">
      <w:lvlJc w:val="left"/>
      <w:lvlText w:val="☐"/>
      <w:numFmt w:val="bullet"/>
      <w:start w:val="1"/>
    </w:lvl>
  </w:abstractNum>
  <w:abstractNum w:abstractNumId="70">
    <w:nsid w:val="100F59DC"/>
    <w:multiLevelType w:val="hybridMultilevel"/>
    <w:lvl w:ilvl="0">
      <w:lvlJc w:val="left"/>
      <w:lvlText w:val="(%1)"/>
      <w:numFmt w:val="lowerLetter"/>
      <w:start w:val="4"/>
    </w:lvl>
  </w:abstractNum>
  <w:abstractNum w:abstractNumId="71">
    <w:nsid w:val="7FB7E0AA"/>
    <w:multiLevelType w:val="hybridMultilevel"/>
    <w:lvl w:ilvl="0">
      <w:lvlJc w:val="left"/>
      <w:lvlText w:val="%1)"/>
      <w:numFmt w:val="lowerLetter"/>
      <w:start w:val="1"/>
    </w:lvl>
  </w:abstractNum>
  <w:abstractNum w:abstractNumId="72">
    <w:nsid w:val="6EB5BD4"/>
    <w:multiLevelType w:val="hybridMultilevel"/>
    <w:lvl w:ilvl="0">
      <w:lvlJc w:val="left"/>
      <w:lvlText w:val="%1)"/>
      <w:numFmt w:val="lowerLetter"/>
      <w:start w:val="2"/>
    </w:lvl>
  </w:abstractNum>
  <w:abstractNum w:abstractNumId="73">
    <w:nsid w:val="6F6DD9AC"/>
    <w:multiLevelType w:val="hybridMultilevel"/>
    <w:lvl w:ilvl="0">
      <w:lvlJc w:val="left"/>
      <w:lvlText w:val="(%1)"/>
      <w:numFmt w:val="upperLetter"/>
      <w:start w:val="1"/>
    </w:lvl>
  </w:abstractNum>
  <w:abstractNum w:abstractNumId="74">
    <w:nsid w:val="94211F2"/>
    <w:multiLevelType w:val="hybridMultilevel"/>
    <w:lvl w:ilvl="0">
      <w:lvlJc w:val="left"/>
      <w:lvlText w:val="(%1)"/>
      <w:numFmt w:val="upperLetter"/>
      <w:start w:val="24"/>
    </w:lvl>
  </w:abstractNum>
  <w:abstractNum w:abstractNumId="75">
    <w:nsid w:val="885E1B"/>
    <w:multiLevelType w:val="hybridMultilevel"/>
    <w:lvl w:ilvl="0">
      <w:lvlJc w:val="left"/>
      <w:lvlText w:val="%1)"/>
      <w:numFmt w:val="lowerLetter"/>
      <w:start w:val="4"/>
    </w:lvl>
  </w:abstractNum>
  <w:abstractNum w:abstractNumId="76">
    <w:nsid w:val="76272110"/>
    <w:multiLevelType w:val="hybridMultilevel"/>
    <w:lvl w:ilvl="0">
      <w:lvlJc w:val="left"/>
      <w:lvlText w:val="%1."/>
      <w:numFmt w:val="lowerRoman"/>
      <w:start w:val="2"/>
    </w:lvl>
  </w:abstractNum>
  <w:abstractNum w:abstractNumId="77">
    <w:nsid w:val="4C04A8AF"/>
    <w:multiLevelType w:val="hybridMultilevel"/>
    <w:lvl w:ilvl="0">
      <w:lvlJc w:val="left"/>
      <w:lvlText w:val="%1."/>
      <w:numFmt w:val="lowerRoman"/>
      <w:start w:val="3"/>
    </w:lvl>
  </w:abstractNum>
  <w:abstractNum w:abstractNumId="78">
    <w:nsid w:val="1716703B"/>
    <w:multiLevelType w:val="hybridMultilevel"/>
    <w:lvl w:ilvl="0">
      <w:lvlJc w:val="left"/>
      <w:lvlText w:val="%1)"/>
      <w:numFmt w:val="lowerLetter"/>
      <w:start w:val="5"/>
    </w:lvl>
  </w:abstractNum>
  <w:abstractNum w:abstractNumId="79">
    <w:nsid w:val="14E17E33"/>
    <w:multiLevelType w:val="hybridMultilevel"/>
    <w:lvl w:ilvl="0">
      <w:lvlJc w:val="left"/>
      <w:lvlText w:val="%1)"/>
      <w:numFmt w:val="lowerLetter"/>
      <w:start w:val="1"/>
    </w:lvl>
  </w:abstractNum>
  <w:abstractNum w:abstractNumId="80">
    <w:nsid w:val="3222E7CD"/>
    <w:multiLevelType w:val="hybridMultilevel"/>
    <w:lvl w:ilvl="0">
      <w:lvlJc w:val="left"/>
      <w:lvlText w:val="%1)"/>
      <w:numFmt w:val="lowerLetter"/>
      <w:start w:val="4"/>
    </w:lvl>
  </w:abstractNum>
  <w:abstractNum w:abstractNumId="81">
    <w:nsid w:val="74DE0EE3"/>
    <w:multiLevelType w:val="hybridMultilevel"/>
    <w:lvl w:ilvl="0">
      <w:lvlJc w:val="left"/>
      <w:lvlText w:val="%1)"/>
      <w:numFmt w:val="lowerLetter"/>
      <w:start w:val="5"/>
    </w:lvl>
    <w:lvl w:ilvl="1">
      <w:lvlJc w:val="left"/>
      <w:lvlText w:val="%2."/>
      <w:numFmt w:val="lowerRoman"/>
      <w:start w:val="1"/>
    </w:lvl>
  </w:abstractNum>
  <w:abstractNum w:abstractNumId="82">
    <w:nsid w:val="68EBC550"/>
    <w:multiLevelType w:val="hybridMultilevel"/>
    <w:lvl w:ilvl="0">
      <w:lvlJc w:val="left"/>
      <w:lvlText w:val="%1)"/>
      <w:numFmt w:val="lowerLetter"/>
      <w:start w:val="1"/>
    </w:lvl>
    <w:lvl w:ilvl="1">
      <w:lvlJc w:val="left"/>
      <w:lvlText w:val="(%2)"/>
      <w:numFmt w:val="lowerRoman"/>
      <w:start w:val="1"/>
    </w:lvl>
  </w:abstractNum>
  <w:abstractNum w:abstractNumId="83">
    <w:nsid w:val="2DF6D648"/>
    <w:multiLevelType w:val="hybridMultilevel"/>
    <w:lvl w:ilvl="0">
      <w:lvlJc w:val="left"/>
      <w:lvlText w:val="%1)"/>
      <w:numFmt w:val="lowerLetter"/>
      <w:start w:val="2"/>
    </w:lvl>
  </w:abstractNum>
  <w:abstractNum w:abstractNumId="84">
    <w:nsid w:val="46B7D447"/>
    <w:multiLevelType w:val="hybridMultilevel"/>
    <w:lvl w:ilvl="0">
      <w:lvlJc w:val="left"/>
      <w:lvlText w:val="%1)"/>
      <w:numFmt w:val="lowerLetter"/>
      <w:start w:val="1"/>
    </w:lvl>
  </w:abstractNum>
  <w:abstractNum w:abstractNumId="85">
    <w:nsid w:val="4A2AC315"/>
    <w:multiLevelType w:val="hybridMultilevel"/>
    <w:lvl w:ilvl="0">
      <w:lvlJc w:val="left"/>
      <w:lvlText w:val="%1)"/>
      <w:numFmt w:val="lowerLetter"/>
      <w:start w:val="2"/>
    </w:lvl>
  </w:abstractNum>
  <w:abstractNum w:abstractNumId="86">
    <w:nsid w:val="39EE015C"/>
    <w:multiLevelType w:val="hybridMultilevel"/>
    <w:lvl w:ilvl="0">
      <w:lvlJc w:val="left"/>
      <w:lvlText w:val="%1)"/>
      <w:numFmt w:val="lowerLetter"/>
      <w:start w:val="5"/>
    </w:lvl>
  </w:abstractNum>
  <w:abstractNum w:abstractNumId="87">
    <w:nsid w:val="57FC4FBB"/>
    <w:multiLevelType w:val="hybridMultilevel"/>
    <w:lvl w:ilvl="0">
      <w:lvlJc w:val="left"/>
      <w:lvlText w:val="%1"/>
      <w:numFmt w:val="lowerRoman"/>
      <w:start w:val="1"/>
    </w:lvl>
    <w:lvl w:ilvl="1">
      <w:lvlJc w:val="left"/>
      <w:lvlText w:val="%2)"/>
      <w:numFmt w:val="lowerLetter"/>
      <w:start w:val="8"/>
    </w:lvl>
  </w:abstractNum>
  <w:abstractNum w:abstractNumId="88">
    <w:nsid w:val="CC1016F"/>
    <w:multiLevelType w:val="hybridMultilevel"/>
    <w:lvl w:ilvl="0">
      <w:lvlJc w:val="left"/>
      <w:lvlText w:val="(%1)"/>
      <w:numFmt w:val="lowerRoman"/>
      <w:start w:val="3"/>
    </w:lvl>
    <w:lvl w:ilvl="1">
      <w:lvlJc w:val="left"/>
      <w:lvlText w:val="%2)"/>
      <w:numFmt w:val="lowerLetter"/>
      <w:start w:val="9"/>
    </w:lvl>
  </w:abstractNum>
  <w:abstractNum w:abstractNumId="89">
    <w:nsid w:val="43F18422"/>
    <w:multiLevelType w:val="hybridMultilevel"/>
    <w:lvl w:ilvl="0">
      <w:lvlJc w:val="left"/>
      <w:lvlText w:val="%1)"/>
      <w:numFmt w:val="lowerLetter"/>
      <w:start w:val="11"/>
    </w:lvl>
  </w:abstractNum>
  <w:abstractNum w:abstractNumId="90">
    <w:nsid w:val="60EF0119"/>
    <w:multiLevelType w:val="hybridMultilevel"/>
    <w:lvl w:ilvl="0">
      <w:lvlJc w:val="left"/>
      <w:lvlText w:val="(%1)"/>
      <w:numFmt w:val="decimal"/>
      <w:start w:val="1"/>
    </w:lvl>
    <w:lvl w:ilvl="1">
      <w:lvlJc w:val="left"/>
      <w:lvlText w:val="☐"/>
      <w:numFmt w:val="bullet"/>
      <w:start w:val="1"/>
    </w:lvl>
  </w:abstractNum>
  <w:abstractNum w:abstractNumId="91">
    <w:nsid w:val="26F324BA"/>
    <w:multiLevelType w:val="hybridMultilevel"/>
    <w:lvl w:ilvl="0">
      <w:lvlJc w:val="left"/>
      <w:lvlText w:val="(%1)"/>
      <w:numFmt w:val="lowerLetter"/>
      <w:start w:val="2"/>
    </w:lvl>
  </w:abstractNum>
  <w:abstractNum w:abstractNumId="92">
    <w:nsid w:val="7F01579B"/>
    <w:multiLevelType w:val="hybridMultilevel"/>
    <w:lvl w:ilvl="0">
      <w:lvlJc w:val="left"/>
      <w:lvlText w:val="(%1)"/>
      <w:numFmt w:val="lowerLetter"/>
      <w:start w:val="1"/>
    </w:lvl>
  </w:abstractNum>
  <w:abstractNum w:abstractNumId="93">
    <w:nsid w:val="49DA307D"/>
    <w:multiLevelType w:val="hybridMultilevel"/>
    <w:lvl w:ilvl="0">
      <w:lvlJc w:val="left"/>
      <w:lvlText w:val="(%1)"/>
      <w:numFmt w:val="lowerLetter"/>
      <w:start w:val="1"/>
    </w:lvl>
  </w:abstractNum>
  <w:abstractNum w:abstractNumId="94">
    <w:nsid w:val="7055A5F5"/>
    <w:multiLevelType w:val="hybridMultilevel"/>
    <w:lvl w:ilvl="0">
      <w:lvlJc w:val="left"/>
      <w:lvlText w:val="(%1)"/>
      <w:numFmt w:val="lowerLetter"/>
      <w:start w:val="2"/>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jpe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48" Type="http://schemas.openxmlformats.org/officeDocument/2006/relationships/image" Target="media/image95.png"/><Relationship Id="rId168" Type="http://schemas.openxmlformats.org/officeDocument/2006/relationships/image" Target="media/image96.png"/><Relationship Id="rId170" Type="http://schemas.openxmlformats.org/officeDocument/2006/relationships/image" Target="media/image97.png"/><Relationship Id="rId189" Type="http://schemas.openxmlformats.org/officeDocument/2006/relationships/image" Target="media/image98.png"/><Relationship Id="rId194" Type="http://schemas.openxmlformats.org/officeDocument/2006/relationships/image" Target="media/image99.png"/><Relationship Id="rId195" Type="http://schemas.openxmlformats.org/officeDocument/2006/relationships/image" Target="media/image100.png"/><Relationship Id="rId196" Type="http://schemas.openxmlformats.org/officeDocument/2006/relationships/image" Target="media/image101.png"/><Relationship Id="rId197" Type="http://schemas.openxmlformats.org/officeDocument/2006/relationships/image" Target="media/image102.png"/><Relationship Id="rId198" Type="http://schemas.openxmlformats.org/officeDocument/2006/relationships/image" Target="media/image103.png"/><Relationship Id="rId199" Type="http://schemas.openxmlformats.org/officeDocument/2006/relationships/image" Target="media/image104.png"/><Relationship Id="rId200" Type="http://schemas.openxmlformats.org/officeDocument/2006/relationships/image" Target="media/image105.png"/><Relationship Id="rId201" Type="http://schemas.openxmlformats.org/officeDocument/2006/relationships/image" Target="media/image106.png"/><Relationship Id="rId202" Type="http://schemas.openxmlformats.org/officeDocument/2006/relationships/image" Target="media/image107.png"/><Relationship Id="rId203" Type="http://schemas.openxmlformats.org/officeDocument/2006/relationships/image" Target="media/image108.png"/><Relationship Id="rId204" Type="http://schemas.openxmlformats.org/officeDocument/2006/relationships/image" Target="media/image109.png"/><Relationship Id="rId205" Type="http://schemas.openxmlformats.org/officeDocument/2006/relationships/image" Target="media/image110.png"/><Relationship Id="rId206" Type="http://schemas.openxmlformats.org/officeDocument/2006/relationships/image" Target="media/image111.png"/><Relationship Id="rId207" Type="http://schemas.openxmlformats.org/officeDocument/2006/relationships/image" Target="media/image112.png"/><Relationship Id="rId208" Type="http://schemas.openxmlformats.org/officeDocument/2006/relationships/image" Target="media/image113.png"/><Relationship Id="rId209" Type="http://schemas.openxmlformats.org/officeDocument/2006/relationships/image" Target="media/image114.png"/><Relationship Id="rId210" Type="http://schemas.openxmlformats.org/officeDocument/2006/relationships/image" Target="media/image115.png"/><Relationship Id="rId211" Type="http://schemas.openxmlformats.org/officeDocument/2006/relationships/image" Target="media/image116.png"/><Relationship Id="rId212" Type="http://schemas.openxmlformats.org/officeDocument/2006/relationships/image" Target="media/image117.png"/><Relationship Id="rId213" Type="http://schemas.openxmlformats.org/officeDocument/2006/relationships/image" Target="media/image118.png"/><Relationship Id="rId214" Type="http://schemas.openxmlformats.org/officeDocument/2006/relationships/image" Target="media/image119.png"/><Relationship Id="rId215" Type="http://schemas.openxmlformats.org/officeDocument/2006/relationships/image" Target="media/image120.png"/><Relationship Id="rId216" Type="http://schemas.openxmlformats.org/officeDocument/2006/relationships/image" Target="media/image121.png"/><Relationship Id="rId217" Type="http://schemas.openxmlformats.org/officeDocument/2006/relationships/image" Target="media/image122.png"/><Relationship Id="rId218" Type="http://schemas.openxmlformats.org/officeDocument/2006/relationships/image" Target="media/image123.png"/><Relationship Id="rId219" Type="http://schemas.openxmlformats.org/officeDocument/2006/relationships/image" Target="media/image124.png"/><Relationship Id="rId220" Type="http://schemas.openxmlformats.org/officeDocument/2006/relationships/image" Target="media/image125.png"/><Relationship Id="rId221" Type="http://schemas.openxmlformats.org/officeDocument/2006/relationships/image" Target="media/image126.png"/><Relationship Id="rId222" Type="http://schemas.openxmlformats.org/officeDocument/2006/relationships/image" Target="media/image127.png"/><Relationship Id="rId223" Type="http://schemas.openxmlformats.org/officeDocument/2006/relationships/image" Target="media/image128.png"/><Relationship Id="rId224" Type="http://schemas.openxmlformats.org/officeDocument/2006/relationships/image" Target="media/image129.png"/><Relationship Id="rId225" Type="http://schemas.openxmlformats.org/officeDocument/2006/relationships/image" Target="media/image130.png"/><Relationship Id="rId226" Type="http://schemas.openxmlformats.org/officeDocument/2006/relationships/image" Target="media/image131.png"/><Relationship Id="rId227" Type="http://schemas.openxmlformats.org/officeDocument/2006/relationships/image" Target="media/image132.png"/><Relationship Id="rId228" Type="http://schemas.openxmlformats.org/officeDocument/2006/relationships/image" Target="media/image133.png"/><Relationship Id="rId229" Type="http://schemas.openxmlformats.org/officeDocument/2006/relationships/image" Target="media/image134.png"/><Relationship Id="rId230" Type="http://schemas.openxmlformats.org/officeDocument/2006/relationships/image" Target="media/image135.png"/><Relationship Id="rId231" Type="http://schemas.openxmlformats.org/officeDocument/2006/relationships/image" Target="media/image136.png"/><Relationship Id="rId232" Type="http://schemas.openxmlformats.org/officeDocument/2006/relationships/image" Target="media/image137.png"/><Relationship Id="rId233" Type="http://schemas.openxmlformats.org/officeDocument/2006/relationships/image" Target="media/image138.png"/><Relationship Id="rId234" Type="http://schemas.openxmlformats.org/officeDocument/2006/relationships/image" Target="media/image139.png"/><Relationship Id="rId235" Type="http://schemas.openxmlformats.org/officeDocument/2006/relationships/image" Target="media/image140.png"/><Relationship Id="rId236" Type="http://schemas.openxmlformats.org/officeDocument/2006/relationships/image" Target="media/image141.png"/><Relationship Id="rId237" Type="http://schemas.openxmlformats.org/officeDocument/2006/relationships/image" Target="media/image142.png"/><Relationship Id="rId238" Type="http://schemas.openxmlformats.org/officeDocument/2006/relationships/image" Target="media/image143.png"/><Relationship Id="rId239" Type="http://schemas.openxmlformats.org/officeDocument/2006/relationships/image" Target="media/image144.png"/><Relationship Id="rId240" Type="http://schemas.openxmlformats.org/officeDocument/2006/relationships/image" Target="media/image145.png"/><Relationship Id="rId241" Type="http://schemas.openxmlformats.org/officeDocument/2006/relationships/image" Target="media/image146.png"/><Relationship Id="rId242" Type="http://schemas.openxmlformats.org/officeDocument/2006/relationships/image" Target="media/image147.png"/><Relationship Id="rId243" Type="http://schemas.openxmlformats.org/officeDocument/2006/relationships/image" Target="media/image148.png"/><Relationship Id="rId244" Type="http://schemas.openxmlformats.org/officeDocument/2006/relationships/image" Target="media/image149.png"/><Relationship Id="rId245" Type="http://schemas.openxmlformats.org/officeDocument/2006/relationships/image" Target="media/image150.png"/><Relationship Id="rId246" Type="http://schemas.openxmlformats.org/officeDocument/2006/relationships/image" Target="media/image151.png"/><Relationship Id="rId247" Type="http://schemas.openxmlformats.org/officeDocument/2006/relationships/image" Target="media/image152.png"/><Relationship Id="rId248" Type="http://schemas.openxmlformats.org/officeDocument/2006/relationships/image" Target="media/image153.png"/><Relationship Id="rId249" Type="http://schemas.openxmlformats.org/officeDocument/2006/relationships/image" Target="media/image154.png"/><Relationship Id="rId250" Type="http://schemas.openxmlformats.org/officeDocument/2006/relationships/image" Target="media/image155.png"/><Relationship Id="rId251" Type="http://schemas.openxmlformats.org/officeDocument/2006/relationships/image" Target="media/image156.png"/><Relationship Id="rId252" Type="http://schemas.openxmlformats.org/officeDocument/2006/relationships/image" Target="media/image157.png"/><Relationship Id="rId253" Type="http://schemas.openxmlformats.org/officeDocument/2006/relationships/image" Target="media/image158.png"/><Relationship Id="rId254" Type="http://schemas.openxmlformats.org/officeDocument/2006/relationships/image" Target="media/image159.png"/><Relationship Id="rId255" Type="http://schemas.openxmlformats.org/officeDocument/2006/relationships/image" Target="media/image160.png"/><Relationship Id="rId256" Type="http://schemas.openxmlformats.org/officeDocument/2006/relationships/image" Target="media/image161.png"/><Relationship Id="rId257" Type="http://schemas.openxmlformats.org/officeDocument/2006/relationships/image" Target="media/image162.png"/><Relationship Id="rId258" Type="http://schemas.openxmlformats.org/officeDocument/2006/relationships/image" Target="media/image163.jpeg"/><Relationship Id="rId259" Type="http://schemas.openxmlformats.org/officeDocument/2006/relationships/image" Target="media/image164.png"/><Relationship Id="rId260" Type="http://schemas.openxmlformats.org/officeDocument/2006/relationships/image" Target="media/image165.jpeg"/><Relationship Id="rId261" Type="http://schemas.openxmlformats.org/officeDocument/2006/relationships/image" Target="media/image166.png"/><Relationship Id="rId262" Type="http://schemas.openxmlformats.org/officeDocument/2006/relationships/image" Target="media/image167.jpeg"/><Relationship Id="rId263" Type="http://schemas.openxmlformats.org/officeDocument/2006/relationships/image" Target="media/image168.png"/><Relationship Id="rId264" Type="http://schemas.openxmlformats.org/officeDocument/2006/relationships/image" Target="media/image169.jpeg"/><Relationship Id="rId265" Type="http://schemas.openxmlformats.org/officeDocument/2006/relationships/image" Target="media/image170.png"/><Relationship Id="rId266" Type="http://schemas.openxmlformats.org/officeDocument/2006/relationships/image" Target="media/image171.png"/><Relationship Id="rId267" Type="http://schemas.openxmlformats.org/officeDocument/2006/relationships/image" Target="media/image172.png"/><Relationship Id="rId268" Type="http://schemas.openxmlformats.org/officeDocument/2006/relationships/image" Target="media/image173.png"/><Relationship Id="rId269" Type="http://schemas.openxmlformats.org/officeDocument/2006/relationships/image" Target="media/image174.png"/><Relationship Id="rId270" Type="http://schemas.openxmlformats.org/officeDocument/2006/relationships/image" Target="media/image175.png"/><Relationship Id="rId271" Type="http://schemas.openxmlformats.org/officeDocument/2006/relationships/image" Target="media/image176.png"/><Relationship Id="rId272" Type="http://schemas.openxmlformats.org/officeDocument/2006/relationships/image" Target="media/image177.png"/><Relationship Id="rId273" Type="http://schemas.openxmlformats.org/officeDocument/2006/relationships/image" Target="media/image178.png"/><Relationship Id="rId274" Type="http://schemas.openxmlformats.org/officeDocument/2006/relationships/image" Target="media/image179.png"/><Relationship Id="rId275" Type="http://schemas.openxmlformats.org/officeDocument/2006/relationships/image" Target="media/image180.png"/><Relationship Id="rId90" Type="http://schemas.openxmlformats.org/officeDocument/2006/relationships/hyperlink" Target="http://www.sec.gov/Archives/edgar/data/1800637/000121390023090353/f10k2022_agrify.htm" TargetMode="External"/><Relationship Id="rId91" Type="http://schemas.openxmlformats.org/officeDocument/2006/relationships/hyperlink" Target="http://www.sec.gov/Archives/edgar/data/1800637/000121390023090366/f10q0323_agrify.htm" TargetMode="External"/><Relationship Id="rId92" Type="http://schemas.openxmlformats.org/officeDocument/2006/relationships/hyperlink" Target="http://www.sec.gov/Archives/edgar/data/1800637/000121390023094877/f10q0623_agrify.htm" TargetMode="External"/><Relationship Id="rId93" Type="http://schemas.openxmlformats.org/officeDocument/2006/relationships/hyperlink" Target="http://www.sec.gov/Archives/edgar/data/1800637/000121390024000433/f10q0923_agrify.htm" TargetMode="External"/><Relationship Id="rId94" Type="http://schemas.openxmlformats.org/officeDocument/2006/relationships/hyperlink" Target="http://www.sec.gov/Archives/edgar/data/1800637/000121390023001422/ea171323-8k_agrifycorp.htm" TargetMode="External"/><Relationship Id="rId95" Type="http://schemas.openxmlformats.org/officeDocument/2006/relationships/hyperlink" Target="http://www.sec.gov/Archives/edgar/data/1800637/000121390023004857/ea172124-8k_agrifycorp.htm" TargetMode="External"/><Relationship Id="rId96" Type="http://schemas.openxmlformats.org/officeDocument/2006/relationships/hyperlink" Target="http://www.sec.gov/Archives/edgar/data/1800637/000121390023014128/ea174203-8k_agrifycorp.htm" TargetMode="External"/><Relationship Id="rId97" Type="http://schemas.openxmlformats.org/officeDocument/2006/relationships/hyperlink" Target="http://www.sec.gov/Archives/edgar/data/1800637/000121390023017011/ea174612-8k_agrifycorp.htm" TargetMode="External"/><Relationship Id="rId98" Type="http://schemas.openxmlformats.org/officeDocument/2006/relationships/hyperlink" Target="http://www.sec.gov/Archives/edgar/data/1800637/000121390023018686/ea174704-8k_agrifycorp.htm" TargetMode="External"/><Relationship Id="rId99" Type="http://schemas.openxmlformats.org/officeDocument/2006/relationships/hyperlink" Target="http://www.sec.gov/Archives/edgar/data/1800637/000121390023030258/ea177061-8k_agrify.htm" TargetMode="External"/><Relationship Id="rId100" Type="http://schemas.openxmlformats.org/officeDocument/2006/relationships/hyperlink" Target="http://www.sec.gov/Archives/edgar/data/1800637/000121390023031803/ea177338-8k_agrify.htm" TargetMode="External"/><Relationship Id="rId101" Type="http://schemas.openxmlformats.org/officeDocument/2006/relationships/hyperlink" Target="http://www.sec.gov/Archives/edgar/data/1800637/000121390023033012/ea177539-8k_agrify.htm" TargetMode="External"/><Relationship Id="rId102" Type="http://schemas.openxmlformats.org/officeDocument/2006/relationships/hyperlink" Target="http://www.sec.gov/Archives/edgar/data/1800637/000121390023042403/ea179123-8k_agrify.htm" TargetMode="External"/><Relationship Id="rId103" Type="http://schemas.openxmlformats.org/officeDocument/2006/relationships/hyperlink" Target="http://www.sec.gov/Archives/edgar/data/1800637/000121390023043102/ea179227-8k_agrifycorp.htm" TargetMode="External"/><Relationship Id="rId104" Type="http://schemas.openxmlformats.org/officeDocument/2006/relationships/hyperlink" Target="http://www.sec.gov/Archives/edgar/data/1800637/000121390023053790/ea181262-8k_agrify.htm" TargetMode="External"/><Relationship Id="rId105" Type="http://schemas.openxmlformats.org/officeDocument/2006/relationships/hyperlink" Target="http://www.sec.gov/Archives/edgar/data/1800637/000121390023057077/ea181831-8k_agrifycorp.htm" TargetMode="External"/><Relationship Id="rId106" Type="http://schemas.openxmlformats.org/officeDocument/2006/relationships/hyperlink" Target="http://www.sec.gov/Archives/edgar/data/1800637/000121390023058650/ea182123-8k_agrifycorp.htm" TargetMode="External"/><Relationship Id="rId107" Type="http://schemas.openxmlformats.org/officeDocument/2006/relationships/hyperlink" Target="http://www.sec.gov/Archives/edgar/data/1800637/000121390023069116/ea183934-8k_agrifycorp.htm" TargetMode="External"/><Relationship Id="rId108" Type="http://schemas.openxmlformats.org/officeDocument/2006/relationships/hyperlink" Target="http://www.sec.gov/Archives/edgar/data/1800637/000101376223000130/ea185697-8k_agrifycorp.htm" TargetMode="External"/><Relationship Id="rId109" Type="http://schemas.openxmlformats.org/officeDocument/2006/relationships/hyperlink" Target="http://www.sec.gov/Archives/edgar/data/1800637/000101376223005513/ea187028-8k_agrifycorp.htm" TargetMode="External"/><Relationship Id="rId110" Type="http://schemas.openxmlformats.org/officeDocument/2006/relationships/hyperlink" Target="http://www.sec.gov/Archives/edgar/data/1800637/000121390023083943/ea187778-8k_agrifycorp.htm" TargetMode="External"/><Relationship Id="rId111" Type="http://schemas.openxmlformats.org/officeDocument/2006/relationships/hyperlink" Target="http://www.sec.gov/Archives/edgar/data/1800637/000121390023084778/ea187928-8k_agrify.htm" TargetMode="External"/><Relationship Id="rId112" Type="http://schemas.openxmlformats.org/officeDocument/2006/relationships/hyperlink" Target="http://www.sec.gov/Archives/edgar/data/1800637/000121390023089611/ea188873-8k_agrifycorp.htm" TargetMode="External"/><Relationship Id="rId113" Type="http://schemas.openxmlformats.org/officeDocument/2006/relationships/hyperlink" Target="http://www.sec.gov/Archives/edgar/data/1800637/000121390023091492/ea189289-8k_agrify.htm" TargetMode="External"/><Relationship Id="rId114" Type="http://schemas.openxmlformats.org/officeDocument/2006/relationships/hyperlink" Target="http://www.sec.gov/Archives/edgar/data/1800637/000121390023093703/ea189579-8k_agrify.htm" TargetMode="External"/><Relationship Id="rId115" Type="http://schemas.openxmlformats.org/officeDocument/2006/relationships/hyperlink" Target="http://www.sec.gov/Archives/edgar/data/1800637/000143774924000875/agfy20240108_8k.htm" TargetMode="External"/><Relationship Id="rId116" Type="http://schemas.openxmlformats.org/officeDocument/2006/relationships/hyperlink" Target="http://www.sec.gov/Archives/edgar/data/1800637/000121390024006275/ea192155-8k_agrify.htm" TargetMode="External"/><Relationship Id="rId117" Type="http://schemas.openxmlformats.org/officeDocument/2006/relationships/hyperlink" Target="http://www.sec.gov/Archives/edgar/data/1800637/000121390024008117/ea192524-8k_agrifycorp.htm" TargetMode="External"/><Relationship Id="rId118" Type="http://schemas.openxmlformats.org/officeDocument/2006/relationships/hyperlink" Target="http://www.sec.gov/Archives/edgar/data/1800637/000121390023096287/def14a1223_agrifycorp.htm" TargetMode="External"/><Relationship Id="rId119" Type="http://schemas.openxmlformats.org/officeDocument/2006/relationships/hyperlink" Target="http://www.sec.gov/Archives/edgar/data/1800637/000121390021004285/ea133941-8a12b_agrifycorp.htm" TargetMode="External"/><Relationship Id="rId132" Type="http://schemas.openxmlformats.org/officeDocument/2006/relationships/hyperlink" Target="http://www.sec.gov/Archives/edgar/data/1800637/000101376221000191/ea148348ex2-1_agrifycorp.htm" TargetMode="External"/><Relationship Id="rId133" Type="http://schemas.openxmlformats.org/officeDocument/2006/relationships/hyperlink" Target="http://www.sec.gov/Archives/edgar/data/1800637/000101376221000191/ea148348ex2-2_agrifycorp.htm" TargetMode="External"/><Relationship Id="rId134" Type="http://schemas.openxmlformats.org/officeDocument/2006/relationships/hyperlink" Target="http://www.sec.gov/Archives/edgar/data/1800637/000121390022000601/ea153490ex2-1_agrifycorp.htm" TargetMode="External"/><Relationship Id="rId135" Type="http://schemas.openxmlformats.org/officeDocument/2006/relationships/hyperlink" Target="http://www.sec.gov/Archives/edgar/data/1800637/000121390022004925/ea154783ex2-1_agrifycorp.htm" TargetMode="External"/><Relationship Id="rId136" Type="http://schemas.openxmlformats.org/officeDocument/2006/relationships/hyperlink" Target="http://www.sec.gov/Archives/edgar/data/1800637/000121390021001799/fs12020a1ex3-1_agrify.htm" TargetMode="External"/><Relationship Id="rId137" Type="http://schemas.openxmlformats.org/officeDocument/2006/relationships/hyperlink" Target="http://www.sec.gov/Archives/edgar/data/1800637/000121390021001799/fs12020a1ex3-2_agrify.htm" TargetMode="External"/><Relationship Id="rId138" Type="http://schemas.openxmlformats.org/officeDocument/2006/relationships/hyperlink" Target="http://www.sec.gov/Archives/edgar/data/1800637/000121390021004220/fs12021a2ex3-3_agrifycorp.htm" TargetMode="External"/><Relationship Id="rId139" Type="http://schemas.openxmlformats.org/officeDocument/2006/relationships/hyperlink" Target="http://www.sec.gov/Archives/edgar/data/1800637/000121390022039420/ea162872ex3-1_agrify.htm" TargetMode="External"/><Relationship Id="rId140" Type="http://schemas.openxmlformats.org/officeDocument/2006/relationships/hyperlink" Target="http://www.sec.gov/Archives/edgar/data/1800637/000121390022064269/ea167213ex3-1agrifycorp.htm" TargetMode="External"/><Relationship Id="rId141" Type="http://schemas.openxmlformats.org/officeDocument/2006/relationships/hyperlink" Target="http://www.sec.gov/Archives/edgar/data/1800637/000121390023017011/ea174612ex3-1_agrifycorp.htm" TargetMode="External"/><Relationship Id="rId142" Type="http://schemas.openxmlformats.org/officeDocument/2006/relationships/hyperlink" Target="http://www.sec.gov/Archives/edgar/data/1800637/000121390023053790/ea181262ex3-1_agrify.htm" TargetMode="External"/><Relationship Id="rId143" Type="http://schemas.openxmlformats.org/officeDocument/2006/relationships/hyperlink" Target="http://www.sec.gov/Archives/edgar/data/1800637/000121390024006275/ea192155ex3-1_agrify.htm" TargetMode="External"/><Relationship Id="rId144" Type="http://schemas.openxmlformats.org/officeDocument/2006/relationships/hyperlink" Target="http://www.sec.gov/Archives/edgar/data/1800637/000121390021004220/fs12021a2ex4-1_agrifycorp.htm" TargetMode="External"/><Relationship Id="rId145" Type="http://schemas.openxmlformats.org/officeDocument/2006/relationships/hyperlink" Target="http://www.sec.gov/Archives/edgar/data/1800637/000121390021008530/fs12021ex4-2_agrifycorp.htm" TargetMode="External"/><Relationship Id="rId146" Type="http://schemas.openxmlformats.org/officeDocument/2006/relationships/hyperlink" Target="http://www.sec.gov/Archives/edgar/data/1800637/000121390021004220/fs12021a2ex4-2_agrifycorp.htm" TargetMode="External"/><Relationship Id="rId147" Type="http://schemas.openxmlformats.org/officeDocument/2006/relationships/hyperlink" Target="http://www.sec.gov/Archives/edgar/data/1800637/000121390020044121/fs12020ex4-3_agrifycorp.htm" TargetMode="External"/><Relationship Id="rId149" Type="http://schemas.openxmlformats.org/officeDocument/2006/relationships/hyperlink" Target="http://www.sec.gov/Archives/edgar/data/1800637/000121390021019992/f10k2020ex4-5_agrifycorp.htm" TargetMode="External"/><Relationship Id="rId150" Type="http://schemas.openxmlformats.org/officeDocument/2006/relationships/hyperlink" Target="http://www.sec.gov/Archives/edgar/data/1800637/000121390022003773/ea154520ex4-2_agrify.htm" TargetMode="External"/><Relationship Id="rId151" Type="http://schemas.openxmlformats.org/officeDocument/2006/relationships/hyperlink" Target="http://www.sec.gov/Archives/edgar/data/1800637/000121390022049494/ea164681ex4-1_agrify.htm" TargetMode="External"/><Relationship Id="rId152" Type="http://schemas.openxmlformats.org/officeDocument/2006/relationships/hyperlink" Target="http://www.sec.gov/Archives/edgar/data/1800637/000121390022049494/ea164681ex4-2_agrify.htm" TargetMode="External"/><Relationship Id="rId153" Type="http://schemas.openxmlformats.org/officeDocument/2006/relationships/hyperlink" Target="http://www.sec.gov/Archives/edgar/data/1800637/000121390022049494/ea164681ex4-3_agrify.htm" TargetMode="External"/><Relationship Id="rId154" Type="http://schemas.openxmlformats.org/officeDocument/2006/relationships/hyperlink" Target="http://www.sec.gov/Archives/edgar/data/1800637/000121390022080562/ea170341ex4-1_agrifycorp.htm" TargetMode="External"/><Relationship Id="rId155" Type="http://schemas.openxmlformats.org/officeDocument/2006/relationships/hyperlink" Target="http://www.sec.gov/Archives/edgar/data/1800637/000121390022080562/ea170341ex4-2_agrifycorp.htm" TargetMode="External"/><Relationship Id="rId156" Type="http://schemas.openxmlformats.org/officeDocument/2006/relationships/hyperlink" Target="http://www.sec.gov/Archives/edgar/data/1800637/000121390023018686/ea174704ex4-1_agrifycorp.htm" TargetMode="External"/><Relationship Id="rId157" Type="http://schemas.openxmlformats.org/officeDocument/2006/relationships/hyperlink" Target="http://www.sec.gov/Archives/edgar/data/1800637/000121390023018686/ea174704ex4-2_agrifycorp.htm" TargetMode="External"/><Relationship Id="rId158" Type="http://schemas.openxmlformats.org/officeDocument/2006/relationships/hyperlink" Target="http://www.sec.gov/Archives/edgar/data/1800637/000121390023083943/ea187778ex4-1_agrifycorp.htm" TargetMode="External"/><Relationship Id="rId159" Type="http://schemas.openxmlformats.org/officeDocument/2006/relationships/hyperlink" Target="http://www.sec.gov/Archives/edgar/data/1800637/000121390023083943/ea187778ex4-3_agrifycorp.htm" TargetMode="External"/><Relationship Id="rId160" Type="http://schemas.openxmlformats.org/officeDocument/2006/relationships/hyperlink" Target="http://www.sec.gov/Archives/edgar/data/1800637/000121390023083943/ea187778ex4-4_agrifycorp.htm" TargetMode="External"/><Relationship Id="rId161" Type="http://schemas.openxmlformats.org/officeDocument/2006/relationships/hyperlink" Target="http://www.sec.gov/Archives/edgar/data/1800637/000121390023083943/ea187778ex4-5_agrifycorp.htm" TargetMode="External"/><Relationship Id="rId162" Type="http://schemas.openxmlformats.org/officeDocument/2006/relationships/hyperlink" Target="http://www.sec.gov/Archives/edgar/data/1800637/000121390023093703/ea189579ex4-1_agrify.htm" TargetMode="External"/><Relationship Id="rId163" Type="http://schemas.openxmlformats.org/officeDocument/2006/relationships/hyperlink" Target="http://www.sec.gov/Archives/edgar/data/1800637/000121390024006275/ea192155ex4-1_agrify.htm" TargetMode="External"/><Relationship Id="rId164" Type="http://schemas.openxmlformats.org/officeDocument/2006/relationships/hyperlink" Target="http://www.sec.gov/Archives/edgar/data/1800637/000121390024006275/ea192155ex4-2_agrify.htm" TargetMode="External"/><Relationship Id="rId165" Type="http://schemas.openxmlformats.org/officeDocument/2006/relationships/hyperlink" Target="http://www.sec.gov/Archives/edgar/data/1800637/000121390020044121/fs12020ex10-1_agrifycorp.htm" TargetMode="External"/><Relationship Id="rId166" Type="http://schemas.openxmlformats.org/officeDocument/2006/relationships/hyperlink" Target="http://www.sec.gov/Archives/edgar/data/1800637/000121390020044121/fs12020ex10-2_agrifycorp.htm" TargetMode="External"/><Relationship Id="rId167" Type="http://schemas.openxmlformats.org/officeDocument/2006/relationships/hyperlink" Target="http://www.sec.gov/Archives/edgar/data/1800637/000121390020044121/fs12020ex10-3_agrifycorp.htm" TargetMode="External"/><Relationship Id="rId169" Type="http://schemas.openxmlformats.org/officeDocument/2006/relationships/hyperlink" Target="http://www.sec.gov/Archives/edgar/data/1800637/000121390020044121/fs12020ex10-4_agrifycorp.htm" TargetMode="External"/><Relationship Id="rId171" Type="http://schemas.openxmlformats.org/officeDocument/2006/relationships/hyperlink" Target="http://www.sec.gov/Archives/edgar/data/1800637/000121390021019992/f10k2020ex10-5_agrifycorp.htm" TargetMode="External"/><Relationship Id="rId172" Type="http://schemas.openxmlformats.org/officeDocument/2006/relationships/hyperlink" Target="http://www.sec.gov/Archives/edgar/data/1800637/000121390020044121/fs12020ex10-13_agrifycorp.htm" TargetMode="External"/><Relationship Id="rId173" Type="http://schemas.openxmlformats.org/officeDocument/2006/relationships/hyperlink" Target="http://www.sec.gov/Archives/edgar/data/1800637/000121390020044121/fs12020ex10-16_agrifycorp.htm" TargetMode="External"/><Relationship Id="rId174" Type="http://schemas.openxmlformats.org/officeDocument/2006/relationships/hyperlink" Target="http://www.sec.gov/Archives/edgar/data/1800637/000121390021001799/fs12020a1ex10-15_agrify.htm" TargetMode="External"/><Relationship Id="rId175" Type="http://schemas.openxmlformats.org/officeDocument/2006/relationships/hyperlink" Target="http://www.sec.gov/Archives/edgar/data/1800637/000121390020044121/fs12020ex10-18_agrifycorp.htm" TargetMode="External"/><Relationship Id="rId176" Type="http://schemas.openxmlformats.org/officeDocument/2006/relationships/hyperlink" Target="http://www.sec.gov/Archives/edgar/data/1800637/000121390021008530/fs12021ex10-18_agrifycorp.htm" TargetMode="External"/><Relationship Id="rId177" Type="http://schemas.openxmlformats.org/officeDocument/2006/relationships/hyperlink" Target="http://www.sec.gov/Archives/edgar/data/1800637/000121390021059567/ea150577ex10-2_agrifycorp.htm" TargetMode="External"/><Relationship Id="rId178" Type="http://schemas.openxmlformats.org/officeDocument/2006/relationships/hyperlink" Target="http://www.sec.gov/Archives/edgar/data/1800637/000121390022003773/ea154520ex10-1_agrify.htm" TargetMode="External"/><Relationship Id="rId179" Type="http://schemas.openxmlformats.org/officeDocument/2006/relationships/hyperlink" Target="http://www.sec.gov/Archives/edgar/data/1800637/000121390022013613/ea157101ex10-1_agrifycorp.htm" TargetMode="External"/><Relationship Id="rId180" Type="http://schemas.openxmlformats.org/officeDocument/2006/relationships/hyperlink" Target="http://www.sec.gov/Archives/edgar/data/1800637/000121390022022512/def14a0422_agrify.htm#T99014" TargetMode="External"/><Relationship Id="rId181" Type="http://schemas.openxmlformats.org/officeDocument/2006/relationships/hyperlink" Target="http://www.sec.gov/Archives/edgar/data/1800637/000121390022022512/def14a0422_agrify.htm#T99015" TargetMode="External"/><Relationship Id="rId182" Type="http://schemas.openxmlformats.org/officeDocument/2006/relationships/hyperlink" Target="http://www.sec.gov/Archives/edgar/data/1800637/000121390022039420/ea162872ex10-2_agrify.htm" TargetMode="External"/><Relationship Id="rId183" Type="http://schemas.openxmlformats.org/officeDocument/2006/relationships/hyperlink" Target="http://www.sec.gov/Archives/edgar/data/1800637/000121390022039420/ea162872ex10-1_agrify.htm" TargetMode="External"/><Relationship Id="rId184" Type="http://schemas.openxmlformats.org/officeDocument/2006/relationships/hyperlink" Target="http://www.sec.gov/Archives/edgar/data/1800637/000121390022049494/ea164681ex10-1_agrify.htm" TargetMode="External"/><Relationship Id="rId185" Type="http://schemas.openxmlformats.org/officeDocument/2006/relationships/hyperlink" Target="http://www.sec.gov/Archives/edgar/data/1800637/000121390022064592/ea167238ex1-1_agrifycorp.htm" TargetMode="External"/><Relationship Id="rId186" Type="http://schemas.openxmlformats.org/officeDocument/2006/relationships/hyperlink" Target="http://www.sec.gov/Archives/edgar/data/1800637/000121390023004857/ea172124ex10-1_agrifycorp.htm" TargetMode="External"/><Relationship Id="rId187" Type="http://schemas.openxmlformats.org/officeDocument/2006/relationships/hyperlink" Target="http://www.sec.gov/Archives/edgar/data/1800637/000121390023018686/ea174704ex10-1_agrifycorp.htm" TargetMode="External"/><Relationship Id="rId188" Type="http://schemas.openxmlformats.org/officeDocument/2006/relationships/hyperlink" Target="http://www.sec.gov/Archives/edgar/data/1800637/000121390023083943/ea187778ex10-1_agrifycorp.htm" TargetMode="External"/><Relationship Id="rId190" Type="http://schemas.openxmlformats.org/officeDocument/2006/relationships/hyperlink" Target="http://www.sec.gov/Archives/edgar/data/1800637/000121390023083943/ea187778ex10-2_agrifycorp.htm" TargetMode="External"/><Relationship Id="rId191" Type="http://schemas.openxmlformats.org/officeDocument/2006/relationships/hyperlink" Target="http://www.sec.gov/Archives/edgar/data/1800637/000121390023083943/ea187778ex10-3_agrifycorp.htm" TargetMode="External"/><Relationship Id="rId192" Type="http://schemas.openxmlformats.org/officeDocument/2006/relationships/hyperlink" Target="http://www.sec.gov/Archives/edgar/data/1800637/000121390023090353/f10k2022ex21-1_agrifycorp.htm" TargetMode="External"/><Relationship Id="rId193" Type="http://schemas.openxmlformats.org/officeDocument/2006/relationships/hyperlink" Target="http://www.sec.gov/Archives/edgar/data/1800637/000121390024007056/fs12024_agrifycorp.htm#T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2024-02-08T05:14:43Z</dcterms:created>
  <dcterms:modified xsi:type="dcterms:W3CDTF">2024-02-08T05:14:43Z</dcterms:modified>
</cp:coreProperties>
</file>