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ea187928-8k_agrify.htm"/>
      <w:bookmarkStart w:id="1" w:name="ksea1879288k_agrify"/>
      <w:bookmarkEnd w:id="0"/>
      <w:bookmarkEnd w:id="1"/>
      <w:r>
        <w:rPr>
          <w:bdr w:val="single" w:sz="16" w:space="1" w:color="000000"/>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4_edei--DocumentType_c20231106__20"/>
      <w:bookmarkEnd w:id="2"/>
      <w:r>
        <w:rPr>
          <w:rFonts w:ascii="Times New Roman;Times;Serif" w:hAnsi="Times New Roman;Times;Serif"/>
          <w:b/>
          <w:i w:val="false"/>
          <w:caps w:val="false"/>
          <w:smallCaps w:val="false"/>
          <w:sz w:val="28"/>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November 6, 2023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5_edei--EntityRegistrantName_c2023"/>
      <w:bookmarkEnd w:id="4"/>
      <w:r>
        <w:rPr>
          <w:rFonts w:ascii="Times New Roman;Times;Serif" w:hAnsi="Times New Roman;Times;Serif"/>
          <w:b/>
          <w:i w:val="false"/>
          <w:caps w:val="false"/>
          <w:smallCaps w:val="false"/>
          <w:sz w:val="28"/>
        </w:rPr>
        <w:t>AGRIFY CORPORATION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Nevada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jc w:val="center"/>
        <w:rPr>
          <w:caps w:val="false"/>
          <w:smallCaps w:val="false"/>
        </w:rPr>
      </w:pPr>
      <w:r>
        <w:rPr>
          <w:caps w:val="false"/>
          <w:smallCaps w:val="false"/>
        </w:rPr>
        <w:t> </w:t>
      </w:r>
    </w:p>
    <w:tbl>
      <w:tblPr>
        <w:tblW w:w="6055" w:type="dxa"/>
        <w:jc w:val="left"/>
        <w:tblInd w:w="0" w:type="dxa"/>
        <w:tblLayout w:type="fixed"/>
        <w:tblCellMar>
          <w:top w:w="0" w:type="dxa"/>
          <w:left w:w="0" w:type="dxa"/>
          <w:bottom w:w="28" w:type="dxa"/>
          <w:right w:w="0" w:type="dxa"/>
        </w:tblCellMar>
      </w:tblPr>
      <w:tblGrid>
        <w:gridCol w:w="3215"/>
        <w:gridCol w:w="60"/>
        <w:gridCol w:w="2780"/>
      </w:tblGrid>
      <w:tr>
        <w:trPr/>
        <w:tc>
          <w:tcPr>
            <w:tcW w:w="3215" w:type="dxa"/>
            <w:tcBorders>
              <w:bottom w:val="single" w:sz="8" w:space="0" w:color="000000"/>
            </w:tcBorders>
            <w:vAlign w:val="center"/>
          </w:tcPr>
          <w:p>
            <w:pPr>
              <w:pStyle w:val="TableContents"/>
              <w:bidi w:val="0"/>
              <w:spacing w:before="0" w:after="283"/>
              <w:jc w:val="center"/>
              <w:rPr>
                <w:b/>
                <w:sz w:val="20"/>
              </w:rPr>
            </w:pPr>
            <w:bookmarkStart w:id="6" w:name="xdx_90D_edei--EntityFileNumber_c20231106"/>
            <w:bookmarkEnd w:id="6"/>
            <w:r>
              <w:rPr>
                <w:b/>
                <w:sz w:val="20"/>
              </w:rPr>
              <w:t>001-39946</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2_edei--EntityTaxIdentificationNum"/>
            <w:bookmarkEnd w:id="7"/>
            <w:r>
              <w:rPr>
                <w:b/>
                <w:sz w:val="20"/>
              </w:rPr>
              <w:t>30-0943453</w:t>
            </w:r>
          </w:p>
        </w:tc>
      </w:tr>
      <w:tr>
        <w:trPr/>
        <w:tc>
          <w:tcPr>
            <w:tcW w:w="321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r>
        <w:trPr/>
        <w:tc>
          <w:tcPr>
            <w:tcW w:w="3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r>
      <w:tr>
        <w:trPr/>
        <w:tc>
          <w:tcPr>
            <w:tcW w:w="321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2468 Industrial Row Drive</w:t>
            </w:r>
          </w:p>
          <w:p>
            <w:pPr>
              <w:pStyle w:val="TableContents"/>
              <w:bidi w:val="0"/>
              <w:spacing w:before="0" w:after="283"/>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Troy, </w:t>
            </w:r>
            <w:bookmarkStart w:id="10" w:name="xdx_902_edei--EntityAddressStateOrProvin"/>
            <w:bookmarkEnd w:id="10"/>
            <w:r>
              <w:rPr>
                <w:rFonts w:ascii="Times New Roman;Times;Serif" w:hAnsi="Times New Roman;Times;Serif"/>
                <w:b/>
                <w:i w:val="false"/>
                <w:caps w:val="false"/>
                <w:smallCaps w:val="false"/>
                <w:sz w:val="20"/>
              </w:rPr>
              <w:t>MI</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i w:val="false"/>
                <w:caps w:val="false"/>
                <w:smallCaps w:val="false"/>
                <w:sz w:val="20"/>
              </w:rPr>
            </w:pPr>
            <w:bookmarkStart w:id="11" w:name="xdx_901_edei--EntityAddressPostalZipCode"/>
            <w:bookmarkEnd w:id="11"/>
            <w:r>
              <w:rPr>
                <w:rFonts w:ascii="Times New Roman;Times;Serif" w:hAnsi="Times New Roman;Times;Serif"/>
                <w:b/>
                <w:i w:val="false"/>
                <w:caps w:val="false"/>
                <w:smallCaps w:val="false"/>
                <w:sz w:val="20"/>
              </w:rPr>
              <w:t>48084</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xdx_903_edei--CityAreaCode_c20231106__20"/>
      <w:bookmarkEnd w:id="12"/>
      <w:r>
        <w:rPr>
          <w:rFonts w:ascii="Times New Roman;Times;Serif" w:hAnsi="Times New Roman;Times;Serif"/>
          <w:b/>
          <w:i w:val="false"/>
          <w:caps w:val="false"/>
          <w:smallCaps w:val="false"/>
          <w:sz w:val="20"/>
        </w:rPr>
        <w:t xml:space="preserve">(617) </w:t>
      </w:r>
      <w:bookmarkStart w:id="13" w:name="xdx_90C_edei--LocalPhoneNumber_c20231106"/>
      <w:bookmarkEnd w:id="13"/>
      <w:r>
        <w:rPr>
          <w:rFonts w:ascii="Times New Roman;Times;Serif" w:hAnsi="Times New Roman;Times;Serif"/>
          <w:b/>
          <w:i w:val="false"/>
          <w:caps w:val="false"/>
          <w:smallCaps w:val="false"/>
          <w:sz w:val="20"/>
        </w:rPr>
        <w:t>896-5243</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bookmarkStart w:id="14" w:name="xdx_907_edei--WrittenCommunications_c202"/>
      <w:bookmarkEnd w:id="14"/>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bookmarkStart w:id="15" w:name="xdx_903_edei--SolicitingMaterial_c202311"/>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bookmarkStart w:id="16" w:name="xdx_90B_edei--PreCommencementTenderOffer"/>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14d-2(b) under the Exchange Act (17 CFR 240.14d-2(b))</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bookmarkStart w:id="17" w:name="xdx_905_edei--PreCommencementIssuerTende"/>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13e-4(c) under the Exchange Act (17 CFR 240.13e-4(c))</w:t>
      </w:r>
    </w:p>
    <w:p>
      <w:pPr>
        <w:pStyle w:val="TextBody"/>
        <w:bidi w:val="0"/>
        <w:ind w:left="360" w:right="0" w:hanging="36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250" w:type="dxa"/>
        <w:jc w:val="left"/>
        <w:tblInd w:w="0" w:type="dxa"/>
        <w:tblLayout w:type="fixed"/>
        <w:tblCellMar>
          <w:top w:w="0" w:type="dxa"/>
          <w:left w:w="0" w:type="dxa"/>
          <w:bottom w:w="28" w:type="dxa"/>
          <w:right w:w="0" w:type="dxa"/>
        </w:tblCellMar>
      </w:tblPr>
      <w:tblGrid>
        <w:gridCol w:w="2750"/>
        <w:gridCol w:w="60"/>
        <w:gridCol w:w="1610"/>
        <w:gridCol w:w="60"/>
        <w:gridCol w:w="3770"/>
      </w:tblGrid>
      <w:tr>
        <w:trPr/>
        <w:tc>
          <w:tcPr>
            <w:tcW w:w="275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7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50" w:type="dxa"/>
            <w:tcBorders/>
            <w:shd w:fill="CCEEFF" w:val="clear"/>
            <w:tcMar>
              <w:bottom w:w="0" w:type="dxa"/>
            </w:tcMar>
            <w:vAlign w:val="center"/>
          </w:tcPr>
          <w:p>
            <w:pPr>
              <w:pStyle w:val="TableContents"/>
              <w:bidi w:val="0"/>
              <w:spacing w:before="0" w:after="283"/>
              <w:jc w:val="center"/>
              <w:rPr>
                <w:sz w:val="20"/>
              </w:rPr>
            </w:pPr>
            <w:bookmarkStart w:id="18" w:name="xdx_90A_edei--Security12bTitle_c20231106"/>
            <w:bookmarkEnd w:id="18"/>
            <w:r>
              <w:rPr>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8_edei--TradingSymbol_c20231106__2"/>
            <w:bookmarkEnd w:id="19"/>
            <w:r>
              <w:rPr>
                <w:sz w:val="20"/>
              </w:rPr>
              <w:t>AGFY</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70" w:type="dxa"/>
            <w:tcBorders/>
            <w:shd w:fill="CCEEFF" w:val="clear"/>
            <w:tcMar>
              <w:bottom w:w="0" w:type="dxa"/>
            </w:tcMar>
            <w:vAlign w:val="center"/>
          </w:tcPr>
          <w:p>
            <w:pPr>
              <w:pStyle w:val="TableContents"/>
              <w:bidi w:val="0"/>
              <w:spacing w:before="0" w:after="283"/>
              <w:jc w:val="center"/>
              <w:rPr>
                <w:sz w:val="20"/>
              </w:rPr>
            </w:pPr>
            <w:bookmarkStart w:id="20" w:name="xdx_906_edei--SecurityExchangeName_c2023"/>
            <w:bookmarkEnd w:id="20"/>
            <w:r>
              <w:rPr>
                <w:sz w:val="20"/>
              </w:rPr>
              <w:t>The Nasdaq Stock Market LLC</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Wingdings" w:hAnsi="Wingdings"/>
          <w:b w:val="false"/>
          <w:i w:val="false"/>
          <w:caps w:val="false"/>
          <w:smallCaps w:val="false"/>
          <w:sz w:val="20"/>
        </w:rPr>
        <w:t>x</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D_edei--EntityExTransitionPeriod_c"/>
      <w:bookmarkEnd w:id="22"/>
      <w:r>
        <w:rPr>
          <w:rFonts w:ascii="Wingdings" w:hAnsi="Wingdings"/>
          <w:b w:val="false"/>
          <w:i w:val="false"/>
          <w:caps w:val="false"/>
          <w:smallCaps w:val="false"/>
          <w:sz w:val="20"/>
        </w:rPr>
        <w:t>o</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875"/>
        <w:gridCol w:w="1655"/>
      </w:tblGrid>
      <w:tr>
        <w:trPr/>
        <w:tc>
          <w:tcPr>
            <w:tcW w:w="875" w:type="dxa"/>
            <w:tcBorders/>
            <w:vAlign w:val="center"/>
          </w:tcPr>
          <w:p>
            <w:pPr>
              <w:pStyle w:val="TableContents"/>
              <w:bidi w:val="0"/>
              <w:spacing w:before="0" w:after="283"/>
              <w:jc w:val="left"/>
              <w:rPr>
                <w:b/>
                <w:sz w:val="20"/>
              </w:rPr>
            </w:pPr>
            <w:r>
              <w:rPr>
                <w:b/>
                <w:sz w:val="20"/>
              </w:rPr>
              <w:t>Item 8.01.</w:t>
            </w:r>
          </w:p>
        </w:tc>
        <w:tc>
          <w:tcPr>
            <w:tcW w:w="1655" w:type="dxa"/>
            <w:tcBorders/>
            <w:vAlign w:val="center"/>
          </w:tcPr>
          <w:p>
            <w:pPr>
              <w:pStyle w:val="TableContents"/>
              <w:bidi w:val="0"/>
              <w:spacing w:before="0" w:after="283"/>
              <w:jc w:val="both"/>
              <w:rPr>
                <w:b/>
                <w:sz w:val="20"/>
              </w:rPr>
            </w:pPr>
            <w:r>
              <w:rPr>
                <w:b/>
                <w:sz w:val="20"/>
              </w:rPr>
              <w:t>Other Information.</w:t>
            </w:r>
          </w:p>
        </w:tc>
      </w:tr>
    </w:tbl>
    <w:p>
      <w:pPr>
        <w:pStyle w:val="TextBody"/>
        <w:bidi w:val="0"/>
        <w:jc w:val="both"/>
        <w:rPr>
          <w:caps w:val="false"/>
          <w:smallCaps w:val="false"/>
        </w:rPr>
      </w:pPr>
      <w:r>
        <w:rPr>
          <w:caps w:val="false"/>
          <w:smallCaps w:val="false"/>
        </w:rPr>
        <w:t> </w:t>
      </w:r>
    </w:p>
    <w:p>
      <w:pPr>
        <w:pStyle w:val="TextBody"/>
        <w:bidi w:val="0"/>
        <w:jc w:val="both"/>
        <w:rPr/>
      </w:pPr>
      <w:r>
        <w:rPr>
          <w:rFonts w:ascii="Times New Roman;Times;Serif" w:hAnsi="Times New Roman;Times;Serif"/>
          <w:b w:val="false"/>
          <w:i w:val="false"/>
          <w:caps w:val="false"/>
          <w:smallCaps w:val="false"/>
          <w:sz w:val="20"/>
        </w:rPr>
        <w:t xml:space="preserve">As previously disclosed in the Current Report on Form 8-K filed by Agrify Corporation (the “Company”) on </w:t>
      </w:r>
      <w:hyperlink r:id="rId2">
        <w:r>
          <w:rPr>
            <w:rStyle w:val="InternetLink"/>
            <w:rFonts w:ascii="Times New Roman;Times;Serif" w:hAnsi="Times New Roman;Times;Serif"/>
            <w:b w:val="false"/>
            <w:i w:val="false"/>
            <w:caps w:val="false"/>
            <w:smallCaps w:val="false"/>
            <w:sz w:val="20"/>
          </w:rPr>
          <w:t>October 20, 2023</w:t>
        </w:r>
      </w:hyperlink>
      <w:r>
        <w:rPr>
          <w:rFonts w:ascii="Times New Roman;Times;Serif" w:hAnsi="Times New Roman;Times;Serif"/>
          <w:b w:val="false"/>
          <w:i w:val="false"/>
          <w:caps w:val="false"/>
          <w:smallCaps w:val="false"/>
          <w:sz w:val="20"/>
        </w:rPr>
        <w:t>, on October 17, 2023, the Company received a Staff Delisting Determination (the “Staff Determination”) from the Listing Qualifications Department of The Nasdaq Stock Market LLC (“Nasdaq”) notifying the Company that it was not in compliance with Nasdaq’s continued listing requirements under Nasdaq Listing Rule 5250(c)(1) (the “Listing Rule”) as a result of its failure to file the Company’s Annual Report on Form 10-K for the fiscal year ended December 31, 2022 and the Quarterly Reports on Form 10-Q for the fiscal quarters ended March 31, 2023 and June 30, 2023 (collectively, the “Delinquent Reports”) in a timely manner. The Staff Determination had no immediate effect and did not immediately result in the suspension of trading or delisting of the Company’s shares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6, 2023, the Company received a notice from the Nasdaq Hearings Panel (the “Panel”) that it has granted the Company’s request to extend (the “Stay Extension”) the automatic 15-day stay of suspension from listing Nasdaq, pending the hearing (the “Hearing”), and a final Panel determination regarding the Company’s listing status. </w:t>
      </w:r>
      <w:r>
        <w:rPr>
          <w:rFonts w:ascii="Times New Roman;Times;Serif" w:hAnsi="Times New Roman;Times;Serif"/>
          <w:b w:val="false"/>
          <w:i w:val="false"/>
          <w:caps w:val="false"/>
          <w:smallCaps w:val="false"/>
          <w:sz w:val="20"/>
          <w:shd w:fill="FFFFFF" w:val="clear"/>
        </w:rPr>
        <w:t>The Company intends to complete the Delinquent Reports, after which the financial statements contained in the Delinquent Reports will be subject to audit and/or review by the Company’s independent registered public accounting firm. Following completion of the audit or review, as applicable, of the Delinquent Reports, the Company plans to file the Delinquent Reports within the period of the Stay Extension. However, there can be no assurance that the Company will be able to file the Delinquent Reports prior to the Hearing.</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r>
        <w:rPr>
          <w:rFonts w:ascii="Times New Roman;Times;Serif" w:hAnsi="Times New Roman;Times;Serif"/>
          <w:b w:val="false"/>
          <w:i w:val="false"/>
          <w:caps w:val="false"/>
          <w:smallCaps w:val="false"/>
          <w:sz w:val="20"/>
          <w:shd w:fill="FFFFFF" w:val="clear"/>
        </w:rPr>
        <w:t>November 8, 2023</w:t>
      </w:r>
      <w:r>
        <w:rPr>
          <w:rFonts w:ascii="Times New Roman;Times;Serif" w:hAnsi="Times New Roman;Times;Serif"/>
          <w:b w:val="false"/>
          <w:i w:val="false"/>
          <w:caps w:val="false"/>
          <w:smallCaps w:val="false"/>
          <w:sz w:val="20"/>
        </w:rPr>
        <w:t>, the Company issued a press release disclosing the receipt of the Stay Extension referenced above. A copy of the press release is furnished as Exhibit 99.1 to this Current Report on Form 8-K and is incorporated herein by reference.</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 </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cautions you certain of the statements in this Form 8-K or in the attached press release may represent “forward-looking statements” as defined in Section 27A of the United States Securities Act of 1933, as amended, and Section 21E of the United States Securities Exchange Act of 1934, as amended. </w:t>
      </w:r>
      <w:r>
        <w:rPr>
          <w:rFonts w:ascii="Times New Roman;Times;Serif" w:hAnsi="Times New Roman;Times;Serif"/>
          <w:b w:val="false"/>
          <w:i w:val="false"/>
          <w:caps w:val="false"/>
          <w:smallCaps w:val="false"/>
          <w:sz w:val="20"/>
          <w:shd w:fill="FFFFFF" w:val="clear"/>
        </w:rPr>
        <w:t xml:space="preserve">All statements contained </w:t>
      </w:r>
      <w:r>
        <w:rPr>
          <w:rFonts w:ascii="Times New Roman;Times;Serif" w:hAnsi="Times New Roman;Times;Serif"/>
          <w:b w:val="false"/>
          <w:i w:val="false"/>
          <w:caps w:val="false"/>
          <w:smallCaps w:val="false"/>
          <w:sz w:val="20"/>
        </w:rPr>
        <w:t xml:space="preserve">in this Form 8-K or in the attached press release </w:t>
      </w:r>
      <w:r>
        <w:rPr>
          <w:rFonts w:ascii="Times New Roman;Times;Serif" w:hAnsi="Times New Roman;Times;Serif"/>
          <w:b w:val="false"/>
          <w:i w:val="false"/>
          <w:caps w:val="false"/>
          <w:smallCaps w:val="false"/>
          <w:sz w:val="20"/>
          <w:shd w:fill="FFFFFF" w:val="clear"/>
        </w:rPr>
        <w:t>that do not relate to matters of historical fact should be considered forward-looking statements including, without limitation,</w:t>
      </w:r>
      <w:r>
        <w:rPr>
          <w:rFonts w:ascii="Times New Roman;Times;Serif" w:hAnsi="Times New Roman;Times;Serif"/>
          <w:b w:val="false"/>
          <w:i w:val="false"/>
          <w:caps w:val="false"/>
          <w:smallCaps w:val="false"/>
          <w:sz w:val="20"/>
        </w:rPr>
        <w:t xml:space="preserve"> statements relating to the filing of the </w:t>
      </w:r>
      <w:r>
        <w:rPr>
          <w:rFonts w:ascii="Times New Roman;Times;Serif" w:hAnsi="Times New Roman;Times;Serif"/>
          <w:b w:val="false"/>
          <w:i w:val="false"/>
          <w:caps w:val="false"/>
          <w:smallCaps w:val="false"/>
          <w:sz w:val="20"/>
          <w:shd w:fill="FFFFFF" w:val="clear"/>
        </w:rPr>
        <w:t>Delinquent Reports</w:t>
      </w:r>
      <w:r>
        <w:rPr>
          <w:rFonts w:ascii="Times New Roman;Times;Serif" w:hAnsi="Times New Roman;Times;Serif"/>
          <w:b w:val="false"/>
          <w:i w:val="false"/>
          <w:caps w:val="false"/>
          <w:smallCaps w:val="false"/>
          <w:sz w:val="20"/>
        </w:rPr>
        <w:t xml:space="preserve"> and the Company’s ability to regain compliance with the Nasdaq continued listing standards. </w:t>
      </w:r>
      <w:r>
        <w:rPr>
          <w:rFonts w:ascii="Times New Roman;Times;Serif" w:hAnsi="Times New Roman;Times;Serif"/>
          <w:b w:val="false"/>
          <w:i w:val="false"/>
          <w:caps w:val="false"/>
          <w:smallCaps w:val="false"/>
          <w:sz w:val="20"/>
          <w:shd w:fill="FFFFFF" w:val="clear"/>
        </w:rPr>
        <w:t xml:space="preserve">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w:t>
      </w:r>
      <w:r>
        <w:rPr>
          <w:rFonts w:ascii="Times New Roman;Times;Serif" w:hAnsi="Times New Roman;Times;Serif"/>
          <w:b w:val="false"/>
          <w:i w:val="false"/>
          <w:caps w:val="false"/>
          <w:smallCaps w:val="false"/>
          <w:sz w:val="20"/>
        </w:rPr>
        <w:t xml:space="preserve">this Form 8-K or in the attached press </w:t>
      </w:r>
      <w:r>
        <w:rPr>
          <w:rFonts w:ascii="Times New Roman;Times;Serif" w:hAnsi="Times New Roman;Times;Serif"/>
          <w:b w:val="false"/>
          <w:i w:val="false"/>
          <w:caps w:val="false"/>
          <w:smallCaps w:val="false"/>
          <w:sz w:val="20"/>
          <w:shd w:fill="FFFFFF" w:val="clear"/>
        </w:rPr>
        <w:t>release are only predictions. The Company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You should carefully consider the risks and uncertainties that affect the Company’s business, including those described in the Company’s filings with the Securities and Exchange Commission (“SEC”), including under the caption “Risk Factors” in the Company’s Annual Report on Form 10-K filed for the year ended December 31, 2021 with the SEC, which can be obtained on the SEC website at www.sec.gov. These forward-looking statements speak only as of the date of this Form 8-K. Except as required by applicable law, the Company does not plan to publicly update or revise any forward-looking statements, whether as a result of any new information, future events or otherwise. Investors are advised, however, to consult any further disclosures the Company makes on related subjects in its public announcements and filings with the SEC.</w:t>
      </w:r>
    </w:p>
    <w:p>
      <w:pPr>
        <w:pStyle w:val="TextBody"/>
        <w:bidi w:val="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both"/>
              <w:rPr>
                <w:b/>
                <w:sz w:val="20"/>
              </w:rPr>
            </w:pPr>
            <w:r>
              <w:rPr>
                <w:b/>
                <w:sz w:val="20"/>
              </w:rPr>
              <w:t>Financial Statements and Exhibits.</w:t>
            </w:r>
          </w:p>
        </w:tc>
      </w:tr>
    </w:tbl>
    <w:p>
      <w:pPr>
        <w:pStyle w:val="TextBody"/>
        <w:bidi w:val="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75"/>
        <w:gridCol w:w="245"/>
        <w:gridCol w:w="7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(d)</w:t>
            </w:r>
          </w:p>
        </w:tc>
        <w:tc>
          <w:tcPr>
            <w:tcW w:w="770" w:type="dxa"/>
            <w:tcBorders/>
            <w:vAlign w:val="center"/>
          </w:tcPr>
          <w:p>
            <w:pPr>
              <w:pStyle w:val="TableContents"/>
              <w:bidi w:val="0"/>
              <w:spacing w:before="0" w:after="283"/>
              <w:jc w:val="both"/>
              <w:rPr>
                <w:sz w:val="20"/>
              </w:rPr>
            </w:pPr>
            <w:r>
              <w:rPr>
                <w:sz w:val="20"/>
              </w:rPr>
              <w:t>Exhibits.</w:t>
            </w:r>
          </w:p>
        </w:tc>
      </w:tr>
    </w:tbl>
    <w:p>
      <w:pPr>
        <w:pStyle w:val="TextBody"/>
        <w:bidi w:val="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395" w:type="dxa"/>
            <w:tcBorders/>
            <w:shd w:fill="CCEEFF" w:val="clear"/>
            <w:vAlign w:val="center"/>
          </w:tcPr>
          <w:p>
            <w:pPr>
              <w:pStyle w:val="TableContents"/>
              <w:bidi w:val="0"/>
              <w:spacing w:before="0" w:after="283"/>
              <w:jc w:val="left"/>
              <w:rPr>
                <w:sz w:val="20"/>
              </w:rPr>
            </w:pPr>
            <w:r>
              <w:rPr>
                <w:sz w:val="20"/>
              </w:rPr>
              <w:t>99.1</w:t>
            </w:r>
          </w:p>
        </w:tc>
        <w:tc>
          <w:tcPr>
            <w:tcW w:w="6530" w:type="dxa"/>
            <w:tcBorders/>
            <w:shd w:fill="CCEEFF" w:val="clear"/>
            <w:vAlign w:val="center"/>
          </w:tcPr>
          <w:p>
            <w:pPr>
              <w:pStyle w:val="TableContents"/>
              <w:bidi w:val="0"/>
              <w:spacing w:before="0" w:after="283"/>
              <w:jc w:val="both"/>
              <w:rPr/>
            </w:pPr>
            <w:hyperlink w:anchor="ea187928-8kex99i_agrify.htm">
              <w:r>
                <w:rPr>
                  <w:rStyle w:val="InternetLink"/>
                  <w:sz w:val="20"/>
                </w:rPr>
                <w:t>Press Release of the Company, dated as of November 8, 2023.</w:t>
              </w:r>
            </w:hyperlink>
          </w:p>
        </w:tc>
      </w:tr>
      <w:tr>
        <w:trPr/>
        <w:tc>
          <w:tcPr>
            <w:tcW w:w="395"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104</w:t>
            </w:r>
          </w:p>
        </w:tc>
        <w:tc>
          <w:tcPr>
            <w:tcW w:w="6530" w:type="dxa"/>
            <w:tcBorders/>
            <w:shd w:fill="CCEEFF" w:val="cle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320"/>
        <w:gridCol w:w="2150"/>
      </w:tblGrid>
      <w:tr>
        <w:trPr/>
        <w:tc>
          <w:tcPr>
            <w:tcW w:w="7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left"/>
              <w:rPr>
                <w:b/>
                <w:sz w:val="20"/>
              </w:rPr>
            </w:pPr>
            <w:r>
              <w:rPr>
                <w:b/>
                <w:sz w:val="20"/>
              </w:rPr>
              <w:t>AGRIFY CORPORATION</w:t>
            </w:r>
          </w:p>
        </w:tc>
      </w:tr>
      <w:tr>
        <w:trPr/>
        <w:tc>
          <w:tcPr>
            <w:tcW w:w="7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Raymond Nobu Chang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sz w:val="20"/>
              </w:rPr>
            </w:pPr>
            <w:r>
              <w:rPr>
                <w:sz w:val="20"/>
              </w:rPr>
              <w:t>Raymond Nobu Chang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sz w:val="20"/>
              </w:rPr>
            </w:pPr>
            <w:r>
              <w:rPr>
                <w:sz w:val="20"/>
              </w:rPr>
              <w:t>Chief Executive Officer</w:t>
            </w:r>
          </w:p>
        </w:tc>
      </w:tr>
      <w:tr>
        <w:trPr/>
        <w:tc>
          <w:tcPr>
            <w:tcW w:w="7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left"/>
              <w:rPr>
                <w:sz w:val="20"/>
              </w:rPr>
            </w:pPr>
            <w:r>
              <w:rPr>
                <w:sz w:val="20"/>
              </w:rPr>
              <w:t xml:space="preserve">Date: </w:t>
            </w:r>
            <w:r>
              <w:rPr>
                <w:sz w:val="20"/>
                <w:shd w:fill="FFFFFF" w:val="clear"/>
              </w:rPr>
              <w:t>November 8</w:t>
            </w:r>
            <w:r>
              <w:rPr>
                <w:sz w:val="20"/>
              </w:rPr>
              <w:t>, 2023</w:t>
            </w:r>
          </w:p>
        </w:tc>
      </w:tr>
    </w:tbl>
    <w:p>
      <w:pPr>
        <w:pStyle w:val="TextBody"/>
        <w:bidi w:val="0"/>
        <w:spacing w:before="100" w:after="100"/>
        <w:ind w:left="100" w:right="10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jc w:val="right"/>
        <w:rPr>
          <w:b/>
        </w:rPr>
      </w:pPr>
      <w:bookmarkStart w:id="23" w:name="ea187928-8kex99i_agrify.htm"/>
      <w:bookmarkStart w:id="24" w:name="ksea1879288kex99i_agrify"/>
      <w:bookmarkEnd w:id="23"/>
      <w:bookmarkEnd w:id="24"/>
      <w:r>
        <w:rPr>
          <w:b/>
        </w:rPr>
        <w:t>Exhibit 99.1</w:t>
      </w:r>
      <w:r>
        <w:br w:type="page"/>
      </w:r>
    </w:p>
    <w:p>
      <w:pPr>
        <w:pStyle w:val="TextBody"/>
        <w:bidi w:val="0"/>
        <w:spacing w:before="0" w:after="283"/>
        <w:jc w:val="left"/>
        <w:rPr/>
      </w:pPr>
      <w:r>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Receives Extended Stay of Suspension from Nasdaq</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TROY, Mich., November 8, 2023 (GLOBE NEWSWIRE) -- Agrify Corporation (Nasdaq: AGFY) (“Agrify”), a leading provider of innovative cultivation and extraction solutions for the cannabis industry, today announced that on November 6, 2023 it received a letter from the Hearings Panel (the “Panel”) of The Nasdaq Stock Market LLC (“Nasdaq”) notifying Agrify that the stay of suspension for Agrify’s common stock will be extended until a hearing before the Panel and issuance of a final Panel decision.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October 17, 2023, Nasdaq staff notified Agrify (the “Staff Determination”) that it had initiated a process that could result in the delisting of Agrify’s securities from Nasdaq as a result of Agrify not being in compliance with Nasdaq Listing Rule 5250(c)(1) (the “Listing Rule”), which requires listed companies to timely file all required periodic financial reports with the Securities and Exchange Commission (the “SEC”). The Staff Determination had no immediate effect and will not immediately result in the suspension of trading or delisting of Agrify’s shares of common stock.</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Staff Determination was issued because Agrify has not filed its Annual Report on Form 10-K for the fiscal year ended December 31, 2022 and the Quarterly Reports on Form 10-Q for the fiscal quarters ended March 31, 2023 and June 30, 2023 (collectively, the “Delinquent Reports”) by the Extension Deadline (defined below). As disclosed in the Current Report on Form 8-K filed by Agrify on April 17, 2023, Agrify’s audit committee concluded that, as a result of errors in the accounting for warrants previously issued by Agrify, it was appropriate to restate Agrify’s previously issued unaudited condensed consolidated financial statements as of and for the fiscal periods ended March 31, 2022, June 30, 2022 and September 30, 2022 in amended quarterly reports for the affected periods. Agrify filed amended Forms 10-Q on October 2, 2023 with the required restated financial statements. However, given the scope of the process for preparing the amended quarterly reports, Agrify was unable to complete and file the Delinquent Reports by their respective due dates. </w:t>
      </w:r>
      <w:r>
        <w:rPr>
          <w:rFonts w:ascii="Times New Roman;Times;Serif" w:hAnsi="Times New Roman;Times;Serif"/>
          <w:b w:val="false"/>
          <w:i w:val="false"/>
          <w:caps w:val="false"/>
          <w:smallCaps w:val="false"/>
          <w:color w:val="0A0A0A"/>
          <w:sz w:val="20"/>
          <w:shd w:fill="FFFFFF" w:val="clear"/>
        </w:rPr>
        <w:t>Nasdaq had granted Agrify a period of 180 calendar days from the prescribed due date of the Second Quarter Form 10-Q, or until October 16, 2023 (the “Extension Deadline”), to file the Delinquent Reports to regain compliance with the Listing Rule. </w:t>
      </w:r>
      <w:r>
        <w:rPr>
          <w:rFonts w:ascii="Times New Roman;Times;Serif" w:hAnsi="Times New Roman;Times;Serif"/>
          <w:b w:val="false"/>
          <w:i w:val="false"/>
          <w:caps w:val="false"/>
          <w:smallCaps w:val="false"/>
          <w:sz w:val="20"/>
        </w:rPr>
        <w:t>Agrify </w:t>
      </w:r>
      <w:r>
        <w:rPr>
          <w:rFonts w:ascii="Times New Roman;Times;Serif" w:hAnsi="Times New Roman;Times;Serif"/>
          <w:b w:val="false"/>
          <w:i w:val="false"/>
          <w:caps w:val="false"/>
          <w:smallCaps w:val="false"/>
          <w:sz w:val="20"/>
          <w:shd w:fill="FFFFFF" w:val="clear"/>
        </w:rPr>
        <w:t>previously</w:t>
      </w:r>
      <w:r>
        <w:rPr>
          <w:rFonts w:ascii="Times New Roman;Times;Serif" w:hAnsi="Times New Roman;Times;Serif"/>
          <w:b w:val="false"/>
          <w:i w:val="false"/>
          <w:caps w:val="false"/>
          <w:smallCaps w:val="false"/>
          <w:color w:val="0A0A0A"/>
          <w:sz w:val="20"/>
          <w:shd w:fill="FFFFFF" w:val="clear"/>
        </w:rPr>
        <w:t> disclosed the delay in and circumstances behind the late filing of each of the Delinquent Reports in Notifications of Late Filing on Form 12b-25, filed with the SEC on March 31, 2023, May 15, 2023 and August 21, 2023,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w:t>
      </w:r>
      <w:r>
        <w:rPr>
          <w:rFonts w:ascii="Times New Roman;Times;Serif" w:hAnsi="Times New Roman;Times;Serif"/>
          <w:b w:val="false"/>
          <w:i w:val="false"/>
          <w:caps w:val="false"/>
          <w:smallCaps w:val="false"/>
          <w:sz w:val="20"/>
          <w:shd w:fill="FFFFFF" w:val="clear"/>
        </w:rPr>
        <w:t>intends to complete the Delinquent Reports, after which the financial statements contained in the Delinquent Reports will be subject to audit and/or review by </w:t>
      </w:r>
      <w:r>
        <w:rPr>
          <w:rFonts w:ascii="Times New Roman;Times;Serif" w:hAnsi="Times New Roman;Times;Serif"/>
          <w:b w:val="false"/>
          <w:i w:val="false"/>
          <w:caps w:val="false"/>
          <w:smallCaps w:val="false"/>
          <w:sz w:val="20"/>
        </w:rPr>
        <w:t>Agrify</w:t>
      </w:r>
      <w:r>
        <w:rPr>
          <w:rFonts w:ascii="Times New Roman;Times;Serif" w:hAnsi="Times New Roman;Times;Serif"/>
          <w:b w:val="false"/>
          <w:i w:val="false"/>
          <w:caps w:val="false"/>
          <w:smallCaps w:val="false"/>
          <w:sz w:val="20"/>
          <w:shd w:fill="FFFFFF" w:val="clear"/>
        </w:rPr>
        <w:t>’s independent registered public accounting firm. Following completion of the audit or review, as applicable, of the Delinquent Reports, </w:t>
      </w:r>
      <w:r>
        <w:rPr>
          <w:rFonts w:ascii="Times New Roman;Times;Serif" w:hAnsi="Times New Roman;Times;Serif"/>
          <w:b w:val="false"/>
          <w:i w:val="false"/>
          <w:caps w:val="false"/>
          <w:smallCaps w:val="false"/>
          <w:sz w:val="20"/>
        </w:rPr>
        <w:t>Agrify </w:t>
      </w:r>
      <w:r>
        <w:rPr>
          <w:rFonts w:ascii="Times New Roman;Times;Serif" w:hAnsi="Times New Roman;Times;Serif"/>
          <w:b w:val="false"/>
          <w:i w:val="false"/>
          <w:caps w:val="false"/>
          <w:smallCaps w:val="false"/>
          <w:sz w:val="20"/>
          <w:shd w:fill="FFFFFF" w:val="clear"/>
        </w:rPr>
        <w:t>plans to file the Delinquent Reports. </w:t>
      </w:r>
      <w:r>
        <w:rPr>
          <w:rFonts w:ascii="Times New Roman;Times;Serif" w:hAnsi="Times New Roman;Times;Serif"/>
          <w:b w:val="false"/>
          <w:i w:val="false"/>
          <w:caps w:val="false"/>
          <w:smallCaps w:val="false"/>
          <w:sz w:val="20"/>
        </w:rPr>
        <w:t>There can be no assurance that Agrify will be able to file the </w:t>
      </w:r>
      <w:r>
        <w:rPr>
          <w:rFonts w:ascii="Times New Roman;Times;Serif" w:hAnsi="Times New Roman;Times;Serif"/>
          <w:b w:val="false"/>
          <w:i w:val="false"/>
          <w:caps w:val="false"/>
          <w:smallCaps w:val="false"/>
          <w:sz w:val="20"/>
          <w:shd w:fill="FFFFFF" w:val="clear"/>
        </w:rPr>
        <w:t>Delinquent Reports</w:t>
      </w:r>
      <w:r>
        <w:rPr>
          <w:rFonts w:ascii="Times New Roman;Times;Serif" w:hAnsi="Times New Roman;Times;Serif"/>
          <w:b w:val="false"/>
          <w:i w:val="false"/>
          <w:caps w:val="false"/>
          <w:smallCaps w:val="false"/>
          <w:sz w:val="20"/>
        </w:rPr>
        <w:t> within the extension period granted by the Panel.</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Agrify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(Nasdaq: AGFY)</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Statements</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relating to the filing of the </w:t>
      </w:r>
      <w:r>
        <w:rPr>
          <w:rFonts w:ascii="Times New Roman;Times;Serif" w:hAnsi="Times New Roman;Times;Serif"/>
          <w:b w:val="false"/>
          <w:i w:val="false"/>
          <w:caps w:val="false"/>
          <w:smallCaps w:val="false"/>
          <w:sz w:val="20"/>
          <w:shd w:fill="FFFFFF" w:val="clear"/>
        </w:rPr>
        <w:t>Delinquent Reports and</w:t>
      </w:r>
      <w:r>
        <w:rPr>
          <w:rFonts w:ascii="Times New Roman;Times;Serif" w:hAnsi="Times New Roman;Times;Serif"/>
          <w:b w:val="false"/>
          <w:i w:val="false"/>
          <w:caps w:val="false"/>
          <w:smallCaps w:val="false"/>
          <w:sz w:val="20"/>
        </w:rPr>
        <w:t> Agrify’s ability to regain compliance with the Nasdaq continued listing standards.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Agrify’s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Contacts</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Relations and Media Inquiries</w:t>
      </w:r>
    </w:p>
    <w:p>
      <w:pPr>
        <w:pStyle w:val="TextBody"/>
        <w:shd w:fill="FFFFFF" w:val="clear"/>
        <w:bidi w:val="0"/>
        <w:jc w:val="left"/>
        <w:rPr>
          <w:caps w:val="false"/>
          <w:smallCaps w:val="false"/>
        </w:rPr>
      </w:pPr>
      <w:r>
        <w:rPr>
          <w:caps w:val="false"/>
          <w:smallCaps w:val="false"/>
        </w:rPr>
        <w:t> </w:t>
      </w:r>
    </w:p>
    <w:p>
      <w:pPr>
        <w:pStyle w:val="TextBody"/>
        <w:bidi w:val="0"/>
        <w:spacing w:before="0" w:after="1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Ray Chang Jr.</w:t>
        <w:br/>
        <w:t>Director of Business Development </w:t>
        <w:br/>
        <w:t>ray.chang@agrify.com</w:t>
        <w:br/>
        <w:t>(781) 941-9338</w:t>
      </w:r>
    </w:p>
    <w:p>
      <w:pPr>
        <w:pStyle w:val="TextBody"/>
        <w:bidi w:val="0"/>
        <w:spacing w:before="60" w:after="60"/>
        <w:ind w:left="60" w:right="6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00637/000101376223005513/ea187028-8k_agrifycorp.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2059</Words>
  <Characters>11642</Characters>
  <CharactersWithSpaces>13719</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