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9"/>
                </w:rPr>
                <w:t>KRIKOV NIV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Agrify Corp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AGFY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ind w:left="16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101 MIDDLESEX TURNPIKE, SUITE 6, PMB 326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BURLINGTON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01803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876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19157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1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10160</wp:posOffset>
            </wp:positionH>
            <wp:positionV relativeFrom="paragraph">
              <wp:posOffset>37465</wp:posOffset>
            </wp:positionV>
            <wp:extent cx="7017385" cy="13100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7385" cy="131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13.84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02/17/2031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50,000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1. The options will vest in 36 equal monthly installments beginning on the one month anniversary of the grant date.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Niv Krikov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02/19/2021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10160</wp:posOffset>
            </wp:positionH>
            <wp:positionV relativeFrom="paragraph">
              <wp:posOffset>-817880</wp:posOffset>
            </wp:positionV>
            <wp:extent cx="7017385" cy="262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7385" cy="26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99252" TargetMode="External"/><Relationship Id="rId14" Type="http://schemas.openxmlformats.org/officeDocument/2006/relationships/hyperlink" Target="http://www.sec.gov/cgi-bin/browse-edgar?action=getcompany&amp;CIK=0001800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2021-02-19T18:52:57Z</dcterms:created>
  <dcterms:modified xsi:type="dcterms:W3CDTF">2021-02-19T18:52:57Z</dcterms:modified>
</cp:coreProperties>
</file>