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8,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AGRIFY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Stuart Wilcox as Chief Operating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14, 2022 (the “Effective Date”), the Board of Directors (the “Board”) of Agrify Corporation (the “Company”) appointed Stuart Wilcox as Chief Operating Officer, effective as of the Effective Date.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Wilcox, age 61, served as a member of the Board from February 2021 until the Effective Date, when he resigned in connection with his appointment as Chief Operating Officer. Since September 2020, Mr. Wilcox has served as Chairman of the Board of Ora Pharm (“Ora”), an international cannabis company based in New Zealand. He is also a member of the Advisory Board for Revelation Microelectronics, an Atlanta-based horticulture lighting and controls company, and a Managing Partner of NuRevelation, a North Carolina-based biotech company. From August 2017 to August 2020, Mr. Wilcox was the Chief Operating Officer of Curaleaf Holdings, Inc. (CSE: CURA) (OTCQX: CURLF), during which time the company grew into one of the industry’s largest cannabis companies. From September 2015 to October 2017, Mr. Wilcox was the Chief Operating Officer at Hostess Brands, Inc. (Nasdaq:TWNK). Mr. Wilcox has been a strong advocate for cannabis legislation to require product safety certifications for cannabis operators, standardized product testing, and standard operating procedures. He received an undergraduate degree in Engineering from the University of Toledo (Ohio) and a graduate degree from Central Michigan University.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an employment agreement dated as of July 14, 2022, by and between the Company and Mr. Wilcox (the “Employment Agreement”), Mr. Wilcox will receive an annual base salary of $300,000 and be eligible to participate in all employee benefit programs sponsored by the Company. Mr. Wilcox will also be eligible to receive a discretionary performance-based bonus of up to $300,000 with respect to each fiscal year of the Company, based on the mutually agreed upon goals that will be set by the Company’s Chief Executive Officer and the compensation committee of the Board, and will be issued 200,000 restricted stock units that will vest in three equal installments on the one-year, two-year and three-year anniversaries of grant. If Mr. Wilcox’s employment with the Company is terminated for any reason, he will be entitled to (i) his annual base salary through the termination date, (ii) any accrued unused paid time off, (iii) any vested benefit due and owing under any employee benefit plan and (iv) any unreimbursed business expenses. If Mr. Wilcox’s employment is terminated by the Company without Cause or by Mr. Wilcox for Good Reason (as such terms are defined in the Employment Agreement), he will also be entitled to receive (i) 100% of his annual base salary and his projected bonus for such fiscal year, (ii) only in the instance of termination without Cause or for Good Reason that occurs within 30 days prior to, or within six months following, a change in control of the Company, immediate vesting of all his issued but unvested options or restricted stock units and (iii) continued participation in the Company’s group health insurance benefits through August 31, 2025.</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arrangement or understanding between Mr. Wilcox and any other person pursuant to which Mr. Wilcox was appointed as Chief Operating Officer of the Company. In June 2022, the Company entered into an agreement with Ora pursuant to which Ora will purchase approximately $1.6 million in equipment from the Company, and Ora may purchase software services from the Company in the future. Mr. Wilcox is the Chairman of Ora. Except as disclosed above, Mr. Wilcox has not had an interest in any transaction since the beginning of the Company’s last fiscal year, or any currently proposed transaction, that requires disclosure pursuant to Item 404(a) of Regulation S-K. There are no family relationships among any of our directors or executive officers and Mr. Wilcox.</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a summary only and does not purport to be a complete description of all of the terms, provisions, covenants and agreements contained in the Employment Agreement, and is subject to and qualified in its entirety by reference to the complete text of the Employment Agreement, a copy of which is attached hereto as Exhibit 10.1 and is incorporated by reference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the Effective Date, the Board appointed Max Holtzman as a member of the Board. Mr. Holtzman will serve until the Company’s 2023 Annual Meeting of Stockholders and until his successor is elected and qualified or his earlier resignation or removal. Mr. Holtzman was also appointed as the chair of the Nominating and Corporate Governance Committee and as a member of the Compensation Committee and the Mergers &amp; Acquisitions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Mr. Holtzman is independent under the rules of The Nasdaq Capital Market. As a non-employee director of the Company, Mr. Holtzman will receive compensation in the same manner as the Company’s other non-employee directors, as described in the section entitled “Compensation of Outside Directors” in the Company’s definitive proxy statement on Schedule 14A filed with the Securities and Exchange Commission on April 29, 2022. The Board voted to grant each independent member of the Board, including Mr. Holtzman, 53,459 restricted stock units, which will vest on the one-year anniversary of the grant date, subject to each grantee’s continued service.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Holtzman, age 53, has served as Operations Director at Ocean 14 Capital, a private equity impact fund focused on the Blue Economy, since December 2021. Mr. Holtzman has also served as Investments Principal at Pontos Aqua, LLC, which provides strategic advisory services in the global seafood and aquaculture space, since June 2017. Mr. Holtzman is a founding officer of Stronger America through Seafood, which strives to increase the production of healthy, sustainable, and affordable seafood in the United States. Mr. Holtzman previously served as the Vice Chairman of Capitol Peak Asset Management, which focused on infrastructure projects and companies in Rural America. Prior to Capitol Peak, Mr. Holtzman was appointed by President Obama as the Senior Advisor to the United States Secretary of Agriculture. From 2009 to 2014, Mr. Holtzman advised the Secretary on the development of new public-private partnerships, aquaculture, trade, biotechnology, and international food security. He also served as Acting Deputy Under Secretary for Farm and Foreign Agriculture Services and as Acting Deputy Under Secretary of Marketing and Regulatory Programs. In these roles, Mr. Holtzman represented the United States in its negotiations with the Peoples Republic of China as a four-time Delegate on the Joint Committee on Commerce and Trade, and he was regularly involved with a multitude of international trade issues, trade missions, and trade negotiations. He also served as the United States Chairman of the North American Biotechnology Initiative, which includes the United States, Canada, and Mexico.</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this appointment, Mr. Holtzman, an attorney for over 25 years, provided strategic consulting to multi-national companies related to transportation infrastructure, project finance, public-private partnerships, health care, and government procurement. He also served as a City Attorney and Special Counsel to several municipalities. Mr. Holtzman has served as a Board Member of The Arcadia Center for Sustainable Food and Agriculture since September 2016, the Founding Chairman of Adopt-A-Classroom, and he has sat on the Global Advisory Council of Secure System since January 2018. Mr. Holtzman received his undergraduate degree in Agricultural Economics from the University of Florida’s Institute of Food and Agricultural Sciences and his law degree from the University of Miami.</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no arrangements or understandings between Mr. Holtzman and any other person pursuant to which Mr. Holtzman was appointed as a director of the Company, and there is no family relationship between Mr. Holtzman and any executive officer or director of the Company. Since the beginning of the Company’s last fiscal year, the Company has not engaged in any transactions, and there are no proposed transactions, or series of similar transactions, in which Mr. Holtzman was or is to be a participant and in which any related person had a direct or indirect material interest in which the amount involved exceeds or exceeded $120,000.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Officer and Director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2022, the Company entered into a Separation Agreement with Thomas Massie, the Company’s former President and Chief Operating Officer. Pursuant to the Separation Agreement, Mr. Massie resigned from his executive management positions and from the Company’s board of directors effective as of July 8, 2022. Mr. Massie’s resignation did not result from any disagreement regarding the Company’s operations, policies or practices.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Separation Agreement provides that, among other things, if Mr. Massie does not revoke his acceptance of the Separation Agreement within the applicable revocation period, (a) Mr. Massie will receive an aggregate of $1,000,000 in severance payments, payable in monthly installments of $83,333.33 from July 2022 through December 2022 and one installment of $500,000 in January 2023, (b) continuation of health insurance benefits through June 30, 2023, subject to certain conditions, (c) all of Mr. Massie’s outstanding stock options and restricted stock units will become fully vested, and (d) the exercise period for Mr. Massie’s outstanding stock options will be extended through December 31, 2023. The Separation Agreement also contains a mutual general release in favor of the Company and Mr. Massie.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a summary only and does not purport to be a complete description of all of the terms, provisions, covenants and agreements contained in the Separation Agreement, and is subject to and qualified in its entirety by reference to the complete text of the Separation Agreement, a copy of which is attached hereto as Exhibit 10.2 and is incorporated by reference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11, 2022, the Company filed Articles of Amendment (the “Charter Amendment”) to its Articles of Incorporation with the Secretary of State for the State of Nevada. The Charter Amendment increased the number of authorized shares of the Company’s common stock from 50,000,000 to 100,000,000, and correspondingly increased the total authorized shares of stock from 53,000,000 to 103,000,000. The Charter Amendment was approved by the Company’s stockholders at the 2022 Annual Meeting of Stockholders on June 8, 2022, and became effective upon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Charter Amendment does not purport to be complete and is qualified in its entirety by reference to the Charter Amendment, which is filed as Exhibit 3.1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July 14, 2022, the Company issued a press release announcing the board and leadership changes disclosed in Item 5.02 above. A copy of the press release is attached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files the following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Articles of Amendment to the Articles of Incorporation of the Company, filed July 11, 2022</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Employment Agreement, dated as of July 14, 2022, between the Company and Stuart Wilcox.</w:t>
            </w:r>
          </w:p>
        </w:tc>
      </w:tr>
      <w:tr>
        <w:trPr>
          <w:trHeight w:val="20"/>
        </w:trPr>
        <w:tc>
          <w:tcPr>
            <w:tcW w:w="1140" w:type="dxa"/>
            <w:vAlign w:val="bottom"/>
          </w:tcPr>
          <w:p>
            <w:pPr>
              <w:spacing w:after="0" w:line="20" w:lineRule="exact"/>
              <w:rPr>
                <w:sz w:val="1"/>
                <w:szCs w:val="1"/>
                <w:color w:val="auto"/>
              </w:rPr>
            </w:pPr>
          </w:p>
        </w:tc>
        <w:tc>
          <w:tcPr>
            <w:tcW w:w="406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Separation Agreement, dated as of July 8, 2022, between the Company and Thomas Massie.</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66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the Company, dated as of July 14, 2022</w:t>
            </w:r>
          </w:p>
        </w:tc>
        <w:tc>
          <w:tcPr>
            <w:tcW w:w="3460" w:type="dxa"/>
            <w:vAlign w:val="bottom"/>
            <w:tcBorders>
              <w:top w:val="single" w:sz="8" w:color="CCEEFF"/>
            </w:tcBorders>
            <w:gridSpan w:val="2"/>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4060" w:type="dxa"/>
            <w:vAlign w:val="bottom"/>
            <w:tcBorders>
              <w:top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Timothy R. Oakes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928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9491345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309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(Entity ID NV20161331161)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provisions of NRS 78.380 and 78.38578.390 the undersigned corporation adopts the following Articles of Amendment to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Incorporation: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AGRIFY CORPORATION (the“Company”).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document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the amendments to the Articles of Incorporation which were adopted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shareholders of the corporation at the Annual Meeting of Shareholders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xml:space="preserve"> held online on June 8, 2022, in the manner prescribed by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At the close of business on April 11, 2022, the record date for determination of stockholders entitled to vote at the Annual Meeting,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26,549,220 shares of the Company’s Common Stock, each being entitled to one vote, representing all of the outstanding voting securities of the Company entitled to vote at the Meeting.</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At the Annual Meeting, the holders of 16,853,434 shares or 63.47 percent of the Company’s Common Stock were represented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by proxy constituting a quorum.</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votes of the shareholders cast by ballot or proxy approving an Amendment to the corporation’s Articles of Incorporation to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authorized shares of Common Stock from 50,000,000 to 100,000,000, and to correspondingly increase the total authorized shares of stock from 53,000,000 to 103,000,000, were as follows:</w:t>
      </w:r>
    </w:p>
    <w:p>
      <w:pPr>
        <w:spacing w:after="0" w:line="171"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16,047,078</w:t>
      </w:r>
    </w:p>
    <w:p>
      <w:pPr>
        <w:spacing w:after="0" w:line="31"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8"/>
          <w:szCs w:val="18"/>
          <w:color w:val="auto"/>
        </w:rPr>
        <w:t>719,400</w:t>
      </w:r>
    </w:p>
    <w:p>
      <w:pPr>
        <w:spacing w:after="0" w:line="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18"/>
          <w:szCs w:val="18"/>
          <w:b w:val="1"/>
          <w:bCs w:val="1"/>
          <w:color w:val="auto"/>
        </w:rPr>
        <w:t>ABSTAIN:</w:t>
      </w:r>
      <w:r>
        <w:rPr>
          <w:sz w:val="20"/>
          <w:szCs w:val="20"/>
          <w:color w:val="auto"/>
        </w:rPr>
        <w:tab/>
      </w:r>
      <w:r>
        <w:rPr>
          <w:rFonts w:ascii="Times New Roman" w:cs="Times New Roman" w:eastAsia="Times New Roman" w:hAnsi="Times New Roman"/>
          <w:sz w:val="18"/>
          <w:szCs w:val="18"/>
          <w:color w:val="auto"/>
        </w:rPr>
        <w:t>86,956</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this l l</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July 2022.</w:t>
      </w:r>
    </w:p>
    <w:p>
      <w:pPr>
        <w:spacing w:after="0" w:line="1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The first sentence of </w:t>
      </w:r>
      <w:r>
        <w:rPr>
          <w:rFonts w:ascii="Times New Roman" w:cs="Times New Roman" w:eastAsia="Times New Roman" w:hAnsi="Times New Roman"/>
          <w:sz w:val="18"/>
          <w:szCs w:val="18"/>
          <w:b w:val="1"/>
          <w:bCs w:val="1"/>
          <w:color w:val="auto"/>
        </w:rPr>
        <w:t>ARTICLE 3</w:t>
      </w:r>
      <w:r>
        <w:rPr>
          <w:rFonts w:ascii="Times New Roman" w:cs="Times New Roman" w:eastAsia="Times New Roman" w:hAnsi="Times New Roman"/>
          <w:sz w:val="18"/>
          <w:szCs w:val="18"/>
          <w:color w:val="auto"/>
        </w:rPr>
        <w:t xml:space="preserve"> of the Articles of Incorporation of </w:t>
      </w:r>
      <w:r>
        <w:rPr>
          <w:rFonts w:ascii="Times New Roman" w:cs="Times New Roman" w:eastAsia="Times New Roman" w:hAnsi="Times New Roman"/>
          <w:sz w:val="18"/>
          <w:szCs w:val="18"/>
          <w:b w:val="1"/>
          <w:bCs w:val="1"/>
          <w:color w:val="auto"/>
        </w:rPr>
        <w:t>AGRIFY CORPORATION</w:t>
      </w:r>
      <w:r>
        <w:rPr>
          <w:rFonts w:ascii="Times New Roman" w:cs="Times New Roman" w:eastAsia="Times New Roman" w:hAnsi="Times New Roman"/>
          <w:sz w:val="18"/>
          <w:szCs w:val="18"/>
          <w:color w:val="auto"/>
        </w:rPr>
        <w:t xml:space="preserve"> shall be amended to read as follows:</w:t>
      </w:r>
    </w:p>
    <w:p>
      <w:pPr>
        <w:spacing w:after="0" w:line="225" w:lineRule="exact"/>
        <w:rPr>
          <w:sz w:val="20"/>
          <w:szCs w:val="20"/>
          <w:color w:val="auto"/>
        </w:rPr>
      </w:pPr>
    </w:p>
    <w:p>
      <w:pPr>
        <w:jc w:val="both"/>
        <w:ind w:firstLine="660"/>
        <w:spacing w:after="0" w:line="268" w:lineRule="auto"/>
        <w:rPr>
          <w:sz w:val="20"/>
          <w:szCs w:val="20"/>
          <w:color w:val="auto"/>
        </w:rPr>
      </w:pPr>
      <w:r>
        <w:rPr>
          <w:rFonts w:ascii="Times New Roman" w:cs="Times New Roman" w:eastAsia="Times New Roman" w:hAnsi="Times New Roman"/>
          <w:sz w:val="18"/>
          <w:szCs w:val="18"/>
          <w:b w:val="1"/>
          <w:bCs w:val="1"/>
          <w:color w:val="auto"/>
        </w:rPr>
        <w:t>The total number of shares of stock that the Corporation shall have authority to issue is 103 million, consisting of 100 million shares of Common Stock, par value $0.001 per share (“Com mon Stock”) and 3 million shares of Preferred Stock, par value $0.001 per share (“Preferred Stock”).</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14, 2022, between Agrify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Stuart Wilcox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Executive, and Executive desires to accept such employment, on the terms and conditions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on the basis of the foregoing premises and in consideration of the mutual covenants and agreements contained herein,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agree as follows:</w:t>
      </w:r>
    </w:p>
    <w:p>
      <w:pPr>
        <w:spacing w:after="0" w:line="207" w:lineRule="exact"/>
        <w:rPr>
          <w:sz w:val="20"/>
          <w:szCs w:val="20"/>
          <w:color w:val="auto"/>
        </w:rPr>
      </w:pPr>
    </w:p>
    <w:p>
      <w:pPr>
        <w:jc w:val="both"/>
        <w:ind w:firstLine="656"/>
        <w:spacing w:after="0" w:line="258"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Title; Duties and Location</w:t>
      </w:r>
      <w:r>
        <w:rPr>
          <w:rFonts w:ascii="Times New Roman" w:cs="Times New Roman" w:eastAsia="Times New Roman" w:hAnsi="Times New Roman"/>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Chief Operating Officer and shall report exclusively and directly to the to the Chief Executive Officer of the Company. Executive shall perform the duties consistent with Executive’s title and position and such other duties commensurate with such position and title as shall be specified or designated by the Company from time to time.</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Executive’s employment hereunder shall commence on July 14, 2022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shall continue for a one-year period thereafter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one-year periods (each a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subject to earlier termination exclusively as provided for in Section 6 below. For the purposes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any given time shall mean the Initial Term as it may have been extended by one or more Renewal Terms as of such time (without regard to whether Executive’s employment is terminated prior to the end of such Term), and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means the period of Executive’s employment hereunder (regardless of whether such period ends prior to the end of the Term and regardless of the reason for Executive’s termination of employment hereunder).</w:t>
      </w:r>
    </w:p>
    <w:p>
      <w:pPr>
        <w:spacing w:after="0" w:line="192" w:lineRule="exact"/>
        <w:rPr>
          <w:sz w:val="20"/>
          <w:szCs w:val="20"/>
          <w:color w:val="auto"/>
        </w:rPr>
      </w:pPr>
    </w:p>
    <w:p>
      <w:pPr>
        <w:ind w:firstLine="656"/>
        <w:spacing w:after="0" w:line="282"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During the Employment Period only (unless otherwise expressly provided for herein), Executive shall be entitled to the following compensation and benefits.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Executive shall receive a base salary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$300,000.</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Executive shall be eligible to receive a discretionary performance-based bonus of up to $300,000 (a “</w:t>
      </w:r>
      <w:r>
        <w:rPr>
          <w:rFonts w:ascii="Times New Roman" w:cs="Times New Roman" w:eastAsia="Times New Roman" w:hAnsi="Times New Roman"/>
          <w:sz w:val="18"/>
          <w:szCs w:val="18"/>
          <w:u w:val="single" w:color="auto"/>
          <w:color w:val="auto"/>
        </w:rPr>
        <w:t>Discretionary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with respect to each fiscal year of the Company (a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based on the mutually agreed upon goals that will be set by the Company Chief Executive Officer and the Board of Directors Compensation Committee. The goals will be realistic and attainable and shall be mutually agreed to by the Executive. Based on achieving the agreed upon goals, the targeted annual cash bonus shall be paid in quarterly installments of $75,000 scheduled in conjunction with the any other company quarterly bonus payments. Such bonus payments will be paid no later than 60 days from the close of the quarter to which the bonus is applicable. The Directors may from time to time elect to pay any additional bonuses based on performance that exceeds the mutually agreed upon goals. To be eligible for a Discretionary Bonus, Executive must be employed by the Company at the time such Bonus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Annual Compensation Review and Adjustment</w:t>
      </w:r>
      <w:r>
        <w:rPr>
          <w:rFonts w:ascii="Times New Roman" w:cs="Times New Roman" w:eastAsia="Times New Roman" w:hAnsi="Times New Roman"/>
          <w:sz w:val="18"/>
          <w:szCs w:val="18"/>
          <w:color w:val="auto"/>
        </w:rPr>
        <w:t>. The Company agrees that by February 1st of every calendar year,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shall have reviewed and adjusted the compensation of Executive based on the results of a report of an independent compensation consultant to be engaged by the Board or the Compensation Committee, at the Company’s sole expense. The results of such report shall take into account a number of factors the consultant deems relevant, including but not limited to an analysis of at least three chief financial officers of other comparable publicly held companies of similar size, similar markets, and who perform their duties in the same geographical location that Executive performs his duties.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Subject to the terms of the Company’s 2022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Executive shall be issued promptly following the Commencement Date 200,000 restricted stock units pursuant to the Plan. In addition, the Compensation Committee shall grant additional restricted stock units (such number to be determined in the sole discretion of the Compensation Committee taking into account input from the Company’s Chief Executive Officer) to Executive for each fiscal year during the Employment Period.</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 Notwithstanding the foregoing, the Board shall have the authority to provide benefits to the Executive in his capacity as Chief Operating Officer that may not be made available to other senior executives of the Company.</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Vacation and Other Paid Time Off</w:t>
      </w:r>
      <w:r>
        <w:rPr>
          <w:rFonts w:ascii="Times New Roman" w:cs="Times New Roman" w:eastAsia="Times New Roman" w:hAnsi="Times New Roman"/>
          <w:sz w:val="18"/>
          <w:szCs w:val="18"/>
          <w:color w:val="auto"/>
        </w:rPr>
        <w:t>. Executive shall be entitled to four (4) weeks of paid vacation, as well as sick days and any other paid time off, each year in accordance with then current Company policy.</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Required Taxes and Withholdings</w:t>
      </w:r>
      <w:r>
        <w:rPr>
          <w:rFonts w:ascii="Times New Roman" w:cs="Times New Roman" w:eastAsia="Times New Roman" w:hAnsi="Times New Roman"/>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176" w:lineRule="exact"/>
        <w:rPr>
          <w:sz w:val="20"/>
          <w:szCs w:val="20"/>
          <w:color w:val="auto"/>
        </w:rPr>
      </w:pPr>
    </w:p>
    <w:p>
      <w:pPr>
        <w:jc w:val="both"/>
        <w:ind w:firstLine="656"/>
        <w:spacing w:after="0" w:line="253" w:lineRule="auto"/>
        <w:tabs>
          <w:tab w:leader="none" w:pos="8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 and Best Efforts</w:t>
      </w:r>
      <w:r>
        <w:rPr>
          <w:rFonts w:ascii="Times New Roman" w:cs="Times New Roman" w:eastAsia="Times New Roman" w:hAnsi="Times New Roman"/>
          <w:sz w:val="18"/>
          <w:szCs w:val="18"/>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provided below in this Section 4; and</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3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engage in any activity that, directly or indirectly, impairs or conflicts with the performance of Executive’s obligations and duties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10.3(f) below)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56"/>
        <w:spacing w:after="0" w:line="258"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for Expenses</w:t>
      </w:r>
      <w:r>
        <w:rPr>
          <w:rFonts w:ascii="Times New Roman" w:cs="Times New Roman" w:eastAsia="Times New Roman" w:hAnsi="Times New Roman"/>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Times New Roman" w:cs="Times New Roman" w:eastAsia="Times New Roman" w:hAnsi="Times New Roman"/>
          <w:sz w:val="18"/>
          <w:szCs w:val="18"/>
          <w:u w:val="single" w:color="auto"/>
          <w:color w:val="auto"/>
        </w:rPr>
        <w:t>Reimbursement Policies</w:t>
      </w:r>
      <w:r>
        <w:rPr>
          <w:rFonts w:ascii="Times New Roman" w:cs="Times New Roman" w:eastAsia="Times New Roman" w:hAnsi="Times New Roman"/>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Executive’s employment shall immediately and automatically be terminated upon Executive’s death.</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Company may, subject to applicable law, terminate Executive’s employment due to a Disability by providing written notice of such termination and its effective date to Executive.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w:t>
      </w:r>
    </w:p>
    <w:p>
      <w:pPr>
        <w:spacing w:after="0" w:line="4" w:lineRule="exact"/>
        <w:rPr>
          <w:sz w:val="20"/>
          <w:szCs w:val="20"/>
          <w:color w:val="auto"/>
        </w:rPr>
      </w:pPr>
    </w:p>
    <w:p>
      <w:pPr>
        <w:ind w:left="120" w:right="560"/>
        <w:spacing w:after="0" w:line="260" w:lineRule="auto"/>
        <w:rPr>
          <w:sz w:val="20"/>
          <w:szCs w:val="20"/>
          <w:color w:val="auto"/>
        </w:rPr>
      </w:pPr>
      <w:r>
        <w:rPr>
          <w:rFonts w:ascii="Times New Roman" w:cs="Times New Roman" w:eastAsia="Times New Roman" w:hAnsi="Times New Roman"/>
          <w:sz w:val="18"/>
          <w:szCs w:val="18"/>
          <w:color w:val="auto"/>
        </w:rPr>
        <w:t>shall continue to receive his compensation and benefits hereunder, reduced by any benefits payable to him under any Company-provided disability insurance policy or plan applicable to him.</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For Cause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for Cause, at any time, upon the unanimous agreement of the Board (excluding the Executive) and written notice reasonably describing the nature of such Cause. For purposes of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the willful and continual failure by Executive to perform in any material respect the duties or obligations of his employment with the Company or to carry out the reasonable and lawful directives of the Board (which directives are consistent with Executive’s 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failure remains uncured (if capable of being cured) for a period of sixty (60) days after written notice describing the same is given to Executive; (ii) 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Confidentiality Agreement (as defined below) or a material breach or violation of this Agreement or any Company policy then in effect which remains uncured (if capable of being cured) for a period of sixty (60) days after written notice describing the same is given to Executive; or (v) any attempt by the Executive to improperly secure any personal profit in connection with the business of the Company or any of its affiliates.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Resignation by Executive for Good Reason</w:t>
      </w:r>
      <w:r>
        <w:rPr>
          <w:rFonts w:ascii="Times New Roman" w:cs="Times New Roman" w:eastAsia="Times New Roman" w:hAnsi="Times New Roman"/>
          <w:sz w:val="18"/>
          <w:szCs w:val="18"/>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6.2 above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(iv) the failure by the Company to conduct an annual compensation review and adjustment in accordance with Section 3.3 above; or (v) other material breach by the Company of a material provision of this Agreement or any other agreement between the Company and Executive;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of doubt, Executive’s exclusive remedy against the Company in the event the Company materially breaches this Agreement is to invoke the provisions of this Section 6.4 and Section 7 below.</w:t>
      </w:r>
    </w:p>
    <w:p>
      <w:pPr>
        <w:spacing w:after="0" w:line="19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Without Cause or Without Good Reason</w:t>
      </w:r>
      <w:r>
        <w:rPr>
          <w:rFonts w:ascii="Times New Roman" w:cs="Times New Roman" w:eastAsia="Times New Roman" w:hAnsi="Times New Roman"/>
          <w:sz w:val="18"/>
          <w:szCs w:val="18"/>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2.1 above.</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Resignation from Other Positions</w:t>
      </w:r>
      <w:r>
        <w:rPr>
          <w:rFonts w:ascii="Times New Roman" w:cs="Times New Roman" w:eastAsia="Times New Roman" w:hAnsi="Times New Roman"/>
          <w:sz w:val="18"/>
          <w:szCs w:val="18"/>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 Executive’s Base Salary through and including the effective date of Executive’s termination of employment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19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event that Executive’s employment is terminated (i) by the Company pursuant to Section 6.5 above (without Cause), (ii) by Executive pursuant to Section 6.4 hereof (Good Reason), or (iii) by the Company without Cause, or by Executive for Good Reason, upon the occurrence of, or within thirty (30) days prior to, or within six (6) months following, the effective date of a Change of Control (as defined in Section 10.3(f) below), in addition to the Accrued Obligations, Executive shall be entitled to receive severance benefits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subject to and in accordance with the terms of this Section 7.2.</w:t>
      </w:r>
    </w:p>
    <w:p>
      <w:pPr>
        <w:spacing w:after="0" w:line="183" w:lineRule="exact"/>
        <w:rPr>
          <w:sz w:val="20"/>
          <w:szCs w:val="20"/>
          <w:color w:val="auto"/>
        </w:rPr>
      </w:pPr>
    </w:p>
    <w:p>
      <w:pPr>
        <w:ind w:left="1540" w:hanging="23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Severance Benefits shall consist of the payments and benefits provided by this Section 7.2(a).</w:t>
      </w:r>
    </w:p>
    <w:p>
      <w:pPr>
        <w:spacing w:after="0" w:line="225"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receive payment of an amount (the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equal to one hundred percent (100%) of Executive’s Base Salary immediately prior to the Termination Date (or, if Good Reason was attributable to the Company’s failure to pay the minimum amount of Base Salary provided herein, such minimum amount) and Executive’s projected bonus for such fiscal year, payable from the day after the Termination Date through the last day of the Term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xml:space="preserve">”). In addition, if the Company terminates Executive’s employment without Cause, or if Executive resigns for Good Reason, upon the occurrence of, or within thirty (30) days prior to, or within six (6) months following, the effective date of a Change of Control, all issued but unvested options or restricted stock units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below). The first such payment shall include payment for any payroll dates between the Termination Date and the date of such payment.</w:t>
      </w:r>
    </w:p>
    <w:p>
      <w:pPr>
        <w:spacing w:after="0" w:line="189" w:lineRule="exact"/>
        <w:rPr>
          <w:rFonts w:ascii="Times New Roman" w:cs="Times New Roman" w:eastAsia="Times New Roman" w:hAnsi="Times New Roman"/>
          <w:sz w:val="18"/>
          <w:szCs w:val="18"/>
          <w:color w:val="auto"/>
        </w:rPr>
      </w:pPr>
    </w:p>
    <w:p>
      <w:pPr>
        <w:jc w:val="both"/>
        <w:ind w:firstLine="1628"/>
        <w:spacing w:after="0" w:line="253" w:lineRule="auto"/>
        <w:tabs>
          <w:tab w:leader="none" w:pos="18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time from the Termination Date until August 31, 2025 or until such time, if any, as Executive is eligible for group health, dental and vision insurance benefits from another employer, Executive and Executive’s spouse shall be eligible to continue to participate in the Company’s group health, dental and vision insurance benefits on the same terms and conditions as then applicable to current employees and their spouses, </w:t>
      </w:r>
      <w:r>
        <w:rPr>
          <w:rFonts w:ascii="Times New Roman" w:cs="Times New Roman" w:eastAsia="Times New Roman" w:hAnsi="Times New Roman"/>
          <w:sz w:val="18"/>
          <w:szCs w:val="18"/>
          <w:i w:val="1"/>
          <w:iCs w:val="1"/>
          <w:color w:val="auto"/>
        </w:rPr>
        <w:t xml:space="preserve">except </w:t>
      </w:r>
      <w:r>
        <w:rPr>
          <w:rFonts w:ascii="Times New Roman" w:cs="Times New Roman" w:eastAsia="Times New Roman" w:hAnsi="Times New Roman"/>
          <w:sz w:val="18"/>
          <w:szCs w:val="18"/>
          <w:color w:val="auto"/>
        </w:rPr>
        <w:t>that, if Executive or his spouse is not permitted to continue to participate in any such health insurance plans for any portion of the Severance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194" w:lineRule="exact"/>
        <w:rPr>
          <w:rFonts w:ascii="Times New Roman" w:cs="Times New Roman" w:eastAsia="Times New Roman" w:hAnsi="Times New Roman"/>
          <w:sz w:val="18"/>
          <w:szCs w:val="18"/>
          <w:color w:val="auto"/>
        </w:rPr>
      </w:pPr>
    </w:p>
    <w:p>
      <w:pPr>
        <w:jc w:val="both"/>
        <w:ind w:firstLine="1628"/>
        <w:spacing w:after="0" w:line="261" w:lineRule="auto"/>
        <w:tabs>
          <w:tab w:leader="none" w:pos="194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 (iv) For the avoidance of doubt, Executive’s sole and exclusive remedy upon a termination for which Executive is eligible for Severance Benefits under this Section 7.2 shall be the receipt of the Severance Benefits.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304"/>
        <w:spacing w:after="0" w:line="256" w:lineRule="auto"/>
        <w:tabs>
          <w:tab w:leader="none" w:pos="157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Other Conditions for Severance Benefits</w:t>
      </w:r>
      <w:r>
        <w:rPr>
          <w:rFonts w:ascii="Times New Roman" w:cs="Times New Roman" w:eastAsia="Times New Roman" w:hAnsi="Times New Roman"/>
          <w:sz w:val="18"/>
          <w:szCs w:val="18"/>
          <w:color w:val="auto"/>
        </w:rPr>
        <w:t>. Provision of the Severance Benefits is conditioned on (i) 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Executive must so execute the Separation Agreement within 60 days following the Termination Date (or such shorter time as may be set forth in the Separation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Restrictive Covenant, Intellectual Property, Return of Company Property and Non-Disparagement</w:t>
      </w:r>
      <w:r>
        <w:rPr>
          <w:rFonts w:ascii="Times New Roman" w:cs="Times New Roman" w:eastAsia="Times New Roman" w:hAnsi="Times New Roman"/>
          <w:sz w:val="18"/>
          <w:szCs w:val="18"/>
          <w:color w:val="auto"/>
        </w:rPr>
        <w:t>. Company and Executive have entered into the Company’s current standard Invention Assignment, Restrictive Covenants, and Confidentiality Agreement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 copy of which is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 and Non-Competition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Representations and Acknowledgements</w:t>
      </w:r>
      <w:r>
        <w:rPr>
          <w:rFonts w:ascii="Times New Roman" w:cs="Times New Roman" w:eastAsia="Times New Roman" w:hAnsi="Times New Roman"/>
          <w:sz w:val="18"/>
          <w:szCs w:val="18"/>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Times New Roman" w:cs="Times New Roman" w:eastAsia="Times New Roman" w:hAnsi="Times New Roman"/>
          <w:sz w:val="18"/>
          <w:szCs w:val="18"/>
          <w:u w:val="single" w:color="auto"/>
          <w:color w:val="auto"/>
        </w:rPr>
        <w:t>Company Affiliates</w:t>
      </w:r>
      <w:r>
        <w:rPr>
          <w:rFonts w:ascii="Times New Roman" w:cs="Times New Roman" w:eastAsia="Times New Roman" w:hAnsi="Times New Roman"/>
          <w:sz w:val="18"/>
          <w:szCs w:val="18"/>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Confidential Information</w:t>
      </w:r>
      <w:r>
        <w:rPr>
          <w:rFonts w:ascii="Times New Roman" w:cs="Times New Roman" w:eastAsia="Times New Roman" w:hAnsi="Times New Roman"/>
          <w:sz w:val="18"/>
          <w:szCs w:val="18"/>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Defined</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304"/>
        <w:spacing w:after="0" w:line="258"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Immunity for Certain Limited Disclosures</w:t>
      </w:r>
      <w:r>
        <w:rPr>
          <w:rFonts w:ascii="Times New Roman" w:cs="Times New Roman" w:eastAsia="Times New Roman" w:hAnsi="Times New Roman"/>
          <w:sz w:val="18"/>
          <w:szCs w:val="18"/>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Non-Interference, Non-Competition and Non-Diversion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Customers</w:t>
      </w:r>
      <w:r>
        <w:rPr>
          <w:rFonts w:ascii="Times New Roman" w:cs="Times New Roman" w:eastAsia="Times New Roman" w:hAnsi="Times New Roman"/>
          <w:sz w:val="18"/>
          <w:szCs w:val="18"/>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 with Employees and Other Suppliers</w:t>
      </w:r>
      <w:r>
        <w:rPr>
          <w:rFonts w:ascii="Times New Roman" w:cs="Times New Roman" w:eastAsia="Times New Roman" w:hAnsi="Times New Roman"/>
          <w:sz w:val="18"/>
          <w:szCs w:val="18"/>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 (1) any employee of the Company or (2) any person who was employed by the Company within the then prior six-month period.</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Non-Diversion</w:t>
      </w:r>
      <w:r>
        <w:rPr>
          <w:rFonts w:ascii="Times New Roman" w:cs="Times New Roman" w:eastAsia="Times New Roman" w:hAnsi="Times New Roman"/>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the Employment Period and thereafter, except if Executive is terminated for Cause pursuant to Section 6.3 hereof, for the Restricted Period, regardless of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Subsequent Employers</w:t>
      </w:r>
      <w:r>
        <w:rPr>
          <w:rFonts w:ascii="Times New Roman" w:cs="Times New Roman" w:eastAsia="Times New Roman" w:hAnsi="Times New Roman"/>
          <w:sz w:val="18"/>
          <w:szCs w:val="18"/>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of Executive’s continuing obligations to the Company under this Agreement and, in particular, this Section 10. Further, Executive hereby consents to the Company providing such notification to each such Service Recipient.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520" w:hanging="216"/>
        <w:spacing w:after="0"/>
        <w:tabs>
          <w:tab w:leader="none" w:pos="15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the following terms shall have the following meaning.</w:t>
      </w:r>
    </w:p>
    <w:p>
      <w:pPr>
        <w:spacing w:after="0" w:line="225"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4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acquisition by a third party (or more than one party acting as a group) of securities of the Company representing more than sixty-six percent (66%)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sixty-six percent (66%) of the combined outstanding voting power of the surviving entity (or that entity’s parent) in such merger, consolidation, or similar transaction; or (C) the sale or other disposition of all or substantially all of the assets of the Company.</w:t>
      </w:r>
    </w:p>
    <w:p>
      <w:pPr>
        <w:spacing w:after="0" w:line="183" w:lineRule="exact"/>
        <w:rPr>
          <w:rFonts w:ascii="Times New Roman" w:cs="Times New Roman" w:eastAsia="Times New Roman" w:hAnsi="Times New Roman"/>
          <w:sz w:val="18"/>
          <w:szCs w:val="18"/>
          <w:color w:val="auto"/>
        </w:rPr>
      </w:pPr>
    </w:p>
    <w:p>
      <w:pPr>
        <w:ind w:right="20" w:firstLine="1628"/>
        <w:spacing w:after="0" w:line="282" w:lineRule="auto"/>
        <w:tabs>
          <w:tab w:leader="none" w:pos="189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Services</w:t>
      </w:r>
      <w:r>
        <w:rPr>
          <w:rFonts w:ascii="Times New Roman" w:cs="Times New Roman" w:eastAsia="Times New Roman" w:hAnsi="Times New Roman"/>
          <w:sz w:val="18"/>
          <w:szCs w:val="18"/>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61" w:lineRule="exact"/>
        <w:rPr>
          <w:rFonts w:ascii="Times New Roman" w:cs="Times New Roman" w:eastAsia="Times New Roman" w:hAnsi="Times New Roman"/>
          <w:sz w:val="18"/>
          <w:szCs w:val="18"/>
          <w:color w:val="auto"/>
        </w:rPr>
      </w:pPr>
    </w:p>
    <w:p>
      <w:pPr>
        <w:jc w:val="both"/>
        <w:ind w:firstLine="1628"/>
        <w:spacing w:after="0" w:line="258" w:lineRule="auto"/>
        <w:tabs>
          <w:tab w:leader="none" w:pos="194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83" w:lineRule="exact"/>
        <w:rPr>
          <w:rFonts w:ascii="Times New Roman" w:cs="Times New Roman" w:eastAsia="Times New Roman" w:hAnsi="Times New Roman"/>
          <w:sz w:val="18"/>
          <w:szCs w:val="18"/>
          <w:color w:val="auto"/>
        </w:rPr>
      </w:pPr>
    </w:p>
    <w:p>
      <w:pPr>
        <w:jc w:val="both"/>
        <w:ind w:firstLine="1628"/>
        <w:spacing w:after="0" w:line="256" w:lineRule="auto"/>
        <w:tabs>
          <w:tab w:leader="none" w:pos="195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directly or indirectly</w:t>
      </w:r>
      <w:r>
        <w:rPr>
          <w:rFonts w:ascii="Times New Roman" w:cs="Times New Roman" w:eastAsia="Times New Roman" w:hAnsi="Times New Roman"/>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 counter market.</w:t>
      </w:r>
    </w:p>
    <w:p>
      <w:pPr>
        <w:spacing w:after="0" w:line="187"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8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75" w:lineRule="exact"/>
        <w:rPr>
          <w:rFonts w:ascii="Times New Roman" w:cs="Times New Roman" w:eastAsia="Times New Roman" w:hAnsi="Times New Roman"/>
          <w:sz w:val="18"/>
          <w:szCs w:val="18"/>
          <w:color w:val="auto"/>
        </w:rPr>
      </w:pPr>
    </w:p>
    <w:p>
      <w:pPr>
        <w:ind w:firstLine="1628"/>
        <w:spacing w:after="0" w:line="282" w:lineRule="auto"/>
        <w:tabs>
          <w:tab w:leader="none" w:pos="195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any supplier of goods, services, funding, leads or prospects to the Company, including as an employee, independent contractor or in any other capacity.</w:t>
      </w:r>
    </w:p>
    <w:p>
      <w:pPr>
        <w:spacing w:after="0" w:line="16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any state in which the Company is doing business or in which it is contemplating to do business pursuant to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current business plan.</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The Company’s Proprietary Rights</w:t>
      </w:r>
      <w:r>
        <w:rPr>
          <w:rFonts w:ascii="Times New Roman" w:cs="Times New Roman" w:eastAsia="Times New Roman" w:hAnsi="Times New Roman"/>
          <w:sz w:val="18"/>
          <w:szCs w:val="18"/>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Times New Roman" w:cs="Times New Roman" w:eastAsia="Times New Roman" w:hAnsi="Times New Roman"/>
          <w:sz w:val="18"/>
          <w:szCs w:val="18"/>
          <w:u w:val="single" w:color="auto"/>
          <w:color w:val="auto"/>
        </w:rPr>
        <w:t>Company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Times New Roman" w:cs="Times New Roman" w:eastAsia="Times New Roman" w:hAnsi="Times New Roman"/>
          <w:sz w:val="18"/>
          <w:szCs w:val="18"/>
          <w:u w:val="single" w:color="auto"/>
          <w:color w:val="auto"/>
        </w:rPr>
        <w:t>Moral Rights</w:t>
      </w:r>
      <w:r>
        <w:rPr>
          <w:rFonts w:ascii="Times New Roman" w:cs="Times New Roman" w:eastAsia="Times New Roman" w:hAnsi="Times New Roman"/>
          <w:sz w:val="18"/>
          <w:szCs w:val="18"/>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18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Cooperation Regarding Intellectual Property</w:t>
      </w:r>
      <w:r>
        <w:rPr>
          <w:rFonts w:ascii="Times New Roman" w:cs="Times New Roman" w:eastAsia="Times New Roman" w:hAnsi="Times New Roman"/>
          <w:sz w:val="18"/>
          <w:szCs w:val="18"/>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9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No infringement</w:t>
      </w:r>
      <w:r>
        <w:rPr>
          <w:rFonts w:ascii="Times New Roman" w:cs="Times New Roman" w:eastAsia="Times New Roman" w:hAnsi="Times New Roman"/>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62"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License to Prior Invention</w:t>
      </w:r>
      <w:r>
        <w:rPr>
          <w:rFonts w:ascii="Times New Roman" w:cs="Times New Roman" w:eastAsia="Times New Roman" w:hAnsi="Times New Roman"/>
          <w:sz w:val="18"/>
          <w:szCs w:val="18"/>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Times New Roman" w:cs="Times New Roman" w:eastAsia="Times New Roman" w:hAnsi="Times New Roman"/>
          <w:sz w:val="18"/>
          <w:szCs w:val="18"/>
          <w:u w:val="single" w:color="auto"/>
          <w:color w:val="auto"/>
        </w:rPr>
        <w:t>Prior Invention</w:t>
      </w:r>
      <w:r>
        <w:rPr>
          <w:rFonts w:ascii="Times New Roman" w:cs="Times New Roman" w:eastAsia="Times New Roman" w:hAnsi="Times New Roman"/>
          <w:sz w:val="18"/>
          <w:szCs w:val="18"/>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8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176" w:lineRule="exact"/>
        <w:rPr>
          <w:sz w:val="20"/>
          <w:szCs w:val="20"/>
          <w:color w:val="auto"/>
        </w:rPr>
      </w:pPr>
    </w:p>
    <w:p>
      <w:pPr>
        <w:jc w:val="both"/>
        <w:ind w:firstLine="656"/>
        <w:spacing w:after="0" w:line="253"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not to, knowingly and intentionally, make any disparaging remark or send any disparaging 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jc w:val="both"/>
        <w:ind w:firstLine="8"/>
        <w:spacing w:after="0" w:line="255" w:lineRule="auto"/>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56"/>
        <w:spacing w:after="0" w:line="254"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Executive acknowledges and agrees that Executive shall not disclose the documents referenced in this clause (y) except to Executive’s representatives who have a need to know such information.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52" w:lineRule="auto"/>
        <w:tabs>
          <w:tab w:leader="none" w:pos="9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 and Other Remedies</w:t>
      </w:r>
      <w:r>
        <w:rPr>
          <w:rFonts w:ascii="Times New Roman" w:cs="Times New Roman" w:eastAsia="Times New Roman" w:hAnsi="Times New Roman"/>
          <w:sz w:val="18"/>
          <w:szCs w:val="18"/>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Regarding Prior Work and Legal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 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 16.3 Executive represents and agrees that the Executive has not and will not misappropriate any intellectual property belonging to any other person or entity.</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80" w:lineRule="exact"/>
        <w:rPr>
          <w:sz w:val="20"/>
          <w:szCs w:val="20"/>
          <w:color w:val="auto"/>
        </w:rPr>
      </w:pPr>
    </w:p>
    <w:p>
      <w:pPr>
        <w:jc w:val="both"/>
        <w:ind w:firstLine="656"/>
        <w:spacing w:after="0" w:line="252" w:lineRule="auto"/>
        <w:tabs>
          <w:tab w:leader="none" w:pos="9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Liability Insurance</w:t>
      </w:r>
      <w:r>
        <w:rPr>
          <w:rFonts w:ascii="Times New Roman" w:cs="Times New Roman" w:eastAsia="Times New Roman" w:hAnsi="Times New Roman"/>
          <w:sz w:val="18"/>
          <w:szCs w:val="18"/>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IRCA Compliance</w:t>
      </w:r>
      <w:r>
        <w:rPr>
          <w:rFonts w:ascii="Times New Roman" w:cs="Times New Roman" w:eastAsia="Times New Roman" w:hAnsi="Times New Roman"/>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162" w:lineRule="exact"/>
        <w:rPr>
          <w:sz w:val="20"/>
          <w:szCs w:val="20"/>
          <w:color w:val="auto"/>
        </w:rPr>
      </w:pPr>
    </w:p>
    <w:p>
      <w:pPr>
        <w:jc w:val="both"/>
        <w:ind w:firstLine="972"/>
        <w:spacing w:after="0" w:line="24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Unless otherwise expressly provided, any payment of compensation by Company to Executive, whether pursuant to this Agreement or otherwise, shall be made no later than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2½ months) after the later of the end of the calendar year or the Company’s fiscal year in which Executive’s right to such payment vests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not subject to a “substantial risk of forfeiture”) for purposes of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208"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Assignability and Binding Effect</w:t>
      </w:r>
      <w:r>
        <w:rPr>
          <w:rFonts w:ascii="Times New Roman" w:cs="Times New Roman" w:eastAsia="Times New Roman" w:hAnsi="Times New Roman"/>
          <w:sz w:val="18"/>
          <w:szCs w:val="18"/>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Severability and Blue Penciling</w:t>
      </w:r>
      <w:r>
        <w:rPr>
          <w:rFonts w:ascii="Times New Roman" w:cs="Times New Roman" w:eastAsia="Times New Roman" w:hAnsi="Times New Roman"/>
          <w:sz w:val="18"/>
          <w:szCs w:val="18"/>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18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Choice of Law and Forum; Attorneys’ Fees</w:t>
      </w:r>
      <w:r>
        <w:rPr>
          <w:rFonts w:ascii="Times New Roman" w:cs="Times New Roman" w:eastAsia="Times New Roman" w:hAnsi="Times New Roman"/>
          <w:sz w:val="18"/>
          <w:szCs w:val="18"/>
          <w:color w:val="auto"/>
        </w:rPr>
        <w:t>. This Agreement shall be interpreted and enforced in accordance with the 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61"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Executive’s address on the books and records of the Company.</w:t>
      </w:r>
    </w:p>
    <w:p>
      <w:pPr>
        <w:spacing w:after="0" w:line="225" w:lineRule="exact"/>
        <w:rPr>
          <w:rFonts w:ascii="Times New Roman" w:cs="Times New Roman" w:eastAsia="Times New Roman" w:hAnsi="Times New Roman"/>
          <w:sz w:val="18"/>
          <w:szCs w:val="18"/>
          <w:color w:val="auto"/>
        </w:rPr>
      </w:pPr>
    </w:p>
    <w:p>
      <w:pPr>
        <w:ind w:left="660" w:firstLine="968"/>
        <w:spacing w:after="0" w:line="282" w:lineRule="auto"/>
        <w:tabs>
          <w:tab w:leader="none" w:pos="192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76 Treble Cove Rd., Bldg. 3, Billerica,MA 01862, or at such other mailing address, email address or facsimile number as it may have furnished in writing to Executive.</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Survival of Terms</w:t>
      </w:r>
      <w:r>
        <w:rPr>
          <w:rFonts w:ascii="Times New Roman" w:cs="Times New Roman" w:eastAsia="Times New Roman" w:hAnsi="Times New Roman"/>
          <w:sz w:val="18"/>
          <w:szCs w:val="18"/>
          <w:color w:val="auto"/>
        </w:rPr>
        <w:t xml:space="preserve">.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reason.18.10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8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Voluntary and Knowing Execution of Agreement</w:t>
      </w:r>
      <w:r>
        <w:rPr>
          <w:rFonts w:ascii="Times New Roman" w:cs="Times New Roman" w:eastAsia="Times New Roman" w:hAnsi="Times New Roman"/>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Agreement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Stuart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WILCOX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2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Employment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Separation Agreement (this “Agreement”) is entered as of July 8, 2022 between Agrify Corporation (“Agrify” or the “Company”) and Thomas Massie (“Executive”, “Massie” or “You”). Agrify and Massie may hereafter be referred to herein, individually, from time to time as a “Party,” and collectively herein from time to time as the “Parties.”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Executive is currently the President and Chief Operating Officer of Agrify pursuant to an Employment Agreement dated as of November 10, 2021 (“Employment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Parties have agreed that Executive will resign as President and COO and as a member of the Board of Directors of Agrify (“the Board”) effective July 8, 2022 subject to the terms set forth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covenants, agreements, representations, and warranties contained in this Agreement, the receipt, sufficiency and adequacy of which is hereby mutually acknowledged by the Parties, and for valid and binding consideration, the Parties hereby memorialize their agreements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340" w:right="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xml:space="preserve"> Executive hereby resigns as President and COO and as a member of the Board and as a member of all applicable committees of the Board effective July 8, 2022 (“Separation Date”).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Benefits.</w:t>
      </w:r>
      <w:r>
        <w:rPr>
          <w:rFonts w:ascii="Times New Roman" w:cs="Times New Roman" w:eastAsia="Times New Roman" w:hAnsi="Times New Roman"/>
          <w:sz w:val="18"/>
          <w:szCs w:val="18"/>
          <w:color w:val="auto"/>
        </w:rPr>
        <w:t xml:space="preserve"> In exchange for Executive’s obligations and promises in this Agreement, the Company is offering him the following severance benefits, for which he would not be eligible but for his signing this Agreement and not revoking it within the timeframe set forth below and complying with all of its terms:</w:t>
      </w:r>
    </w:p>
    <w:p>
      <w:pPr>
        <w:spacing w:after="0" w:line="175"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One Million Dollars ($1,000,000.00) payable in installments in accordance with the Company’s normal payroll practices and procedures in effect from time to time and subject to applicable withholdings and deductions, payable as follows:</w:t>
      </w:r>
    </w:p>
    <w:p>
      <w:pPr>
        <w:spacing w:after="0" w:line="161" w:lineRule="exact"/>
        <w:rPr>
          <w:rFonts w:ascii="Times New Roman" w:cs="Times New Roman" w:eastAsia="Times New Roman" w:hAnsi="Times New Roman"/>
          <w:sz w:val="18"/>
          <w:szCs w:val="18"/>
          <w:color w:val="auto"/>
        </w:rPr>
      </w:pPr>
    </w:p>
    <w:p>
      <w:pPr>
        <w:jc w:val="both"/>
        <w:ind w:left="2280" w:hanging="328"/>
        <w:spacing w:after="0" w:line="266" w:lineRule="auto"/>
        <w:tabs>
          <w:tab w:leader="none" w:pos="22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Eighty-Three Thousand Three Hundred Thirty-Three Dollars and Thirty-Three Cents ($83,333.33) on each of the first regular payroll date following the end of the revocation period set forth in Section 6, August 12, 2022, September 9, 2022, October 7, 2022, November 4, 2022, and December 2, 2022; and</w:t>
      </w:r>
    </w:p>
    <w:p>
      <w:pPr>
        <w:spacing w:after="0" w:line="17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of Five Hundred Thousand Dollars ($500,000.00) on January 13, 2023.</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Company Group insurance health plan benefits until the earlier of (i) June 30, 2023 or (ii) the date when Executive is eligible for group health insurance benefits from another employer, which continuing shall be on the same terms and conditions as then applicable to current employees except that if Executive is not permitted to participate in the same and is eligible for and elects such benefits pursuant to COBRA, the Company shall pay or reimburse Executive for the Portion of COBRA premiums equal to the insurance premium the Company would pay if the Executive was then an active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both"/>
        <w:ind w:left="1620" w:hanging="316"/>
        <w:spacing w:after="0" w:line="25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Executive’s termination, all then-unvested stock options and/or restricted stock unit awards granted to the Executive under any Company equity incentive plan shall become fully vested and immediately exercisable as of such date of termination, notwithstanding any vesting schedule or other provisions to the contrary in the agreements or plans evidencing such options or awards, and the Company and the Executive hereby agree that such stock option agreements and restricted stock unit awards are hereby, and will be deemed to be, amended to give effect to this provision. For the avoidance of doubt, all such outstanding stock options and restricted stock unit awards are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7"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Executive’s termination, all then-unvested stock options that become fully vested and immediately exercisable as a result of Section 2(c) herein shall be exercisable until the earlier to occur of (i) December 31, 2023 or (ii) the Expiration Date set forth in the applicable stock option agreement, notwithstanding any provisions to the contrary in the agreements or plans evidencing such options, and the Company and the Executive hereby agree that such stock option agreements are hereby, and will be deemed to be, amended to give effect to this provision.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benefits described in Section 2 are collectively referred to as the “Severance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Benefits will be provided to you by the Company if and only if you:</w:t>
      </w:r>
    </w:p>
    <w:p>
      <w:pPr>
        <w:spacing w:after="0" w:line="225" w:lineRule="exact"/>
        <w:rPr>
          <w:sz w:val="20"/>
          <w:szCs w:val="20"/>
          <w:color w:val="auto"/>
        </w:rPr>
      </w:pPr>
    </w:p>
    <w:p>
      <w:pPr>
        <w:ind w:left="1640" w:hanging="417"/>
        <w:spacing w:after="0"/>
        <w:tabs>
          <w:tab w:leader="none" w:pos="1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this Agreement no later than August 21, 2022;</w:t>
      </w:r>
    </w:p>
    <w:p>
      <w:pPr>
        <w:spacing w:after="0" w:line="225" w:lineRule="exact"/>
        <w:rPr>
          <w:rFonts w:ascii="Times New Roman" w:cs="Times New Roman" w:eastAsia="Times New Roman" w:hAnsi="Times New Roman"/>
          <w:sz w:val="18"/>
          <w:szCs w:val="18"/>
          <w:color w:val="auto"/>
        </w:rPr>
      </w:pPr>
    </w:p>
    <w:p>
      <w:pPr>
        <w:ind w:left="1680" w:hanging="457"/>
        <w:spacing w:after="0"/>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revoke your acceptance of this Agreement within the timeframe set forth in Section 6; and</w:t>
      </w:r>
    </w:p>
    <w:p>
      <w:pPr>
        <w:spacing w:after="0" w:line="225" w:lineRule="exact"/>
        <w:rPr>
          <w:rFonts w:ascii="Times New Roman" w:cs="Times New Roman" w:eastAsia="Times New Roman" w:hAnsi="Times New Roman"/>
          <w:sz w:val="18"/>
          <w:szCs w:val="18"/>
          <w:color w:val="auto"/>
        </w:rPr>
      </w:pPr>
    </w:p>
    <w:p>
      <w:pPr>
        <w:ind w:left="1740" w:hanging="517"/>
        <w:spacing w:after="0"/>
        <w:tabs>
          <w:tab w:leader="none" w:pos="1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of the terms of this Agreement.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General Release of the Company</w:t>
      </w:r>
      <w:r>
        <w:rPr>
          <w:rFonts w:ascii="Times New Roman" w:cs="Times New Roman" w:eastAsia="Times New Roman" w:hAnsi="Times New Roman"/>
          <w:sz w:val="18"/>
          <w:szCs w:val="18"/>
          <w:color w:val="auto"/>
        </w:rPr>
        <w:t>. Except as specifically set forth in this Agreement, in consideration and exchange for the Severance Benefits set forth above and other good and valuable consideration described herein, you, Thomas Massie, on behalf of yourself, your heirs, next of kin, executors, administrators, agents, representatives, attorneys and assigns, knowingly and voluntarily forever release and discharge Agrify Corporation, and its respective past, present and future affiliates, subsidiaries, parent companies, predecessors, successors and assigns, and its and their respective past, present and future partners, members, owners, shareholders, trustees, officers, directors, employees, attorneys, fiduciaries, insurers, representatives and agents, both individually and in their business capacities (collectively, the “Comapany Parties”), of and from, and waive any rights in and to, all claims, complaints, demands, contracts, grants, lawsuits, causes of action or expenses of any kind (including attorney’s fees and costs), (collectively, “Claims”), whether known or unknown, that you now have or ever had against the Company Parties or any of them up to your signing this Agreement, including but not limited to Claims related to or arising from your employment with the Company and/or the termination thereof; Claims arising under common law; Claims for breach of contract and in tort; Claims for unpaid compensation, unpaid bonuses, equity or any employee benefits; Claims for attorney’s fees and costs; and Claims arising under federal, state or local labor law, employment laws and laws prohibiting employment discrimination (based on age, gender, race, religion, national origin, sexual orientation, disability, veteran status and other protected classes), including but not limited to: Title VII of the Civil Rights Act of 1964, the Equal Pay Act of 1963, the Fair Labor Standards Act of 1938, the Family and Medical Leave Act of 1993, the Employee Retirement Income Security Act of 1974, the Americans with Disabilities Act, the Families First Coronavirus Response Act (“FFCRA”), the Massachusetts Fair Employment Practices Act, the Massachusetts Civil Rights Act, the Massachusetts Overtime Law, the Massachusetts Weekly Payment of Wages Act, and the Massachusetts Earned Sick Time Law, or any other federal, state or local laws, regulations, rules, ordinances or orders related to employment or termination thereof, each as amended, and all related regulations, rules or orders, and similar federal, state or local statutes, regulations, rules or ordinances, including but not limited to the Massachusetts Fair Employment Practices Act, the Massachusetts Civil Rights Act, the Massachusetts Equal Rights Law, the Massachusetts Weekly Payment of Wages Act, Massachusetts Equal Pay Act, each as amended. You further covenant not to sue the Company Parties, or any of them, for any Claims described above. For avoidance of doubt, this means that you have released the Company Parties from liability from any Claims, and, additionally, separately agree not to commence any legal action for any Claims described above. You understand that the release contained herein is a GENERAL RELEASE and acknowledge that the Severance Benefits and other benefits in this Agreement are sufficient consideration for your obligations and release in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consideration of the foregoing, with full understanding of the content and legal effect of this release, Company Parties hereby release and discharge Executive from and with respect to any and all debts, claims, demands, damages and causes of action of any kind whatsoever, whether known or unknown or unforeseen, which they now have or ever had against Executive, arising up to the date of this Agreement excluding enforcement of this Agreement and and any other agreement between the Parties that by its terms continues in effect.</w:t>
      </w:r>
    </w:p>
    <w:p>
      <w:pPr>
        <w:spacing w:after="0" w:line="180" w:lineRule="exact"/>
        <w:rPr>
          <w:sz w:val="20"/>
          <w:szCs w:val="20"/>
          <w:color w:val="auto"/>
        </w:rPr>
      </w:pPr>
    </w:p>
    <w:p>
      <w:pPr>
        <w:jc w:val="both"/>
        <w:ind w:left="1300" w:hanging="320"/>
        <w:spacing w:after="0" w:line="253"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You acknowledge that with your final paycheck, you will have been paid any and all wages (including all base compensation and, if applicable, any and all overtime, commissions and bonuses) to which you are or were entitled by virtue of your employment with the Company, and that you are unaware of any facts or circumstances indicating that you may have an outstanding claim for unpaid wages, improper deductions from pay, or any violation of the Massachusetts Weekly Payment of Wages Act, or any other federal, state or local laws, regulations, rules, ordinances or orders that are related to payment of wages. You acknowledge that you have not suffered an injury in the workplace which has not been reported to the Company and are not aware of any facts or circumstances that would give rise to a claim that you suffered a workplace injury. You acknowledge that you have received any leaves of absence and any reasonable accommodations to which you were entitled under the Family and Medical Leave Act, the Americans with Disabilities Act, the FFCRA, the Massachusetts Domestic Violence Leave Act, the Massachusetts Earned Sick Time Law, the Massachusetts Small Necessities Leave Act, the Massachusetts Parental Leave Act, or any other laws, regulations, rules or ordinances relating to medical leaves and accommodations and are not aware of any facts or circumstances that would give rise to a claim that you were denied any rights under such laws, regulations, rules or ordinances.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Activity</w:t>
      </w:r>
      <w:r>
        <w:rPr>
          <w:rFonts w:ascii="Times New Roman" w:cs="Times New Roman" w:eastAsia="Times New Roman" w:hAnsi="Times New Roman"/>
          <w:sz w:val="18"/>
          <w:szCs w:val="18"/>
          <w:color w:val="auto"/>
        </w:rPr>
        <w:t>. This release does not apply to: (a) enforcement of the terms of this Agreement; (c) any claims to workers’ compensation benefits; (d) any claims for unemployment benefits; (e) any Claims that may not be released by applicable law; and (f) any monetary award for any legally protected provision of information to any federal, state or local government agency under any so-called “whistleblower” law. Nothing in this Agreement shall prohibit you from filing a charge with the Equal Employment Opportunity Commission (“EEOC”) or with any other federal, state or local government agency, including the National Labor Relations Board (“NLRB”) or from participating in an investigation or proceeding of the EEOC or other federal, state or local government agency, including the NLRB; provided that, if you file charges or participate in any investigation or proceeding before any such government agency, to the fullest extent permitted by law, you waive the right to any personal monetary recovery or other personal relief should the EEOC or any other federal, state or local government agency pursue any class or individual charges in part or entirely on your behalf, on the basis that any such Claims have been fully and completely satisfied by the payments you are receiving under this Agreement.</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General Release of Executive</w:t>
      </w:r>
      <w:r>
        <w:rPr>
          <w:rFonts w:ascii="Times New Roman" w:cs="Times New Roman" w:eastAsia="Times New Roman" w:hAnsi="Times New Roman"/>
          <w:sz w:val="18"/>
          <w:szCs w:val="18"/>
          <w:color w:val="auto"/>
        </w:rPr>
        <w:t>. In consideration for, among other terms, mutual promises and obligations contained in Section 3 of this Agreement, the Company Parties voluntarily release and forever discharge Executive, Executive’s estate, and Executive’s heirs generally from all claims, demands, debts, damages and liabilities of every name and nature, known or unknown (“Claims”) that, as of the date when Executive signs this Agreement, the Company Parties have, ever had, now claim to have or ever claimed to have had against Executive, Executive’s estate and Executive’s heirs up to signing this Agreement, except for any Claims relating to or arising out of any fraudulent or dishonest act or omission by Executive. The Company Parties represent that they have not filed, and have not caused to be filed, against Executive, any action or legal proceeding in any court or any administrative agency concerning any matter involving you. As a material inducement to Executive to enter into this Agreement, the Company Parties represent that they have not assigned to any third party and they have not filed with any agency or court any Claim released by this Agreement. The Companies’ release of Executive shall not operate to release or waive Executive’s violation of this Agreement or any unknown or prospective Claims arising from Executive’s violation of the terms of Sections 10 and 11 of Executive’s Employment Agreement, which Sections are specifically incorporated into this Agreement. Subject to Section 3 hereof, the Company hereby agrees to hold harmless and indemnify Executive in respect of Executive’s serving or having served as an officer, director, employee or agent of the Company or one or more of its subsidiaries or at the request of the Company as an officer, director, employee or agent of another company, corporation, partnership, limited liability company, joint venture, trust or other enterprise, to the fullest extent authorized or permitted by applicable law in effect on the date hereof and as may be amended from time to time, but not for fraudulent or dishonest acts or omissions.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340" w:hanging="332"/>
        <w:spacing w:after="0" w:line="254"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Executive will be paid through the Separation Date. After the Separation Date, Executive may not represent himself as being an employee, officer, attorney, agent, or representative of the Company for any purpose. Further, unless otherwise provided in this Agreement, the Separation Date is also the employment termination date for all purposes, meaning Executive is not entitled to any further compensation, monies, or other benefits from the Company including coverage under any benefits plans or programs sponsored by the Company, as of the Separation Date except as set forth in this Agreement. This Agreement will not affect (a) Executive’s entitlement to vested benefits, if any, in any retirement plan maintained by the Company, (b) Executive’s right, if any, to continued healthcare coverage under applicable COBRA laws, or (c) any non-waivable benefits under unemployment or workers’ compensation laws. Executive will be reimbursed for any outstanding authorized reasonable business expenses that Executive may have incurred, provided that he submits an expense report and supporting documentation in accordance with the Company’s policies and practices.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to Consider Agreement</w:t>
      </w:r>
      <w:r>
        <w:rPr>
          <w:rFonts w:ascii="Times New Roman" w:cs="Times New Roman" w:eastAsia="Times New Roman" w:hAnsi="Times New Roman"/>
          <w:sz w:val="18"/>
          <w:szCs w:val="18"/>
          <w:color w:val="auto"/>
        </w:rPr>
        <w:t>. Executive acknowledges that he was advised in writing to consult an attorney of his choice before signing this Agreement, including specifically the General Release, Waiver and Covenant Not to Sue set forth in Section 3, above, and that he has done so, or voluntarily chose not to do so, by the time he signs this Agreement. Executive acknowledges that he has been given at least sixty (60) days, or until August 21, 2022, to consider this Agreement. You may sign this Agreement before August 21, 2022 but if you do, then you acknowledge that you understand you had until August 21, 2022 that you voluntarily decided to sign it before August 21, 2022; and that you waive any time remaining before August 21,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decide to sign this Agreement, please submit it to Josh Savitz as set forth below. Once you sign this Agreement, you will still have ten (10) additional business days from the date you sign to revoke your acceptance (“Revocation Period”). If you decide to revoke this Agreement within the Revocation Period after signing and returning it, you must notify the Company in writing. You can send the written notice by fax, electronic mail, or registered mail, but no matter how you send it, the Company must receive your written statement of revocation no later than 5 p.m. on the tenth business (10th) day after you sign this Agreement. Please address your written statement of revocation 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Josh Savitz</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josh.savitz@agrify.com</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Unless you revoke your acceptance within ten (10) business days of signing this Agreement, the eleventh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Company receives a signed copy of this Agreement shall be deemed the “Effective Date” of this Agreement. If you choose to negotiate the terms of this Agreement, any such negotiation shall not toll or extend the time to consider this Agreement.</w:t>
      </w:r>
    </w:p>
    <w:p>
      <w:pPr>
        <w:spacing w:after="0" w:line="200" w:lineRule="exact"/>
        <w:rPr>
          <w:sz w:val="20"/>
          <w:szCs w:val="20"/>
          <w:color w:val="auto"/>
        </w:rPr>
      </w:pPr>
    </w:p>
    <w:p>
      <w:pPr>
        <w:jc w:val="both"/>
        <w:ind w:firstLine="8"/>
        <w:spacing w:after="0" w:line="255" w:lineRule="auto"/>
        <w:tabs>
          <w:tab w:leader="none" w:pos="2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Awards</w:t>
      </w:r>
      <w:r>
        <w:rPr>
          <w:rFonts w:ascii="Times New Roman" w:cs="Times New Roman" w:eastAsia="Times New Roman" w:hAnsi="Times New Roman"/>
          <w:sz w:val="18"/>
          <w:szCs w:val="18"/>
          <w:color w:val="auto"/>
        </w:rPr>
        <w:t>. Notwithstanding anything to the contrary in the applicable award agreements, Executive hereby irrevocably elects to defer settlement of all restricted stock unit awards that become vested as a result of Section 2(c) herein until January 1, 2023, and the Company hereby accepts such election. It is the intent of this election to comply with the requirements of Section 409A of the Internal Revenue Code of 1986, as amended (“Section 409A”) so that none of the deferred restricted stock units or shares issuable thereunder will be subject to the additional tax imposed under Section 409A, and any ambiguities herein will be interpreted to so comply. Notwithstanding the foregoing, the Company makes no representations that such deferral complies with Section 409A and in no event shall the Company be liable for all or any portion of any taxes, penalties, interest or other expenses that may be incurred by Executive on account of non-compliance with Section 409A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8"/>
        <w:spacing w:after="0" w:line="266"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of this Agreement</w:t>
      </w:r>
      <w:r>
        <w:rPr>
          <w:rFonts w:ascii="Times New Roman" w:cs="Times New Roman" w:eastAsia="Times New Roman" w:hAnsi="Times New Roman"/>
          <w:sz w:val="18"/>
          <w:szCs w:val="18"/>
          <w:color w:val="auto"/>
        </w:rPr>
        <w:t>. Unless, and to the extent that this Agreement, is publically disclosed, you agree to keep the terms of this Agreement confidential and not to disclose it to anyone except: (a) as permitted in Section 3.b. of this Agreement; or (b) unless required by law or by a court or other forum of competent jurisdiction; or (c) to your spouse, attorney and tax advisors, as long as they agree to keep the terms of this Agreement confidential.</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Non-Solicitation, Non-Competition and Intellectual Property</w:t>
      </w:r>
      <w:r>
        <w:rPr>
          <w:rFonts w:ascii="Times New Roman" w:cs="Times New Roman" w:eastAsia="Times New Roman" w:hAnsi="Times New Roman"/>
          <w:sz w:val="18"/>
          <w:szCs w:val="18"/>
          <w:color w:val="auto"/>
        </w:rPr>
        <w:t>. The terms of Sections 10 and 11 of the Employment Agreement are hereby incorporated by reference into this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55" w:lineRule="auto"/>
        <w:tabs>
          <w:tab w:leader="none" w:pos="2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Defend Trade Secrets Act Whistleblower Immunity</w:t>
      </w:r>
      <w:r>
        <w:rPr>
          <w:rFonts w:ascii="Times New Roman" w:cs="Times New Roman" w:eastAsia="Times New Roman" w:hAnsi="Times New Roman"/>
          <w:sz w:val="18"/>
          <w:szCs w:val="18"/>
          <w:color w:val="auto"/>
        </w:rPr>
        <w:t>. Executive understands and acknowledges that he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Executive further understands and acknowledges that if he files a lawsuit for retaliation by the Company for reporting a suspected violation of law, he may disclose the trade secret to his attorney and use the trade secret information in the court proceeding, if he files any document containing the trade secret under seal and do not disclose the trade secret, except pursuant to court order.</w:t>
      </w:r>
    </w:p>
    <w:p>
      <w:pPr>
        <w:spacing w:after="0" w:line="18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Nondisparagement; Social Media; Public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not to make or provide any derogatory, defamatory or negative statements or information to anyone about the Company and/or its affiliates or any of its or their services, products, officers, members, directors or employees except: (a) as permitted in Section 3.b. of this Agreement; or (b) unless required by law or by a court or other forum of competent jurisdiction.</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Parties agree not to make or provide any derogatory, defamatory or negative statements or information to anyone about Executive unless required by law or by a court or other forum of competent jurisdicition.</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the Company Parties agree to promptly change all social media and other information, including LinkedIn profiles, to reflect that Executive is no longer an employee of the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Date, Executive must refrain from representing to others or giving others the impression, whether directly or indirectly, that he is in any way an employee, agent or representative of the Company</w:t>
      </w:r>
      <w:r>
        <w:rPr>
          <w:rFonts w:ascii="Times New Roman" w:cs="Times New Roman" w:eastAsia="Times New Roman" w:hAnsi="Times New Roman"/>
          <w:sz w:val="18"/>
          <w:szCs w:val="18"/>
          <w:b w:val="1"/>
          <w:bCs w:val="1"/>
          <w:color w:val="auto"/>
        </w:rPr>
        <w: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public statements concerning Executive’s separation by the Company shall be made with Executive’s prior approval and consent. Executive shall not not unreasonably withhold, condition or delay such approval or consent.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This Agreement shall not be construed in any way to be an admission by the Company or any of the Company Parties, and the Company and the Company Parties specifically deny, that any of them have engaged in any wrongful or unlawful act with respect to Executive, his employment or the separation from his employment.</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Executive agrees that if he breaches or threatens to breach the provisions of this Agreement, the Company will suffer irreparable harm and, therefore, in the event of a breach or threatened breach of this Agreement, the Company shall be entitled to equitable relief, including a preliminary and permanent injunction, without the need to post a bond or provide any other security, to stop him from harming the Company, and to payment by Executive of all costs and attorneys’ fees incurred by the Company in enforcing the provisions of this Agreement. The Company will also be entitled to all other remedies available to it by law.</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xml:space="preserve"> Within seven (7) calendar days from the Separation Date, Executive agrees to return all of the Company’s property, including your identification badge, Surface, smartphone, any and all keys, passwords, external hard drives, laptops, phones, software, spreadsheets, files, books, work papers, manuals, business plans, reports, letters, notebooks, documents, computers, computer disks or tapes, data storage devices, and any other property and/or information that he may have received, created, or accessed as an employee of the Company, including but not limited to any documents or data stored on any Company device or on any personal device. Executive agrees not to retain any copies of any property, documents, spreadsheets or information, including but not limited to paper documents or items stored in any electronic format, which was made or compiled by him, or made available to him, relating to the Company, its clients or any of them.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8"/>
        <w:spacing w:after="0" w:line="256" w:lineRule="auto"/>
        <w:tabs>
          <w:tab w:leader="none" w:pos="2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Executive agrees to cooperate fully in the defense or prosecution of any claims or actions now in existence or which may be brought or threatened in the future against or on behalf of the Company about which he has knowledge or were involved by virtue of his employment with the Company, and in any claim or action brought by the Company against any other entity about which Executive has knowledge or were involved by virtue of his employment with the Company. Executive further agrees that should he be contacted (directly or indirectly) by any individual or entity about matters that may be adverse to the business interests of the Company or any of the Company Parties, he will promptly notify the Company of such contact including who contacted him and the substance of any such contact.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interpreted and enforced in accordance with the law of the Commonwealth of Massachusetts, except to the extent that state law is pre-empted by applicable federal law, without giving effect to that jurisdiction’s choice of law rules. The Parties consent to the exclusive jurisdiction and venue of the courts of the Commonwealth of Massachusetts, and the federal courts of the United States of America located in the Commonwealth of Massachusetts, over any action, claim, controversy or proceeding arising under this Agreement, and irrevocably waive any objection they may now or hereafter have to the exclusive jurisdiction and venue of such courts.</w:t>
      </w:r>
    </w:p>
    <w:p>
      <w:pPr>
        <w:spacing w:after="0" w:line="183" w:lineRule="exact"/>
        <w:rPr>
          <w:rFonts w:ascii="Times New Roman" w:cs="Times New Roman" w:eastAsia="Times New Roman" w:hAnsi="Times New Roman"/>
          <w:sz w:val="18"/>
          <w:szCs w:val="18"/>
          <w:color w:val="auto"/>
        </w:rPr>
      </w:pPr>
    </w:p>
    <w:p>
      <w:pPr>
        <w:ind w:firstLine="8"/>
        <w:spacing w:after="0" w:line="282" w:lineRule="auto"/>
        <w:tabs>
          <w:tab w:leader="none" w:pos="2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clause, phrase or provision of this Agreement, or the application thereof to any person or circumstance, shall be invalid or unenforceable under any applicable law, this shall not affect or render invalid or unenforceable the remainder of this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delivered by hand or messenger, transmitted by facsimile, by reputable overnight courier service, or mailed by registered or certified mail, return receipt requested and postage prepaid, as follows: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Agrify, to:</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Josh Savitz</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josh.savitz@agrify.com</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Frank A. Segall</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Burns &amp; Levinson LLP</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fsegall@burnslev.com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If to Executive, to:</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Thomas Massie</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Matthew L. Mitchell</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Morse, Barnes-Brown &amp; Pendleton, PC</w:t>
      </w:r>
    </w:p>
    <w:p>
      <w:pPr>
        <w:ind w:left="2040"/>
        <w:spacing w:after="0" w:line="192" w:lineRule="auto"/>
        <w:rPr>
          <w:sz w:val="20"/>
          <w:szCs w:val="20"/>
          <w:color w:val="auto"/>
        </w:rPr>
      </w:pPr>
      <w:r>
        <w:rPr>
          <w:rFonts w:ascii="Times New Roman" w:cs="Times New Roman" w:eastAsia="Times New Roman" w:hAnsi="Times New Roman"/>
          <w:sz w:val="18"/>
          <w:szCs w:val="18"/>
          <w:color w:val="auto"/>
        </w:rPr>
        <w:t>480 Totten Pond Road,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204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mmitchell@morse.law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person or address as either of the parties shall hereafter designate to the other from time to time by similar notice.</w:t>
      </w:r>
    </w:p>
    <w:p>
      <w:pPr>
        <w:spacing w:after="0" w:line="225" w:lineRule="exact"/>
        <w:rPr>
          <w:sz w:val="20"/>
          <w:szCs w:val="20"/>
          <w:color w:val="auto"/>
        </w:rPr>
      </w:pPr>
    </w:p>
    <w:p>
      <w:pPr>
        <w:jc w:val="both"/>
        <w:ind w:firstLine="8"/>
        <w:spacing w:after="0" w:line="266" w:lineRule="auto"/>
        <w:tabs>
          <w:tab w:leader="none" w:pos="2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Reporting/Withholding</w:t>
      </w:r>
      <w:r>
        <w:rPr>
          <w:rFonts w:ascii="Times New Roman" w:cs="Times New Roman" w:eastAsia="Times New Roman" w:hAnsi="Times New Roman"/>
          <w:sz w:val="18"/>
          <w:szCs w:val="18"/>
          <w:color w:val="auto"/>
        </w:rPr>
        <w:t>. The Executive acknowledges that any benefit, credit or payment made pursuant to this Agreement, will be subject to applicable withholding taxes under federal, state and local law. In addition, the Executive agrees and acknowledges that the Executive will be responsible for the payment of all federal, state and local taxes owed with respect any benefit provided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8"/>
        <w:spacing w:after="0" w:line="255"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 and Binding Effect</w:t>
      </w:r>
      <w:r>
        <w:rPr>
          <w:rFonts w:ascii="Times New Roman" w:cs="Times New Roman" w:eastAsia="Times New Roman" w:hAnsi="Times New Roman"/>
          <w:sz w:val="18"/>
          <w:szCs w:val="18"/>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88" w:lineRule="exact"/>
        <w:rPr>
          <w:rFonts w:ascii="Times New Roman" w:cs="Times New Roman" w:eastAsia="Times New Roman" w:hAnsi="Times New Roman"/>
          <w:sz w:val="18"/>
          <w:szCs w:val="18"/>
          <w:color w:val="auto"/>
        </w:rPr>
      </w:pPr>
    </w:p>
    <w:p>
      <w:pPr>
        <w:jc w:val="both"/>
        <w:ind w:firstLine="8"/>
        <w:spacing w:after="0" w:line="256" w:lineRule="auto"/>
        <w:tabs>
          <w:tab w:leader="none" w:pos="2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2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along with the provisions of the Employment Agreement which by their terms, impliedly or explicitly extend beyond termination of Executive’s employment with the Company,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8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and Re-execution</w:t>
      </w:r>
      <w:r>
        <w:rPr>
          <w:rFonts w:ascii="Times New Roman" w:cs="Times New Roman" w:eastAsia="Times New Roman" w:hAnsi="Times New Roman"/>
          <w:sz w:val="18"/>
          <w:szCs w:val="18"/>
          <w:color w:val="auto"/>
        </w:rPr>
        <w:t>. On the Separation Date, and as a condition to receiving the benefits under this Agreement, Executive will re-execute and re-affirm this Agreement on the signature line as set forth herein. Executive agrees that his re-execution and re-affirmation of this Agreement will operate to fully and finally release any and all claims you may have against the Company Parties (as set forth in Section 3) from the date of initial execution to the date of this re-execution and re-affirmation.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STATEMENT BY THE EXECUTIVE WHO IS SIGNING BELOW: THE COMPANY HAS ADVISED ME IN WRITING TO CONSULT WITH AN ATTORNEY PRIOR TO EXECUTING THIS AGREEMENT. I HAVE CAREFULLY READ AND FULLY UNDERSTAND THE PROVISIONS OF THIS AGREEMENT AND HAVE HAD SUFFICIENT TIME AND OPPORTUNITY (OVER A PERIOD OF AT LEAST 60 DAYS) TO CONSULT WITH MY PERSONAL TAX, FINANCIAL AND LEGAL ADVISORS PRIOR TO EXECUTING THIS DOCUMENT, AND I INTEND TO BE LEGALLY BOUND BY ITS TERMS. I UNDERSTAND THAT I MAY REVOKE MY SIGNATURE WITHIN TEN BUSINESS (10) DAYS FOLLOWING MY SIGNING. I UNDERSTAND THAT MY RIGHT TO RECEIVE CERTAIN PAYMENTS AND BENEFITS HEREUNDER IS CONTINGENT ON MY SIGNING THIS AGREEMENT AND NOT REVOKING MY SIGNATURE.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c>
          <w:tcPr>
            <w:tcW w:w="6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c>
          <w:tcPr>
            <w:tcW w:w="6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Massie</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6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Re-Affirmed and re-executed:</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Massie</w:t>
            </w:r>
          </w:p>
        </w:tc>
        <w:tc>
          <w:tcPr>
            <w:tcW w:w="6740" w:type="dxa"/>
            <w:vAlign w:val="bottom"/>
            <w:vMerge w:val="restart"/>
          </w:tcPr>
          <w:p>
            <w:pPr>
              <w:jc w:val="right"/>
              <w:ind w:right="5241"/>
              <w:spacing w:after="0"/>
              <w:rPr>
                <w:sz w:val="20"/>
                <w:szCs w:val="20"/>
                <w:color w:val="auto"/>
              </w:rPr>
            </w:pPr>
            <w:r>
              <w:rPr>
                <w:rFonts w:ascii="Times New Roman" w:cs="Times New Roman" w:eastAsia="Times New Roman" w:hAnsi="Times New Roman"/>
                <w:sz w:val="18"/>
                <w:szCs w:val="18"/>
                <w:color w:val="auto"/>
              </w:rPr>
              <w:t>Date: 07/08/2022</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6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18"/>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jc w:val="right"/>
              <w:ind w:right="5461"/>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Strengthens Board of Directors and Executive Leadership Team to Further Advance Long-Term Growth</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Max Holtzman Joins the Board of Directors as Independent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Stuart Wilcox Becomes Chief Operating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Chris Benyo Promoted to Chief Revenue Officer</w:t>
      </w:r>
    </w:p>
    <w:p>
      <w:pPr>
        <w:spacing w:after="0" w:line="22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BILLERICA, Mass., July 14, 2022 </w:t>
      </w:r>
      <w:r>
        <w:rPr>
          <w:rFonts w:ascii="Times New Roman" w:cs="Times New Roman" w:eastAsia="Times New Roman" w:hAnsi="Times New Roman"/>
          <w:sz w:val="18"/>
          <w:szCs w:val="18"/>
          <w:color w:val="auto"/>
        </w:rPr>
        <w:t>– Agrify Corporation (Nasdaq:AGFY) (“Agrify” or the “Company”), the most innovative provider of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cultivation and extraction solutions for the cannabis industry, today announced a number of leadership changes to further support the Company’s growth initiatives.</w:t>
      </w:r>
    </w:p>
    <w:p>
      <w:pPr>
        <w:spacing w:after="0" w:line="175" w:lineRule="exact"/>
        <w:rPr>
          <w:sz w:val="20"/>
          <w:szCs w:val="20"/>
          <w:color w:val="auto"/>
        </w:rPr>
      </w:pPr>
    </w:p>
    <w:p>
      <w:pPr>
        <w:ind w:left="660" w:right="1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 Holtzman, who currently serves as Operations Director at Ocean 14 Capital, and who previously served as the Senior Advisor to the United States Secretary of Agriculture, has been appointed to Agrify’s Board of Directors as an Independent Director.</w:t>
      </w:r>
    </w:p>
    <w:p>
      <w:pPr>
        <w:ind w:left="660" w:right="14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Stuart Wilcox, who is the former Chief Operating Officer of Curaleaf, a leading medical and wellness cannabis operator in the United States, and who, prior to this announcement, served as an Independent Director on Agrify’s Board of Directors and Chair of the Nominating and Corporate Governance Committee, has been named the Company’s Chief Operating Officer. Mr. Wilcox stepped down from the Agrify Board as a Director concurrently with his appointment as Chief Operating Officer.</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Benyo, who joined Agrify in January 2022 and most recently served as Senior Vice President and General Manager for Agrify’s Extraction Division, has been promoted to the newly created role of Chief Revenue Officer in which he will oversee all of the Company’s revenue streams and growth efforts.</w:t>
      </w:r>
    </w:p>
    <w:p>
      <w:pPr>
        <w:spacing w:after="0" w:line="1" w:lineRule="exact"/>
        <w:rPr>
          <w:rFonts w:ascii="Times New Roman" w:cs="Times New Roman" w:eastAsia="Times New Roman" w:hAnsi="Times New Roman"/>
          <w:sz w:val="18"/>
          <w:szCs w:val="18"/>
          <w:color w:val="auto"/>
        </w:rPr>
      </w:pPr>
    </w:p>
    <w:p>
      <w:pPr>
        <w:ind w:left="660" w:right="620" w:hanging="328"/>
        <w:spacing w:after="0" w:line="26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Massie, the Company’s former President and Chief Operating Officer, has departed Agrify and resigned from the Agrify Board of Directors in order to pursue other business opportunities.</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excited to announce these important leadership changes as we continue to make significant progress on our growth strategy and achieving our goal of becoming the most vertically integrated solution provider in the cannabis industry,” said Raymond Chang, Chief Executive Officer and Chairman of the Board of Agrify. “With the appointment of Max to Agrify’s Board of Directors, we are elated to add someone with such impressive and complementary skills and credentials to our team. An attorney by trade, Max has held a number of leadership positions throughout his career, and he has also served as an advisor and strategic consultant in both the public and private sectors, including a six-year period in which he was the Senior Advisor to the United States Secretary of Agriculture. Given his background and wide-ranging professional accomplishments, we expect Max to add significant value as we look to advance our commercialization efforts and capture additional market share. Furthermore, we have already started to expand our geographical footprint with new customer engagements in Portugal and New Zealand, and Max, who has considerable global experience and extensive knowledge on international trade issues, should be able to offer invaluable insight into how we can foster more international growth. We welcome Max to the Agrify family, and we are thrilled to have the opportunity to collaborate with him as we scale our business.”</w:t>
      </w:r>
    </w:p>
    <w:p>
      <w:pPr>
        <w:spacing w:after="0" w:line="1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Mr. Chang continued, “As we seek to achieve accelerated growth and deliver greater value for our shareholders, customers, and employees, we feel as if Stuart is the right person to serve as our new Chief Operating Officer. He is a talented and collaborative leader with extensive experience as an executive and possesses deep domain expertise in the cannabis industry. Stuart, who previously served as Chief Operating Officer at Curaleaf for three years, has been integral to Agrify’s recent success as a member of our Board of Directors, and I am confident, with his expanded role, that he will have an even greater impact on helping the Company deliver strong financial and operational performance over the long term.”</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pleased to have Chris take on a larger role as our new Chief Revenue Officer. Chris is a seasoned sales and marketing executive with a lengthy track record of success in growing revenues across a variety of companies, including during his time at Agrify. Chris’ promotion to Chief Revenue Officer is well deserved and will enable him to develop and implement strategies aimed at optimizing our revenue-generating efforts across our entire organization. We look forward to working with and supporting Chris in his new role as we remain committed to further solidifying our standing as a leading solution provider in the cannabis industry.”</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Mr. Chang concluded, “The Board is grateful for Thomas’ contributions to the Company over the past three years. Thomas’ leadership was very instrumental in helping Agrify drive rapid revenue growth, implement strong operational structure, execute strategic acquisitions, and achieve a successful Initial Public Offering. We wish him continued success in all of his future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About Max Holtzman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Holtzman serves as Operations Director at Ocean 14 Capital, a private equity impact fund focused on the Blue Economy. Mr. Holtzman also serves as the Investments Principal at Pontos Aqua. Pontos Aqua is a founding partner of Ocean 14 Capital. Mr. Holtzman launched the advisory business of Pontos, as well as Pontos’ direct investment in recirculated aquaculture farming (PRC). He managed Pontos’ direct investment in PRC and the private equity and leveraged buyout practice. Additionally, Mr. Holtzman is a founding officer of Stronger America through Seafood, which strives to increase the production of healthy, sustainable, and affordable seafood in the United States.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joining Pontos and Ocean 14, Mr. Holtzman was the Vice Chairman of Capitol Peak Asset Management, which focused on infrastructure projects and companies in Rural America. Prior to Capitol Peak, Mr. Holtzman was appointed by President Obama as the Senior Advisor to the United States Secretary of Agriculture. For six years, Mr. Holtzman advised the Secretary on the development of new public-private partnerships, aquaculture, trade, biotechnology, and international food security. He also served as Acting Deputy Under Secretary for Farm and Foreign Agriculture Services and as Acting Deputy Under Secretary of Marketing and Regulatory Programs. In these roles, Mr. Holtzman represented the United States in its negotiations with the Peoples Republic of China as a four-time Delegate on the Joint Committee on Commerce and Trade, and he was regularly involved with a multitude of international trade issues, trade missions, and trade negotiations. He also served as the United States Chairman of the North American Biotechnology Initiative, which includes the United States, Canada, and Mexico.</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Prior to this appointment, Mr. Holtzman, an attorney for over 25 years, provided strategic consulting to multi-national companies related to transportation infrastructure, project finance, public-private partnerships, health care, and government procurement. He also served as a City Attorney and Special Counsel to several municipalities. Mr. Holtzman is a Board Member of The Arcadia Center for Sustainable Food and Agriculture, he is the Founding Chairman of Adopt-A-Classroom, and he sits on the Global Advisory Council of Secure System. Mr. Holtzman received his undergraduate degree in Agricultural Economics from the University of Florida’s Institute of Food and Agricultural Sciences and his law degree from the University of Miami.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Stuart Wilcox</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Mr. Wilcox originally joined Agrify in February 2021 as an Independent Director. Prior to this announcement, Mr. Wilcox served as the Chair of the Nominating and Corporate Governance Committee, and he also sat on both the Compensation Committee and the Mergers &amp; Acquisitions Committee. Mr. Wilcox is a highly accomplished executive with over 30 years of domestic and international experience, including multiple leadership roles in the cannabis industry. Mr. Wilcox is currently Chairman of the Board of Ora Pharm, an international cannabis company based in New Zealand. He is also on the Advisory Board for Revelation Micro, and he is Managing Partner of NuRevelation, a biotech company based in North Carolina. Previously, Mr. Wilcox spent three years as the Chief Operating Officer of Curaleaf, during which time the company grew into one of the industry’s largest cannabis companies. Mr. Wilcox has been a strong advocate for cannabis, influencing legislation to require product safety certifications for cannabis operators, standardized product testing, and standard operating procedures. He received an undergraduate degree in Engineering from the University of Toledo and a graduate degree in Management and Operations from Central Michigan University.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Chris Benyo</w:t>
      </w:r>
    </w:p>
    <w:p>
      <w:pPr>
        <w:spacing w:after="0" w:line="22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Mr. Benyo originally joined Agrify in January 2022 as Senior Vice President and General Manager of the Company’s Extraction Division. Mr. Benyo is an executive with over 25 years of sales, marketing, and operations experience across multiple industries, including cannabis and technology. Previously, Mr. Benyo was Chief Executive Officer and a Board Member of Lift and Store, LLC, an automated overhead storage solutions company based in Minnesota.</w:t>
      </w:r>
    </w:p>
    <w:p>
      <w:pPr>
        <w:spacing w:after="0" w:line="2"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He also led their Lift and Grow Division, providing cannabis growers with automated systems. Prior to that, Mr. Benyo was Chief Revenue Officer at Conservis, a SaaS provider with a focus on farming. He received an undergraduate degree in Journalism from the University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00" w:lineRule="exact"/>
        <w:rPr>
          <w:sz w:val="20"/>
          <w:szCs w:val="20"/>
          <w:color w:val="auto"/>
        </w:rPr>
      </w:pPr>
    </w:p>
    <w:p>
      <w:pPr>
        <w:spacing w:after="0" w:line="2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Agrify is the most innovative provider of advanced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expectations for the impact the aforementioned executives may have on Agrify’s performance, our efforts to capture additional market share and expand internationally, achievement of accelerated growth, and optimization of our revenue-generating efforts. In some cases, you can identify forward-looking statements by terms such as "plan", "continue", "expect", "project", "intend", "believe", "anticipate", "estimate", "may", "will", "potential", "proposed" and other similar words,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lowerRoman"/>
      <w:start w:val="1"/>
    </w:lvl>
    <w:lvl w:ilvl="1">
      <w:lvlJc w:val="left"/>
      <w:lvlText w:val="%2."/>
      <w:numFmt w:val="decimal"/>
      <w:start w:val="4"/>
    </w:lvl>
  </w:abstractNum>
  <w:abstractNum w:abstractNumId="5">
    <w:nsid w:val="721DA317"/>
    <w:multiLevelType w:val="hybridMultilevel"/>
    <w:lvl w:ilvl="0">
      <w:lvlJc w:val="left"/>
      <w:lvlText w:val="(%1)"/>
      <w:numFmt w:val="lowerRoman"/>
      <w:start w:val="6"/>
    </w:lvl>
    <w:lvl w:ilvl="1">
      <w:lvlJc w:val="left"/>
      <w:lvlText w:val="%2"/>
      <w:numFmt w:val="decimal"/>
      <w:start w:val="1"/>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lowerLetter"/>
      <w:start w:val="1"/>
    </w:lvl>
    <w:lvl w:ilvl="1">
      <w:lvlJc w:val="left"/>
      <w:lvlText w:val="(%2)"/>
      <w:numFmt w:val="lowerRoman"/>
      <w:start w:val="1"/>
    </w:lvl>
  </w:abstractNum>
  <w:abstractNum w:abstractNumId="10">
    <w:nsid w:val="8EDBDAB"/>
    <w:multiLevelType w:val="hybridMultilevel"/>
    <w:lvl w:ilvl="0">
      <w:lvlJc w:val="left"/>
      <w:lvlText w:val="%1"/>
      <w:numFmt w:val="decimal"/>
      <w:start w:val="1"/>
    </w:lvl>
    <w:lvl w:ilvl="1">
      <w:lvlJc w:val="left"/>
      <w:lvlText w:val="(%2)"/>
      <w:numFmt w:val="lowerLetter"/>
      <w:start w:val="2"/>
    </w:lvl>
  </w:abstractNum>
  <w:abstractNum w:abstractNumId="11">
    <w:nsid w:val="79838CB2"/>
    <w:multiLevelType w:val="hybridMultilevel"/>
    <w:lvl w:ilvl="0">
      <w:lvlJc w:val="left"/>
      <w:lvlText w:val="%1."/>
      <w:numFmt w:val="decimal"/>
      <w:start w:val="8"/>
    </w:lvl>
    <w:lvl w:ilvl="1">
      <w:lvlJc w:val="left"/>
      <w:lvlText w:val="%2"/>
      <w:numFmt w:val="lowerLetter"/>
      <w:start w:val="1"/>
    </w:lvl>
  </w:abstractNum>
  <w:abstractNum w:abstractNumId="12">
    <w:nsid w:val="4353D0CD"/>
    <w:multiLevelType w:val="hybridMultilevel"/>
    <w:lvl w:ilvl="0">
      <w:lvlJc w:val="left"/>
      <w:lvlText w:val="%1."/>
      <w:numFmt w:val="decimal"/>
      <w:start w:val="10"/>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3"/>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7">
    <w:nsid w:val="2CA8861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8">
    <w:nsid w:val="836C40E"/>
    <w:multiLevelType w:val="hybridMultilevel"/>
    <w:lvl w:ilvl="0">
      <w:lvlJc w:val="left"/>
      <w:lvlText w:val="%1"/>
      <w:numFmt w:val="lowerRoman"/>
      <w:start w:val="1"/>
    </w:lvl>
    <w:lvl w:ilvl="1">
      <w:lvlJc w:val="left"/>
      <w:lvlText w:val="%2."/>
      <w:numFmt w:val="decimal"/>
      <w:start w:val="12"/>
    </w:lvl>
  </w:abstractNum>
  <w:abstractNum w:abstractNumId="19">
    <w:nsid w:val="2901D82"/>
    <w:multiLevelType w:val="hybridMultilevel"/>
    <w:lvl w:ilvl="0">
      <w:lvlJc w:val="left"/>
      <w:lvlText w:val="(%1)"/>
      <w:numFmt w:val="lowerRoman"/>
      <w:start w:val="1"/>
    </w:lvl>
    <w:lvl w:ilvl="1">
      <w:lvlJc w:val="left"/>
      <w:lvlText w:val="%2"/>
      <w:numFmt w:val="decimal"/>
      <w:start w:val="1"/>
    </w:lvl>
  </w:abstractNum>
  <w:abstractNum w:abstractNumId="20">
    <w:nsid w:val="3A95F874"/>
    <w:multiLevelType w:val="hybridMultilevel"/>
    <w:lvl w:ilvl="0">
      <w:lvlJc w:val="left"/>
      <w:lvlText w:val="%1."/>
      <w:numFmt w:val="decimal"/>
      <w:start w:val="13"/>
    </w:lvl>
  </w:abstractNum>
  <w:abstractNum w:abstractNumId="21">
    <w:nsid w:val="8138641"/>
    <w:multiLevelType w:val="hybridMultilevel"/>
    <w:lvl w:ilvl="0">
      <w:lvlJc w:val="left"/>
      <w:lvlText w:val="%1."/>
      <w:numFmt w:val="decimal"/>
      <w:start w:val="15"/>
    </w:lvl>
  </w:abstractNum>
  <w:abstractNum w:abstractNumId="22">
    <w:nsid w:val="1E7FF521"/>
    <w:multiLevelType w:val="hybridMultilevel"/>
    <w:lvl w:ilvl="0">
      <w:lvlJc w:val="left"/>
      <w:lvlText w:val="%1."/>
      <w:numFmt w:val="decimal"/>
      <w:start w:val="17"/>
    </w:lvl>
  </w:abstractNum>
  <w:abstractNum w:abstractNumId="23">
    <w:nsid w:val="7C3DBD3D"/>
    <w:multiLevelType w:val="hybridMultilevel"/>
    <w:lvl w:ilvl="0">
      <w:lvlJc w:val="left"/>
      <w:lvlText w:val="%1."/>
      <w:numFmt w:val="decimal"/>
      <w:start w:val="18"/>
    </w:lvl>
  </w:abstractNum>
  <w:abstractNum w:abstractNumId="24">
    <w:nsid w:val="737B8DDC"/>
    <w:multiLevelType w:val="hybridMultilevel"/>
    <w:lvl w:ilvl="0">
      <w:lvlJc w:val="left"/>
      <w:lvlText w:val="(%1)"/>
      <w:numFmt w:val="lowerLetter"/>
      <w:start w:val="1"/>
    </w:lvl>
    <w:lvl w:ilvl="1">
      <w:lvlJc w:val="left"/>
      <w:lvlText w:val="(%2)"/>
      <w:numFmt w:val="lowerRoman"/>
      <w:start w:val="1"/>
    </w:lvl>
  </w:abstractNum>
  <w:abstractNum w:abstractNumId="25">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
    <w:nsid w:val="22221A70"/>
    <w:multiLevelType w:val="hybridMultilevel"/>
    <w:lvl w:ilvl="0">
      <w:lvlJc w:val="left"/>
      <w:lvlText w:val="(%1)"/>
      <w:numFmt w:val="lowerLetter"/>
      <w:start w:val="3"/>
    </w:lvl>
  </w:abstractNum>
  <w:abstractNum w:abstractNumId="27">
    <w:nsid w:val="4516DDE9"/>
    <w:multiLevelType w:val="hybridMultilevel"/>
    <w:lvl w:ilvl="0">
      <w:lvlJc w:val="left"/>
      <w:lvlText w:val="%1"/>
      <w:numFmt w:val="decimal"/>
      <w:start w:val="1"/>
    </w:lvl>
    <w:lvl w:ilvl="1">
      <w:lvlJc w:val="left"/>
      <w:lvlText w:val="%2."/>
      <w:numFmt w:val="lowerRoman"/>
      <w:start w:val="1"/>
    </w:lvl>
  </w:abstractNum>
  <w:abstractNum w:abstractNumId="28">
    <w:nsid w:val="3006C83E"/>
    <w:multiLevelType w:val="hybridMultilevel"/>
    <w:lvl w:ilvl="0">
      <w:lvlJc w:val="left"/>
      <w:lvlText w:val="%1."/>
      <w:numFmt w:val="decimal"/>
      <w:start w:val="3"/>
    </w:lvl>
    <w:lvl w:ilvl="1">
      <w:lvlJc w:val="left"/>
      <w:lvlText w:val="%2"/>
      <w:numFmt w:val="lowerRoman"/>
      <w:start w:val="1"/>
    </w:lvl>
  </w:abstractNum>
  <w:abstractNum w:abstractNumId="29">
    <w:nsid w:val="614FD4A1"/>
    <w:multiLevelType w:val="hybridMultilevel"/>
    <w:lvl w:ilvl="0">
      <w:lvlJc w:val="left"/>
      <w:lvlText w:val="%1"/>
      <w:numFmt w:val="decimal"/>
      <w:start w:val="1"/>
    </w:lvl>
    <w:lvl w:ilvl="1">
      <w:lvlJc w:val="left"/>
      <w:lvlText w:val="%2."/>
      <w:numFmt w:val="lowerLetter"/>
      <w:start w:val="1"/>
    </w:lvl>
  </w:abstractNum>
  <w:abstractNum w:abstractNumId="30">
    <w:nsid w:val="419AC241"/>
    <w:multiLevelType w:val="hybridMultilevel"/>
    <w:lvl w:ilvl="0">
      <w:lvlJc w:val="left"/>
      <w:lvlText w:val="%1."/>
      <w:numFmt w:val="decimal"/>
      <w:start w:val="4"/>
    </w:lvl>
    <w:lvl w:ilvl="1">
      <w:lvlJc w:val="left"/>
      <w:lvlText w:val="%2"/>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decimal"/>
      <w:start w:val="7"/>
    </w:lvl>
  </w:abstractNum>
  <w:abstractNum w:abstractNumId="33">
    <w:nsid w:val="5072367"/>
    <w:multiLevelType w:val="hybridMultilevel"/>
    <w:lvl w:ilvl="0">
      <w:lvlJc w:val="left"/>
      <w:lvlText w:val="%1."/>
      <w:numFmt w:val="decimal"/>
      <w:start w:val="8"/>
    </w:lvl>
    <w:lvl w:ilvl="1">
      <w:lvlJc w:val="left"/>
      <w:lvlText w:val="%2."/>
      <w:numFmt w:val="lowerLetter"/>
      <w:start w:val="1"/>
    </w:lvl>
  </w:abstractNum>
  <w:abstractNum w:abstractNumId="34">
    <w:nsid w:val="3804823E"/>
    <w:multiLevelType w:val="hybridMultilevel"/>
    <w:lvl w:ilvl="0">
      <w:lvlJc w:val="left"/>
      <w:lvlText w:val="%1."/>
      <w:numFmt w:val="decimal"/>
      <w:start w:val="15"/>
    </w:lvl>
  </w:abstractNum>
  <w:abstractNum w:abstractNumId="35">
    <w:nsid w:val="77465F01"/>
    <w:multiLevelType w:val="hybridMultilevel"/>
    <w:lvl w:ilvl="0">
      <w:lvlJc w:val="left"/>
      <w:lvlText w:val="%1."/>
      <w:numFmt w:val="decimal"/>
      <w:start w:val="19"/>
    </w:lvl>
  </w:abstractNum>
  <w:abstractNum w:abstractNumId="36">
    <w:nsid w:val="7724C67E"/>
    <w:multiLevelType w:val="hybridMultilevel"/>
    <w:lvl w:ilvl="0">
      <w:lvlJc w:val="left"/>
      <w:lvlText w:val="%1."/>
      <w:numFmt w:val="decimal"/>
      <w:start w:val="20"/>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2022-07-14T15:59:38Z</dcterms:created>
  <dcterms:modified xsi:type="dcterms:W3CDTF">2022-07-14T15:59:38Z</dcterms:modified>
</cp:coreProperties>
</file>