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9074-8k_rythm.htm"/>
      <w:bookmarkStart w:id="1" w:name="ksea02890748k_rythm"/>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5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RYTHM,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505"/>
            <w:bookmarkEnd w:id="6"/>
            <w:r>
              <w:rPr>
                <w:rFonts w:ascii="Times New Roman;Times;Serif" w:hAnsi="Times New Roman;Times;Serif"/>
                <w:b/>
                <w:i w:val="false"/>
                <w:caps w:val="false"/>
                <w:smallCaps w:val="false"/>
                <w:sz w:val="20"/>
              </w:rPr>
              <w:t>001-39946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30-0943453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2220 Hicks Road, </w:t>
            </w:r>
            <w:bookmarkStart w:id="9" w:name="xdx_908_edei--EntityAddressAddressLine2_"/>
            <w:bookmarkEnd w:id="9"/>
            <w:r>
              <w:rPr>
                <w:rFonts w:ascii="Times New Roman;Times;Serif" w:hAnsi="Times New Roman;Times;Serif"/>
                <w:b/>
                <w:i w:val="false"/>
                <w:caps w:val="false"/>
                <w:smallCaps w:val="false"/>
                <w:sz w:val="20"/>
              </w:rPr>
              <w:t>Suite 210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Rolling Meadows, </w:t>
            </w:r>
            <w:bookmarkStart w:id="11" w:name="xdx_90C_edei--EntityAddressStateOrProvin"/>
            <w:bookmarkEnd w:id="11"/>
            <w:r>
              <w:rPr>
                <w:rFonts w:ascii="Times New Roman;Times;Serif" w:hAnsi="Times New Roman;Times;Serif"/>
                <w:b/>
                <w:i w:val="false"/>
                <w:caps w:val="false"/>
                <w:smallCaps w:val="false"/>
                <w:sz w:val="20"/>
              </w:rPr>
              <w:t>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4_edei--EntityAddressPostalZipCode"/>
            <w:bookmarkEnd w:id="12"/>
            <w:r>
              <w:rPr>
                <w:rFonts w:ascii="Times New Roman;Times;Serif" w:hAnsi="Times New Roman;Times;Serif"/>
                <w:b/>
                <w:i w:val="false"/>
                <w:caps w:val="false"/>
                <w:smallCaps w:val="false"/>
                <w:sz w:val="20"/>
              </w:rPr>
              <w:t>60068</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E_edei--CityAreaCode_c20260505__20"/>
      <w:bookmarkEnd w:id="13"/>
      <w:r>
        <w:rPr>
          <w:rFonts w:ascii="Times New Roman;Times;Serif" w:hAnsi="Times New Roman;Times;Serif"/>
          <w:b/>
          <w:i w:val="false"/>
          <w:caps w:val="false"/>
          <w:smallCaps w:val="false"/>
          <w:sz w:val="20"/>
        </w:rPr>
        <w:t xml:space="preserve">(855) </w:t>
      </w:r>
      <w:bookmarkStart w:id="14" w:name="xdx_90F_edei--LocalPhoneNumber_c20260505"/>
      <w:bookmarkEnd w:id="14"/>
      <w:r>
        <w:rPr>
          <w:rFonts w:ascii="Times New Roman;Times;Serif" w:hAnsi="Times New Roman;Times;Serif"/>
          <w:b/>
          <w:i w:val="false"/>
          <w:caps w:val="false"/>
          <w:smallCaps w:val="false"/>
          <w:sz w:val="20"/>
        </w:rPr>
        <w:t>420-0020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C_edei--SolicitingMaterial_c202605"/>
            <w:bookmarkEnd w:id="16"/>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A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8"/>
        <w:jc w:val="left"/>
        <w:rPr>
          <w:caps w:val="false"/>
          <w:smallCaps w:val="false"/>
        </w:rPr>
      </w:pPr>
      <w:r>
        <w:rPr>
          <w:caps w:val="false"/>
          <w:smallCaps w:val="false"/>
        </w:rPr>
        <w:t> </w:t>
      </w:r>
    </w:p>
    <w:p>
      <w:pPr>
        <w:pStyle w:val="TextBody"/>
        <w:bidi w:val="0"/>
        <w:spacing w:before="0" w:after="0"/>
        <w:ind w:left="0" w:right="0" w:firstLine="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15"/>
        <w:gridCol w:w="60"/>
        <w:gridCol w:w="1580"/>
        <w:gridCol w:w="60"/>
        <w:gridCol w:w="37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60505"/>
            <w:bookmarkEnd w:id="19"/>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505__2"/>
            <w:bookmarkEnd w:id="20"/>
            <w:r>
              <w:rPr>
                <w:rFonts w:ascii="Times New Roman;Times;Serif" w:hAnsi="Times New Roman;Times;Serif"/>
                <w:b w:val="false"/>
                <w:i w:val="false"/>
                <w:caps w:val="false"/>
                <w:smallCaps w:val="false"/>
                <w:sz w:val="20"/>
              </w:rPr>
              <w:t>RYM</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D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RYTHM, Inc. (the “Company”) issued a press release announcing financial results for the quarter ended March 31, 2026. A copy of the release is attached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shd w:fill="FFFFFF" w:val="clear"/>
        <w:tblLayout w:type="fixed"/>
        <w:tblCellMar>
          <w:top w:w="0" w:type="dxa"/>
          <w:left w:w="0" w:type="dxa"/>
          <w:bottom w:w="28" w:type="dxa"/>
          <w:right w:w="0" w:type="dxa"/>
        </w:tblCellMar>
      </w:tblPr>
      <w:tblGrid>
        <w:gridCol w:w="680"/>
        <w:gridCol w:w="60"/>
        <w:gridCol w:w="6530"/>
      </w:tblGrid>
      <w:tr>
        <w:trPr/>
        <w:tc>
          <w:tcPr>
            <w:tcW w:w="680" w:type="dxa"/>
            <w:tcBorders>
              <w:bottom w:val="single" w:sz="12" w:space="0" w:color="000000"/>
            </w:tcBorders>
            <w:shd w:fill="FFFFFF" w:val="clear"/>
            <w:vAlign w:val="center"/>
          </w:tcPr>
          <w:p>
            <w:pPr>
              <w:pStyle w:val="TableContents"/>
              <w:bidi w:val="0"/>
              <w:spacing w:before="0" w:after="283"/>
              <w:jc w:val="left"/>
              <w:rPr>
                <w:sz w:val="20"/>
              </w:rPr>
            </w:pPr>
            <w:r>
              <w:rPr>
                <w:sz w:val="20"/>
              </w:rPr>
              <w:t>Exhibit</w:t>
              <w:b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shd w:fill="FFFFFF" w:val="clear"/>
            <w:vAlign w:val="center"/>
          </w:tcPr>
          <w:p>
            <w:pPr>
              <w:pStyle w:val="TableContents"/>
              <w:bidi w:val="0"/>
              <w:spacing w:before="0" w:after="283"/>
              <w:jc w:val="left"/>
              <w:rPr>
                <w:sz w:val="20"/>
              </w:rPr>
            </w:pPr>
            <w:r>
              <w:rPr>
                <w:sz w:val="20"/>
              </w:rPr>
              <w:t>Title</w:t>
            </w:r>
          </w:p>
        </w:tc>
      </w:tr>
      <w:tr>
        <w:trPr/>
        <w:tc>
          <w:tcPr>
            <w:tcW w:w="68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8907401ex99-1.htm">
              <w:r>
                <w:rPr>
                  <w:rStyle w:val="InternetLink"/>
                  <w:sz w:val="20"/>
                </w:rPr>
                <w:t>Press Release of RYTHM, Inc. dated May 5, 2026</w:t>
              </w:r>
            </w:hyperlink>
          </w:p>
        </w:tc>
      </w:tr>
      <w:tr>
        <w:trPr/>
        <w:tc>
          <w:tcPr>
            <w:tcW w:w="68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1550"/>
        <w:gridCol w:w="320"/>
        <w:gridCol w:w="1895"/>
      </w:tblGrid>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Brad Asher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 Asher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7200" w:right="0" w:hanging="0"/>
        <w:jc w:val="left"/>
        <w:rPr>
          <w:caps w:val="false"/>
          <w:smallCaps w:val="false"/>
        </w:rPr>
      </w:pPr>
      <w:r>
        <w:rPr>
          <w:caps w:val="false"/>
          <w:smallCaps w:val="false"/>
        </w:rPr>
        <w:t> </w:t>
      </w:r>
    </w:p>
    <w:p>
      <w:pPr>
        <w:pStyle w:val="TextBody"/>
        <w:bidi w:val="0"/>
        <w:spacing w:before="0" w:after="0"/>
        <w:ind w:left="72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0" w:right="0" w:hanging="0"/>
        <w:jc w:val="left"/>
        <w:rPr>
          <w:caps w:val="false"/>
          <w:smallCaps w:val="false"/>
        </w:rPr>
      </w:pPr>
      <w:r>
        <w:rPr>
          <w:caps w:val="false"/>
          <w:smallCaps w:val="false"/>
        </w:rPr>
        <w:t> </w:t>
      </w:r>
    </w:p>
    <w:p>
      <w:pPr>
        <w:pStyle w:val="TextBody"/>
        <w:bidi w:val="0"/>
        <w:jc w:val="right"/>
        <w:rPr>
          <w:b/>
        </w:rPr>
      </w:pPr>
      <w:bookmarkStart w:id="24" w:name="ea028907401ex99-1.htm"/>
      <w:bookmarkStart w:id="25" w:name="ksea028907401ex991"/>
      <w:bookmarkEnd w:id="24"/>
      <w:bookmarkEnd w:id="25"/>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574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5524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 Reports First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ROLLING MEADOWS, IL, May 5, 2026 (GLOBE NEWSWIRE) RYTHM, Inc. (Nasdaq: RYM) (“RYTHM” or the “Company”), America’s THC Company whose portfolio of trusted THC brands includes RYTHM, Señorita, incredibles, Beboe, and Dogwalkers, today announced financial results for the first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for the first quarter ended March 31, 2026:</w:t>
      </w:r>
    </w:p>
    <w:p>
      <w:pPr>
        <w:pStyle w:val="TextBody"/>
        <w:bidi w:val="0"/>
        <w:spacing w:before="0" w:after="0"/>
        <w:ind w:left="547" w:right="0" w:hanging="36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left"/>
              <w:rPr/>
            </w:pPr>
            <w:r>
              <w:rPr/>
              <w:t>Revenue from continuing operations of $13.3 million, up 24% from $10.7 million in the prior quarter.</w:t>
            </w:r>
          </w:p>
        </w:tc>
      </w:tr>
    </w:tbl>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Gross profit from continuing operations of $10.4 million, or 78% of revenue, compared to $8.0 million, or 75% of revenue, in the prior quarter.</w:t>
            </w:r>
          </w:p>
        </w:tc>
      </w:tr>
    </w:tbl>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Net income from continuing operations of $19.9 million, driven by a $25.6 million non-cash income tax benefit.</w:t>
            </w:r>
          </w:p>
        </w:tc>
      </w:tr>
    </w:tbl>
    <w:p>
      <w:pPr>
        <w:pStyle w:val="TextBody"/>
        <w:bidi w:val="0"/>
        <w:spacing w:before="0" w:after="0"/>
        <w:ind w:left="547" w:right="0" w:hanging="36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left"/>
              <w:rPr/>
            </w:pPr>
            <w:r>
              <w:rPr/>
              <w:t>Adjusted EBITDA approximately breakeven with cash flow from operations of $1.0 million.</w:t>
            </w:r>
          </w:p>
        </w:tc>
      </w:tr>
    </w:tbl>
    <w:p>
      <w:pPr>
        <w:pStyle w:val="TextBody"/>
        <w:bidi w:val="0"/>
        <w:spacing w:before="0" w:after="0"/>
        <w:ind w:left="547" w:right="0" w:hanging="36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left"/>
              <w:rPr/>
            </w:pPr>
            <w:r>
              <w:rPr/>
              <w:t>Cash balance of $33.3 million.</w:t>
            </w:r>
          </w:p>
        </w:tc>
      </w:tr>
    </w:tbl>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At quarter end, the Company had approximately 2.1 million shares outstanding, as well as 11.0 million warrants outstanding and 3.0 million shares issuable upon conversion of outstanding convertible notes (excluding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See definitions and reconciliation of non-GAAP measures elsewhere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 and Second Quarter 2026 Outlook</w:t>
      </w:r>
    </w:p>
    <w:p>
      <w:pPr>
        <w:pStyle w:val="TextBody"/>
        <w:bidi w:val="0"/>
        <w:spacing w:before="0" w:after="0"/>
        <w:ind w:left="547"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Amended brand intellectual property license agreements with Green Thumb Industries Inc. to establish fixed annual cash licensing fees of $70 million, with annual increases tied to inflation.</w:t>
            </w:r>
          </w:p>
        </w:tc>
      </w:tr>
    </w:tbl>
    <w:p>
      <w:pPr>
        <w:pStyle w:val="TextBody"/>
        <w:bidi w:val="0"/>
        <w:spacing w:before="0" w:after="0"/>
        <w:ind w:left="547" w:right="0" w:hanging="36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pPr>
            <w:r>
              <w:rPr/>
              <w:t>Expanded incredibles offerings to include Peanut Buddah Cups and Strawberry Supernova Comets.</w:t>
            </w:r>
          </w:p>
        </w:tc>
      </w:tr>
    </w:tbl>
    <w:p>
      <w:pPr>
        <w:pStyle w:val="TextBody"/>
        <w:bidi w:val="0"/>
        <w:spacing w:before="0" w:after="0"/>
        <w:ind w:left="547" w:right="0" w:hanging="360"/>
        <w:jc w:val="left"/>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pPr>
            <w:r>
              <w:rPr/>
              <w:t>Launched 1777 by Señorita, the Company’s first non-alcoholic hemp-derived THC spirit.</w:t>
            </w:r>
          </w:p>
        </w:tc>
      </w:tr>
    </w:tbl>
    <w:p>
      <w:pPr>
        <w:pStyle w:val="TextBody"/>
        <w:bidi w:val="0"/>
        <w:spacing w:before="0" w:after="0"/>
        <w:ind w:left="5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Company expects second quarter 2026 revenues of approximately $22 million, representing 65% sequential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RYTHM carried momentum into 2026, delivering 24% sequential revenue growth and 78% gross margin in the first quarter, ending the period with approximately $33 million in cash,” said RYTHM, Inc. Chairman and Interim Chief Executive Officer Ben Kovler. “Together with our long-term licensing structure that provides predictable annual revenue, we are building a strong foundation to serve growing consumer demand for THC. RYTHM is America’s THC Company, and as a Nasdaq-listed company with a portfolio of leading THC brands, RYTHM has a differentiated position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According to BDSA, the nation’s leading data source for the cannabis industry, RYTHM-licensed brands continued to lead key categories in the first quarter of 2026, with RYTHM ranking number one nationally in branded flower and Dogwalkers ranking number one nationally in uninfused pre-rolls. Brand leadership is important. We have brands consumers trust, and through our licensing relationship with Green Thumb, we have a structure we believe can realize that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Consumer demand for THC beverages remains strong, even as a potential federal hemp ban looms. Americans want safe, trusted THC in accessible locations, and we are delivering. From convenience and grocery stores to arenas and concert venues, RYTHM brands are available where American consumers shop. THC beverages are emerging as a major category, with Señorita and RYTHM leading the way. New products are continuing to hit shelves, like 1777 by Señorita, our first non-alcoholic THC spirit, which had a successful launch at the end of April. With brands built to lead across regulated and direct-to-consumer channels, RYTHM has multiple paths to build long-term value, and we have a great team to make it all happen.”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products are available direct to consumers at the following web pages:</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left"/>
              <w:rPr/>
            </w:pPr>
            <w:r>
              <w:rPr/>
              <w:t>Señorita THC Margaritas: https://www.senoritadrinks.com/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bl>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1777 by Señorita: https://www.1777spirit.com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r>
    </w:tbl>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pPr>
            <w:r>
              <w:rPr/>
              <w:t>RYTHM Beverages: https://rythmdrinks.com/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bl>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pPr>
            <w:r>
              <w:rPr/>
              <w:t>incredibles: https://iloveincredibles.com/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non-GAAP financial measures as defined by the U.S. Securities and Exchange Commission. Reconciliations of these non-GAAP financial measures to the most directly comparable financial measure calculated and presented in accordance with generally accepted accounting principles (“GAAP”) are included in the financial schedules attached to this press release. This information should be considered as supplemental in nature and not as a substitute for, or superior to, any measure of performance prepared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Income (loss) from continuing operations before: net interest (expense) income, provision for income taxes, and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w:t>
      </w:r>
      <w:r>
        <w:rPr>
          <w:rFonts w:ascii="Times New Roman;Times;Serif" w:hAnsi="Times New Roman;Times;Serif"/>
          <w:b w:val="false"/>
          <w:i w:val="false"/>
          <w:caps w:val="false"/>
          <w:smallCaps w:val="false"/>
          <w:sz w:val="20"/>
        </w:rPr>
        <w:t>: EBITDA before stock-based compensation and change in fair value of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RYTHM,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RYTHM, Inc.’s portfolio of THC brands includes the most recognized and trusted names in the cannabis and hemp industries, including RYTHM, incredibles, Dogwalkers, Beboe, Señorita THC Margaritas, &amp;Shine, Doctor Solomon’s, and Good Green. With products available in thousands of physical locations and online, supported by an iconic lineup of brands rooted in quality and safety, RYTHM, Inc. is cementing its position as America’s THC Company. Through a focus on innovation, the Company is continually shaping THC experiences to meet the evolving preferences of consumers across the country. Learn more and explore the full brand portfolio at https://rythminc.com/.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concerning RYTHM, Inc. and other matters. All statements contained in this press release that do not relate to matters of historical fact should be considered forward-looking statements including, without limitation, statements regarding future financial results, regulatory trends, potential annual licensing revenue, continued momentum for hemp-derived beverages, potential trends in the hemp-derived beverage and alcohol markets, and consumer trends. In some cases, you can identify forward-looking statements by terms such as “may,” “will,” “should,” “expects,” “plans,” “anticipates,” “could,” “intends,” “targets,” “projects,” “contemplates,” “believes,” “estimates,” “predicts,” “potential,” “opportunity,” “looms”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the risk that Congress does not amend or repeal the pending federal prohibition on hemp-derived THC products prior to its November 2026 effective date as well as those described in our filings with the Securities and Exchange Commission (“SEC”), including under the caption “Risk Factors” in our most recent Annual Report on Form 10-K,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IR@RYTHMinc.com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Media@RYTHMinc.com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from Unaudited Condensed Consolidated Statements of Operations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(Amounts Expressed in Thousands of United States Dollars, Except for Share Amounts)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3"/>
        <w:gridCol w:w="60"/>
        <w:gridCol w:w="145"/>
        <w:gridCol w:w="1027"/>
        <w:gridCol w:w="95"/>
        <w:gridCol w:w="60"/>
        <w:gridCol w:w="145"/>
        <w:gridCol w:w="1027"/>
        <w:gridCol w:w="113"/>
      </w:tblGrid>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3" w:type="dxa"/>
            <w:tcBorders/>
            <w:vAlign w:val="center"/>
          </w:tcPr>
          <w:p>
            <w:pPr>
              <w:pStyle w:val="TableContents"/>
              <w:bidi w:val="0"/>
              <w:spacing w:before="0" w:after="283"/>
              <w:jc w:val="left"/>
              <w:rPr/>
            </w:pPr>
            <w:r>
              <w:rPr/>
              <w:t> </w:t>
            </w:r>
          </w:p>
        </w:tc>
      </w:tr>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bidi w:val="0"/>
              <w:spacing w:before="0" w:after="283"/>
              <w:jc w:val="center"/>
              <w:rPr>
                <w:i/>
              </w:rPr>
            </w:pPr>
            <w:r>
              <w:rPr>
                <w:i/>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bidi w:val="0"/>
              <w:spacing w:before="0" w:after="283"/>
              <w:jc w:val="center"/>
              <w:rPr>
                <w:i/>
              </w:rPr>
            </w:pPr>
            <w:r>
              <w:rPr>
                <w:i/>
              </w:rPr>
              <w:t>(Unaudited)</w:t>
            </w:r>
          </w:p>
        </w:tc>
        <w:tc>
          <w:tcPr>
            <w:tcW w:w="113" w:type="dxa"/>
            <w:tcBorders/>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pPr>
            <w:r>
              <w:rPr/>
              <w:t xml:space="preserve">Revenue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13,286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538</w:t>
            </w:r>
          </w:p>
        </w:tc>
        <w:tc>
          <w:tcPr>
            <w:tcW w:w="113"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2,889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448</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10,397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113"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14,431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3,791</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b/>
              </w:rPr>
            </w:pPr>
            <w:r>
              <w:rPr>
                <w:b/>
              </w:rPr>
              <w:t>Operating loss from continuing operations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(4,034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(3,701</w:t>
            </w:r>
          </w:p>
        </w:tc>
        <w:tc>
          <w:tcPr>
            <w:tcW w:w="113" w:type="dxa"/>
            <w:tcBorders/>
            <w:shd w:fill="CCEEFF" w:val="clear"/>
            <w:vAlign w:val="center"/>
          </w:tcPr>
          <w:p>
            <w:pPr>
              <w:pStyle w:val="TableContents"/>
              <w:bidi w:val="0"/>
              <w:spacing w:before="0" w:after="283"/>
              <w:jc w:val="left"/>
              <w:rPr/>
            </w:pPr>
            <w:r>
              <w:rPr/>
              <w:t>)</w:t>
            </w:r>
          </w:p>
        </w:tc>
      </w:tr>
      <w:tr>
        <w:trPr/>
        <w:tc>
          <w:tcPr>
            <w:tcW w:w="7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b/>
              </w:rPr>
            </w:pPr>
            <w:r>
              <w:rPr>
                <w:b/>
              </w:rPr>
              <w:t>Other (expense) income, net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(1,637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427</w:t>
            </w:r>
          </w:p>
        </w:tc>
        <w:tc>
          <w:tcPr>
            <w:tcW w:w="113"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b/>
              </w:rPr>
            </w:pPr>
            <w:r>
              <w:rPr>
                <w:b/>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(5,671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(3,274</w:t>
            </w:r>
          </w:p>
        </w:tc>
        <w:tc>
          <w:tcPr>
            <w:tcW w:w="113" w:type="dxa"/>
            <w:tcBorders/>
            <w:shd w:fill="FFFFFF" w:val="clear"/>
            <w:vAlign w:val="center"/>
          </w:tcPr>
          <w:p>
            <w:pPr>
              <w:pStyle w:val="TableContents"/>
              <w:bidi w:val="0"/>
              <w:spacing w:before="0" w:after="283"/>
              <w:jc w:val="left"/>
              <w:rPr/>
            </w:pPr>
            <w:r>
              <w:rPr/>
              <w:t>)</w:t>
            </w:r>
          </w:p>
        </w:tc>
      </w:tr>
      <w:tr>
        <w:trPr/>
        <w:tc>
          <w:tcPr>
            <w:tcW w:w="7533"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25,593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b/>
              </w:rPr>
            </w:pPr>
            <w:r>
              <w:rPr>
                <w:b/>
              </w:rPr>
              <w:t>Income (loss) from continuing operations, net of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19,922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(3,274</w:t>
            </w:r>
          </w:p>
        </w:tc>
        <w:tc>
          <w:tcPr>
            <w:tcW w:w="113" w:type="dxa"/>
            <w:tcBorders/>
            <w:shd w:fill="FFFFFF" w:val="clear"/>
            <w:vAlign w:val="center"/>
          </w:tcPr>
          <w:p>
            <w:pPr>
              <w:pStyle w:val="TableContents"/>
              <w:bidi w:val="0"/>
              <w:spacing w:before="0" w:after="283"/>
              <w:jc w:val="left"/>
              <w:rPr/>
            </w:pPr>
            <w:r>
              <w:rPr/>
              <w:t>)</w:t>
            </w:r>
          </w:p>
        </w:tc>
      </w:tr>
      <w:tr>
        <w:trPr/>
        <w:tc>
          <w:tcPr>
            <w:tcW w:w="7533" w:type="dxa"/>
            <w:tcBorders/>
            <w:shd w:fill="CCEEFF" w:val="clear"/>
            <w:vAlign w:val="center"/>
          </w:tcPr>
          <w:p>
            <w:pPr>
              <w:pStyle w:val="TableContents"/>
              <w:bidi w:val="0"/>
              <w:spacing w:before="0" w:after="283"/>
              <w:jc w:val="left"/>
              <w:rPr>
                <w:b/>
              </w:rPr>
            </w:pPr>
            <w:r>
              <w:rPr>
                <w:b/>
              </w:rPr>
              <w:t>Income from discontinued operations, net of income taxes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1,648</w:t>
            </w:r>
          </w:p>
        </w:tc>
        <w:tc>
          <w:tcPr>
            <w:tcW w:w="113"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19,922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(1,626</w:t>
            </w:r>
          </w:p>
        </w:tc>
        <w:tc>
          <w:tcPr>
            <w:tcW w:w="113" w:type="dxa"/>
            <w:tcBorders/>
            <w:shd w:fill="CCEEFF" w:val="clear"/>
            <w:vAlign w:val="center"/>
          </w:tcPr>
          <w:p>
            <w:pPr>
              <w:pStyle w:val="TableContents"/>
              <w:bidi w:val="0"/>
              <w:spacing w:before="0" w:after="283"/>
              <w:jc w:val="left"/>
              <w:rPr/>
            </w:pPr>
            <w:r>
              <w:rPr/>
              <w:t>)</w:t>
            </w:r>
          </w:p>
        </w:tc>
      </w:tr>
      <w:tr>
        <w:trPr/>
        <w:tc>
          <w:tcPr>
            <w:tcW w:w="7533" w:type="dxa"/>
            <w:tcBorders/>
            <w:shd w:fill="FFFFFF" w:val="clear"/>
            <w:vAlign w:val="center"/>
          </w:tcPr>
          <w:p>
            <w:pPr>
              <w:pStyle w:val="TableContents"/>
              <w:bidi w:val="0"/>
              <w:spacing w:before="0" w:after="283"/>
              <w:jc w:val="left"/>
              <w:rPr>
                <w:b/>
              </w:rPr>
            </w:pPr>
            <w:r>
              <w:rPr>
                <w:b/>
              </w:rPr>
              <w:t>Basic income (loss) per share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(1.68</w:t>
            </w:r>
          </w:p>
        </w:tc>
        <w:tc>
          <w:tcPr>
            <w:tcW w:w="113" w:type="dxa"/>
            <w:tcBorders/>
            <w:shd w:fill="CCEEFF" w:val="clear"/>
            <w:vAlign w:val="center"/>
          </w:tcPr>
          <w:p>
            <w:pPr>
              <w:pStyle w:val="TableContents"/>
              <w:bidi w:val="0"/>
              <w:spacing w:before="0" w:after="283"/>
              <w:jc w:val="left"/>
              <w:rPr/>
            </w:pPr>
            <w:r>
              <w:rPr/>
              <w:t>)</w:t>
            </w:r>
          </w:p>
        </w:tc>
      </w:tr>
      <w:tr>
        <w:trPr/>
        <w:tc>
          <w:tcPr>
            <w:tcW w:w="7533"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0.85</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b/>
              </w:rPr>
            </w:pPr>
            <w:r>
              <w:rPr>
                <w:b/>
              </w:rPr>
              <w:t>Net income (loss) per share attributable to Common Stockholders – 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(0.83</w:t>
            </w:r>
          </w:p>
        </w:tc>
        <w:tc>
          <w:tcPr>
            <w:tcW w:w="113" w:type="dxa"/>
            <w:tcBorders/>
            <w:shd w:fill="CCEEFF" w:val="clear"/>
            <w:vAlign w:val="center"/>
          </w:tcPr>
          <w:p>
            <w:pPr>
              <w:pStyle w:val="TableContents"/>
              <w:bidi w:val="0"/>
              <w:spacing w:before="0" w:after="283"/>
              <w:jc w:val="left"/>
              <w:rPr/>
            </w:pPr>
            <w:r>
              <w:rPr/>
              <w:t>)</w:t>
            </w:r>
          </w:p>
        </w:tc>
      </w:tr>
      <w:tr>
        <w:trPr/>
        <w:tc>
          <w:tcPr>
            <w:tcW w:w="7533" w:type="dxa"/>
            <w:tcBorders/>
            <w:shd w:fill="FFFFFF" w:val="clear"/>
            <w:vAlign w:val="center"/>
          </w:tcPr>
          <w:p>
            <w:pPr>
              <w:pStyle w:val="TableContents"/>
              <w:bidi w:val="0"/>
              <w:spacing w:before="0" w:after="283"/>
              <w:jc w:val="left"/>
              <w:rPr>
                <w:b/>
              </w:rPr>
            </w:pPr>
            <w:r>
              <w:rPr>
                <w:b/>
              </w:rPr>
              <w:t>Diluted income (loss) per share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(1.68</w:t>
            </w:r>
          </w:p>
        </w:tc>
        <w:tc>
          <w:tcPr>
            <w:tcW w:w="113" w:type="dxa"/>
            <w:tcBorders/>
            <w:shd w:fill="CCEEFF" w:val="clear"/>
            <w:vAlign w:val="center"/>
          </w:tcPr>
          <w:p>
            <w:pPr>
              <w:pStyle w:val="TableContents"/>
              <w:bidi w:val="0"/>
              <w:spacing w:before="0" w:after="283"/>
              <w:jc w:val="left"/>
              <w:rPr/>
            </w:pPr>
            <w:r>
              <w:rPr/>
              <w:t>)</w:t>
            </w:r>
          </w:p>
        </w:tc>
      </w:tr>
      <w:tr>
        <w:trPr/>
        <w:tc>
          <w:tcPr>
            <w:tcW w:w="7533"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0.85</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b/>
              </w:rPr>
            </w:pPr>
            <w:r>
              <w:rPr>
                <w:b/>
              </w:rPr>
              <w:t>Net income (loss) per share attributable to Common Stockholders – 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(0.83</w:t>
            </w:r>
          </w:p>
        </w:tc>
        <w:tc>
          <w:tcPr>
            <w:tcW w:w="113" w:type="dxa"/>
            <w:tcBorders/>
            <w:shd w:fill="CCEEFF" w:val="clear"/>
            <w:vAlign w:val="center"/>
          </w:tcPr>
          <w:p>
            <w:pPr>
              <w:pStyle w:val="TableContents"/>
              <w:bidi w:val="0"/>
              <w:spacing w:before="0" w:after="283"/>
              <w:jc w:val="left"/>
              <w:rPr/>
            </w:pPr>
            <w:r>
              <w:rPr/>
              <w:t>)</w:t>
            </w:r>
          </w:p>
        </w:tc>
      </w:tr>
      <w:tr>
        <w:trPr/>
        <w:tc>
          <w:tcPr>
            <w:tcW w:w="7533" w:type="dxa"/>
            <w:tcBorders/>
            <w:shd w:fill="FFFFFF" w:val="clear"/>
            <w:vAlign w:val="center"/>
          </w:tcPr>
          <w:p>
            <w:pPr>
              <w:pStyle w:val="TableContents"/>
              <w:bidi w:val="0"/>
              <w:spacing w:before="0" w:after="283"/>
              <w:jc w:val="left"/>
              <w:rPr>
                <w:b/>
              </w:rPr>
            </w:pPr>
            <w:r>
              <w:rPr>
                <w:b/>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double" w:sz="10" w:space="0" w:color="000000"/>
            </w:tcBorders>
            <w:shd w:fill="FFFFFF" w:val="clear"/>
            <w:tcMar>
              <w:bottom w:w="28" w:type="dxa"/>
            </w:tcMar>
            <w:vAlign w:val="center"/>
          </w:tcPr>
          <w:p>
            <w:pPr>
              <w:pStyle w:val="TableContents"/>
              <w:bidi w:val="0"/>
              <w:spacing w:before="0" w:after="283"/>
              <w:jc w:val="right"/>
              <w:rPr/>
            </w:pPr>
            <w:r>
              <w:rPr/>
              <w:t>2,149,128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double" w:sz="10" w:space="0" w:color="000000"/>
            </w:tcBorders>
            <w:shd w:fill="FFFFFF" w:val="clear"/>
            <w:tcMar>
              <w:bottom w:w="28" w:type="dxa"/>
            </w:tcMar>
            <w:vAlign w:val="center"/>
          </w:tcPr>
          <w:p>
            <w:pPr>
              <w:pStyle w:val="TableContents"/>
              <w:bidi w:val="0"/>
              <w:spacing w:before="0" w:after="283"/>
              <w:jc w:val="right"/>
              <w:rPr/>
            </w:pPr>
            <w:r>
              <w:rPr/>
              <w:t>1,952,022</w:t>
            </w:r>
          </w:p>
        </w:tc>
        <w:tc>
          <w:tcPr>
            <w:tcW w:w="113"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b/>
              </w:rPr>
            </w:pPr>
            <w:r>
              <w:rPr>
                <w:b/>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5,247,311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1,952,022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from Unaudited Condensed Consolidated Balance Sheet</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Expressed in Thousands of United States Dollars)</w:t>
      </w:r>
    </w:p>
    <w:p>
      <w:pPr>
        <w:pStyle w:val="TextBody"/>
        <w:bidi w:val="0"/>
        <w:spacing w:before="0" w:after="0"/>
        <w:ind w:left="0" w:right="0" w:hanging="0"/>
        <w:jc w:val="left"/>
        <w:rPr>
          <w:caps w:val="false"/>
          <w:smallCaps w:val="false"/>
        </w:rPr>
      </w:pPr>
      <w:r>
        <w:rPr>
          <w:caps w:val="false"/>
          <w:smallCaps w:val="false"/>
        </w:rPr>
        <w:t> </w:t>
      </w:r>
    </w:p>
    <w:tbl>
      <w:tblPr>
        <w:tblW w:w="6759" w:type="dxa"/>
        <w:jc w:val="left"/>
        <w:tblInd w:w="0" w:type="dxa"/>
        <w:tblLayout w:type="fixed"/>
        <w:tblCellMar>
          <w:top w:w="0" w:type="dxa"/>
          <w:left w:w="0" w:type="dxa"/>
          <w:bottom w:w="0" w:type="dxa"/>
          <w:right w:w="0" w:type="dxa"/>
        </w:tblCellMar>
      </w:tblPr>
      <w:tblGrid>
        <w:gridCol w:w="5450"/>
        <w:gridCol w:w="60"/>
        <w:gridCol w:w="174"/>
        <w:gridCol w:w="1000"/>
        <w:gridCol w:w="75"/>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i/>
              </w:rPr>
            </w:pPr>
            <w:r>
              <w:rPr>
                <w:i/>
              </w:rPr>
              <w:t>(Unaudited)</w:t>
            </w:r>
          </w:p>
        </w:tc>
        <w:tc>
          <w:tcPr>
            <w:tcW w:w="75"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33,261</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13,000</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 xml:space="preserve">Goodwill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9,713</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Intangible assets and related party prepaid license rights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45,957</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25,593</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pPr>
            <w:r>
              <w:rPr/>
              <w:t>127,524</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7,693</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Related party debt, current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72,000</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Long-term debt, current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8,621</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Current liabilities associated with discontinued operations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2,043</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592</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36,575</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pPr>
            <w:r>
              <w:rPr/>
              <w:t>127,524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from Unaudited Condensed Consolidated Statement of Cash Flows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Expressed in Thousands of United States Dollars)</w:t>
      </w:r>
    </w:p>
    <w:p>
      <w:pPr>
        <w:pStyle w:val="TextBody"/>
        <w:bidi w:val="0"/>
        <w:spacing w:before="0" w:after="283"/>
        <w:jc w:val="left"/>
        <w:rPr/>
      </w:pPr>
      <w:r>
        <w:rPr/>
        <w:t> </w:t>
      </w:r>
    </w:p>
    <w:tbl>
      <w:tblPr>
        <w:tblW w:w="7872" w:type="dxa"/>
        <w:jc w:val="left"/>
        <w:tblInd w:w="0" w:type="dxa"/>
        <w:tblLayout w:type="fixed"/>
        <w:tblCellMar>
          <w:top w:w="0" w:type="dxa"/>
          <w:left w:w="0" w:type="dxa"/>
          <w:bottom w:w="0" w:type="dxa"/>
          <w:right w:w="0" w:type="dxa"/>
        </w:tblCellMar>
      </w:tblPr>
      <w:tblGrid>
        <w:gridCol w:w="5315"/>
        <w:gridCol w:w="60"/>
        <w:gridCol w:w="223"/>
        <w:gridCol w:w="892"/>
        <w:gridCol w:w="79"/>
        <w:gridCol w:w="79"/>
        <w:gridCol w:w="200"/>
        <w:gridCol w:w="914"/>
        <w:gridCol w:w="110"/>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i/>
              </w:rPr>
            </w:pPr>
            <w:r>
              <w:rPr>
                <w:i/>
              </w:rPr>
              <w:t>(unaudited)</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i/>
              </w:rPr>
            </w:pPr>
            <w:r>
              <w:rPr>
                <w:i/>
              </w:rPr>
              <w:t>(unaudited)</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b/>
              </w:rPr>
            </w:pPr>
            <w:r>
              <w:rPr>
                <w:b/>
              </w:rPr>
              <w:t>Cash flows (used in) provided by</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1,043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(6,720</w:t>
            </w:r>
          </w:p>
        </w:tc>
        <w:tc>
          <w:tcPr>
            <w:tcW w:w="110" w:type="dxa"/>
            <w:tcBorders/>
            <w:shd w:fill="CCEEFF" w:val="clear"/>
            <w:vAlign w:val="center"/>
          </w:tcPr>
          <w:p>
            <w:pPr>
              <w:pStyle w:val="TableContents"/>
              <w:bidi w:val="0"/>
              <w:spacing w:before="0" w:after="283"/>
              <w:jc w:val="left"/>
              <w:rPr/>
            </w:pPr>
            <w:r>
              <w:rPr/>
              <w:t>)</w:t>
            </w:r>
          </w:p>
        </w:tc>
      </w:tr>
      <w:tr>
        <w:trPr/>
        <w:tc>
          <w:tcPr>
            <w:tcW w:w="531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p>
        </w:tc>
      </w:tr>
      <w:tr>
        <w:trPr/>
        <w:tc>
          <w:tcPr>
            <w:tcW w:w="5315" w:type="dxa"/>
            <w:tcBorders/>
            <w:shd w:fill="FFFFFF" w:val="clear"/>
            <w:vAlign w:val="center"/>
          </w:tcPr>
          <w:p>
            <w:pPr>
              <w:pStyle w:val="TableContents"/>
              <w:bidi w:val="0"/>
              <w:spacing w:before="0" w:after="283"/>
              <w:jc w:val="left"/>
              <w:rPr>
                <w:b/>
              </w:rPr>
            </w:pPr>
            <w:r>
              <w:rPr>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FFFFFF" w:val="clear"/>
            <w:tcMar>
              <w:bottom w:w="28" w:type="dxa"/>
            </w:tcMar>
            <w:vAlign w:val="center"/>
          </w:tcPr>
          <w:p>
            <w:pPr>
              <w:pStyle w:val="TableContents"/>
              <w:bidi w:val="0"/>
              <w:spacing w:before="0" w:after="283"/>
              <w:jc w:val="right"/>
              <w:rPr/>
            </w:pPr>
            <w:r>
              <w:rPr/>
              <w:t>1,043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4" w:type="dxa"/>
            <w:tcBorders>
              <w:bottom w:val="double" w:sz="10" w:space="0" w:color="000000"/>
            </w:tcBorders>
            <w:shd w:fill="FFFFFF" w:val="clear"/>
            <w:tcMar>
              <w:bottom w:w="28" w:type="dxa"/>
            </w:tcMar>
            <w:vAlign w:val="center"/>
          </w:tcPr>
          <w:p>
            <w:pPr>
              <w:pStyle w:val="TableContents"/>
              <w:bidi w:val="0"/>
              <w:spacing w:before="0" w:after="283"/>
              <w:jc w:val="right"/>
              <w:rPr/>
            </w:pPr>
            <w:r>
              <w:rPr/>
              <w:t>(6,721</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(Unaudited) Regarding Non-GAAP Financial Measures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Expressed in Thousands of United States Dollars)</w:t>
      </w:r>
    </w:p>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7659"/>
        <w:gridCol w:w="60"/>
        <w:gridCol w:w="171"/>
        <w:gridCol w:w="929"/>
        <w:gridCol w:w="107"/>
        <w:gridCol w:w="67"/>
        <w:gridCol w:w="197"/>
        <w:gridCol w:w="902"/>
        <w:gridCol w:w="113"/>
      </w:tblGrid>
      <w:tr>
        <w:trPr/>
        <w:tc>
          <w:tcPr>
            <w:tcW w:w="7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3" w:type="dxa"/>
            <w:tcBorders/>
            <w:vAlign w:val="center"/>
          </w:tcPr>
          <w:p>
            <w:pPr>
              <w:pStyle w:val="TableContents"/>
              <w:bidi w:val="0"/>
              <w:spacing w:before="0" w:after="283"/>
              <w:jc w:val="left"/>
              <w:rPr/>
            </w:pPr>
            <w:r>
              <w:rPr/>
              <w:t> </w:t>
            </w:r>
          </w:p>
        </w:tc>
      </w:tr>
      <w:tr>
        <w:trPr/>
        <w:tc>
          <w:tcPr>
            <w:tcW w:w="7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i/>
              </w:rPr>
            </w:pPr>
            <w:r>
              <w:rPr>
                <w:i/>
              </w:rPr>
              <w:t>(unaudited)</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i/>
              </w:rPr>
            </w:pPr>
            <w:r>
              <w:rPr>
                <w:i/>
              </w:rPr>
              <w:t>(unaudited)</w:t>
            </w:r>
          </w:p>
        </w:tc>
        <w:tc>
          <w:tcPr>
            <w:tcW w:w="113" w:type="dxa"/>
            <w:tcBorders/>
            <w:vAlign w:val="center"/>
          </w:tcPr>
          <w:p>
            <w:pPr>
              <w:pStyle w:val="TableContents"/>
              <w:bidi w:val="0"/>
              <w:spacing w:before="0" w:after="283"/>
              <w:jc w:val="left"/>
              <w:rPr/>
            </w:pPr>
            <w:r>
              <w:rPr/>
              <w:t> </w:t>
            </w:r>
          </w:p>
        </w:tc>
      </w:tr>
      <w:tr>
        <w:trPr/>
        <w:tc>
          <w:tcPr>
            <w:tcW w:w="7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p>
        </w:tc>
      </w:tr>
      <w:tr>
        <w:trPr/>
        <w:tc>
          <w:tcPr>
            <w:tcW w:w="7659" w:type="dxa"/>
            <w:tcBorders/>
            <w:shd w:fill="CCEEFF" w:val="clear"/>
            <w:vAlign w:val="center"/>
          </w:tcPr>
          <w:p>
            <w:pPr>
              <w:pStyle w:val="TableContents"/>
              <w:bidi w:val="0"/>
              <w:spacing w:before="0" w:after="283"/>
              <w:jc w:val="left"/>
              <w:rPr/>
            </w:pPr>
            <w:r>
              <w:rPr/>
              <w:t>Income (loss)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jc w:val="right"/>
              <w:rPr/>
            </w:pPr>
            <w:r>
              <w:rPr/>
              <w:t>19,922</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(3,274</w:t>
            </w:r>
          </w:p>
        </w:tc>
        <w:tc>
          <w:tcPr>
            <w:tcW w:w="113" w:type="dxa"/>
            <w:tcBorders/>
            <w:shd w:fill="CCEEFF" w:val="clear"/>
            <w:vAlign w:val="center"/>
          </w:tcPr>
          <w:p>
            <w:pPr>
              <w:pStyle w:val="TableContents"/>
              <w:bidi w:val="0"/>
              <w:spacing w:before="0" w:after="283"/>
              <w:jc w:val="left"/>
              <w:rPr/>
            </w:pPr>
            <w:r>
              <w:rPr/>
              <w:t>)</w:t>
            </w:r>
          </w:p>
        </w:tc>
      </w:tr>
      <w:tr>
        <w:trPr/>
        <w:tc>
          <w:tcPr>
            <w:tcW w:w="7659" w:type="dxa"/>
            <w:tcBorders/>
            <w:shd w:fill="FFFFFF" w:val="clear"/>
            <w:vAlign w:val="center"/>
          </w:tcPr>
          <w:p>
            <w:pPr>
              <w:pStyle w:val="TableContents"/>
              <w:bidi w:val="0"/>
              <w:spacing w:before="0" w:after="283"/>
              <w:jc w:val="left"/>
              <w:rPr/>
            </w:pPr>
            <w:r>
              <w:rPr/>
              <w:t>Interest expense (income),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1,742</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w:t>
            </w:r>
          </w:p>
        </w:tc>
        <w:tc>
          <w:tcPr>
            <w:tcW w:w="113" w:type="dxa"/>
            <w:tcBorders/>
            <w:shd w:fill="FFFFFF" w:val="clear"/>
            <w:vAlign w:val="center"/>
          </w:tcPr>
          <w:p>
            <w:pPr>
              <w:pStyle w:val="TableContents"/>
              <w:bidi w:val="0"/>
              <w:spacing w:before="0" w:after="283"/>
              <w:jc w:val="left"/>
              <w:rPr/>
            </w:pPr>
            <w:r>
              <w:rPr/>
              <w:t>)</w:t>
            </w:r>
          </w:p>
        </w:tc>
      </w:tr>
      <w:tr>
        <w:trPr/>
        <w:tc>
          <w:tcPr>
            <w:tcW w:w="7659"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(25,593</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659"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3,443</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336</w:t>
            </w:r>
          </w:p>
        </w:tc>
        <w:tc>
          <w:tcPr>
            <w:tcW w:w="113" w:type="dxa"/>
            <w:tcBorders/>
            <w:shd w:fill="FFFFFF" w:val="clear"/>
            <w:vAlign w:val="center"/>
          </w:tcPr>
          <w:p>
            <w:pPr>
              <w:pStyle w:val="TableContents"/>
              <w:bidi w:val="0"/>
              <w:spacing w:before="0" w:after="283"/>
              <w:jc w:val="left"/>
              <w:rPr/>
            </w:pPr>
            <w:r>
              <w:rPr/>
              <w:t> </w:t>
            </w:r>
          </w:p>
        </w:tc>
      </w:tr>
      <w:tr>
        <w:trPr/>
        <w:tc>
          <w:tcPr>
            <w:tcW w:w="7659" w:type="dxa"/>
            <w:tcBorders/>
            <w:shd w:fill="CCEEFF" w:val="clear"/>
            <w:vAlign w:val="center"/>
          </w:tcPr>
          <w:p>
            <w:pPr>
              <w:pStyle w:val="TableContents"/>
              <w:bidi w:val="0"/>
              <w:spacing w:before="0" w:after="283"/>
              <w:jc w:val="left"/>
              <w:rPr/>
            </w:pPr>
            <w:r>
              <w:rPr/>
              <w:t>Earnings before interest, taxes, depreciation and amortization (EBITDA) (non-GAAP measure)</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(486</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(2,939</w:t>
            </w:r>
          </w:p>
        </w:tc>
        <w:tc>
          <w:tcPr>
            <w:tcW w:w="113" w:type="dxa"/>
            <w:tcBorders/>
            <w:shd w:fill="CCEEFF" w:val="clear"/>
            <w:vAlign w:val="center"/>
          </w:tcPr>
          <w:p>
            <w:pPr>
              <w:pStyle w:val="TableContents"/>
              <w:bidi w:val="0"/>
              <w:spacing w:before="0" w:after="283"/>
              <w:jc w:val="left"/>
              <w:rPr/>
            </w:pPr>
            <w:r>
              <w:rPr/>
              <w:t>)</w:t>
            </w:r>
          </w:p>
        </w:tc>
      </w:tr>
      <w:tr>
        <w:trPr/>
        <w:tc>
          <w:tcPr>
            <w:tcW w:w="7659"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570</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589</w:t>
            </w:r>
          </w:p>
        </w:tc>
        <w:tc>
          <w:tcPr>
            <w:tcW w:w="113" w:type="dxa"/>
            <w:tcBorders/>
            <w:shd w:fill="FFFFFF" w:val="clear"/>
            <w:vAlign w:val="center"/>
          </w:tcPr>
          <w:p>
            <w:pPr>
              <w:pStyle w:val="TableContents"/>
              <w:bidi w:val="0"/>
              <w:spacing w:before="0" w:after="283"/>
              <w:jc w:val="left"/>
              <w:rPr/>
            </w:pPr>
            <w:r>
              <w:rPr/>
              <w:t> </w:t>
            </w:r>
          </w:p>
        </w:tc>
      </w:tr>
      <w:tr>
        <w:trPr/>
        <w:tc>
          <w:tcPr>
            <w:tcW w:w="7659"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(105</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(407</w:t>
            </w:r>
          </w:p>
        </w:tc>
        <w:tc>
          <w:tcPr>
            <w:tcW w:w="113" w:type="dxa"/>
            <w:tcBorders/>
            <w:shd w:fill="CCEEFF" w:val="clear"/>
            <w:vAlign w:val="center"/>
          </w:tcPr>
          <w:p>
            <w:pPr>
              <w:pStyle w:val="TableContents"/>
              <w:bidi w:val="0"/>
              <w:spacing w:before="0" w:after="283"/>
              <w:jc w:val="left"/>
              <w:rPr/>
            </w:pPr>
            <w:r>
              <w:rPr/>
              <w:t>)</w:t>
            </w:r>
          </w:p>
        </w:tc>
      </w:tr>
      <w:tr>
        <w:trPr/>
        <w:tc>
          <w:tcPr>
            <w:tcW w:w="7659" w:type="dxa"/>
            <w:tcBorders/>
            <w:shd w:fill="FFFFFF" w:val="clear"/>
            <w:vAlign w:val="center"/>
          </w:tcPr>
          <w:p>
            <w:pPr>
              <w:pStyle w:val="TableContents"/>
              <w:bidi w:val="0"/>
              <w:spacing w:before="0" w:after="283"/>
              <w:jc w:val="left"/>
              <w:rPr>
                <w:b/>
              </w:rPr>
            </w:pPr>
            <w:r>
              <w:rPr>
                <w:b/>
              </w:rPr>
              <w:t>Adjusted EBITDA (non-GAAP measure)</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9" w:type="dxa"/>
            <w:tcBorders>
              <w:bottom w:val="double" w:sz="10" w:space="0" w:color="000000"/>
            </w:tcBorders>
            <w:shd w:fill="FFFFFF" w:val="clear"/>
            <w:tcMar>
              <w:bottom w:w="28" w:type="dxa"/>
            </w:tcMar>
            <w:vAlign w:val="center"/>
          </w:tcPr>
          <w:p>
            <w:pPr>
              <w:pStyle w:val="TableContents"/>
              <w:bidi w:val="0"/>
              <w:spacing w:before="0" w:after="283"/>
              <w:jc w:val="right"/>
              <w:rPr/>
            </w:pPr>
            <w:r>
              <w:rPr/>
              <w:t>(21</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pPr>
            <w:r>
              <w:rPr/>
              <w:t>(2,757</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2077</Words>
  <Characters>11953</Characters>
  <CharactersWithSpaces>14126</CharactersWithSpaces>
  <Paragraphs>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