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60" w:type="dxa"/>
        <w:tblCellMar>
          <w:top w:w="0" w:type="dxa"/>
          <w:left w:w="0" w:type="dxa"/>
          <w:bottom w:w="0" w:type="dxa"/>
          <w:right w:w="0" w:type="dxa"/>
        </w:tblCellMar>
      </w:tblPr>
      <w:tr>
        <w:trPr>
          <w:trHeight w:val="221"/>
        </w:trPr>
        <w:tc>
          <w:tcPr>
            <w:tcW w:w="1560" w:type="dxa"/>
            <w:vAlign w:val="bottom"/>
          </w:tcPr>
          <w:p>
            <w:pPr>
              <w:spacing w:after="0"/>
              <w:rPr>
                <w:sz w:val="19"/>
                <w:szCs w:val="19"/>
                <w:color w:val="auto"/>
              </w:rPr>
            </w:pPr>
          </w:p>
        </w:tc>
        <w:tc>
          <w:tcPr>
            <w:tcW w:w="5480" w:type="dxa"/>
            <w:vAlign w:val="bottom"/>
          </w:tcPr>
          <w:p>
            <w:pPr>
              <w:jc w:val="center"/>
              <w:ind w:left="2350"/>
              <w:spacing w:after="0"/>
              <w:rPr>
                <w:sz w:val="20"/>
                <w:szCs w:val="20"/>
                <w:color w:val="auto"/>
              </w:rPr>
            </w:pPr>
            <w:r>
              <w:rPr>
                <w:rFonts w:ascii="Arial" w:cs="Arial" w:eastAsia="Arial" w:hAnsi="Arial"/>
                <w:sz w:val="18"/>
                <w:szCs w:val="18"/>
                <w:b w:val="1"/>
                <w:bCs w:val="1"/>
                <w:color w:val="auto"/>
                <w:w w:val="97"/>
              </w:rPr>
              <w:t>UNITED STATES</w:t>
            </w:r>
          </w:p>
        </w:tc>
        <w:tc>
          <w:tcPr>
            <w:tcW w:w="2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560" w:type="dxa"/>
            <w:vAlign w:val="bottom"/>
          </w:tcPr>
          <w:p>
            <w:pPr>
              <w:spacing w:after="0"/>
              <w:rPr>
                <w:sz w:val="16"/>
                <w:szCs w:val="16"/>
                <w:color w:val="auto"/>
              </w:rPr>
            </w:pPr>
          </w:p>
        </w:tc>
        <w:tc>
          <w:tcPr>
            <w:tcW w:w="7740" w:type="dxa"/>
            <w:vAlign w:val="bottom"/>
            <w:tcBorders>
              <w:right w:val="single" w:sz="8" w:color="auto"/>
            </w:tcBorders>
            <w:gridSpan w:val="2"/>
          </w:tcPr>
          <w:p>
            <w:pPr>
              <w:jc w:val="center"/>
              <w:ind w:left="90"/>
              <w:spacing w:after="0" w:line="191" w:lineRule="exact"/>
              <w:rPr>
                <w:sz w:val="20"/>
                <w:szCs w:val="20"/>
                <w:color w:val="auto"/>
              </w:rPr>
            </w:pPr>
            <w:r>
              <w:rPr>
                <w:rFonts w:ascii="Arial" w:cs="Arial" w:eastAsia="Arial" w:hAnsi="Arial"/>
                <w:sz w:val="18"/>
                <w:szCs w:val="18"/>
                <w:b w:val="1"/>
                <w:bCs w:val="1"/>
                <w:color w:val="auto"/>
              </w:rPr>
              <w:t>SECURITIES AND EXCHANGE COMMISSION</w:t>
            </w:r>
          </w:p>
        </w:tc>
        <w:tc>
          <w:tcPr>
            <w:tcW w:w="180" w:type="dxa"/>
            <w:vAlign w:val="bottom"/>
          </w:tcPr>
          <w:p>
            <w:pPr>
              <w:spacing w:after="0"/>
              <w:rPr>
                <w:sz w:val="16"/>
                <w:szCs w:val="16"/>
                <w:color w:val="auto"/>
              </w:rPr>
            </w:pPr>
          </w:p>
        </w:tc>
        <w:tc>
          <w:tcPr>
            <w:tcW w:w="1620" w:type="dxa"/>
            <w:vAlign w:val="bottom"/>
            <w:tcBorders>
              <w:right w:val="single" w:sz="8" w:color="auto"/>
            </w:tcBorders>
          </w:tcPr>
          <w:p>
            <w:pPr>
              <w:jc w:val="center"/>
              <w:ind w:right="130"/>
              <w:spacing w:after="0" w:line="191" w:lineRule="exact"/>
              <w:rPr>
                <w:sz w:val="20"/>
                <w:szCs w:val="20"/>
                <w:color w:val="auto"/>
              </w:rPr>
            </w:pPr>
            <w:r>
              <w:rPr>
                <w:rFonts w:ascii="Arial" w:cs="Arial" w:eastAsia="Arial" w:hAnsi="Arial"/>
                <w:sz w:val="18"/>
                <w:szCs w:val="18"/>
                <w:b w:val="1"/>
                <w:bCs w:val="1"/>
                <w:color w:val="auto"/>
                <w:w w:val="93"/>
              </w:rPr>
              <w:t>SEC File Number</w:t>
            </w:r>
          </w:p>
        </w:tc>
        <w:tc>
          <w:tcPr>
            <w:tcW w:w="0" w:type="dxa"/>
            <w:vAlign w:val="bottom"/>
          </w:tcPr>
          <w:p>
            <w:pPr>
              <w:spacing w:after="0"/>
              <w:rPr>
                <w:sz w:val="1"/>
                <w:szCs w:val="1"/>
                <w:color w:val="auto"/>
              </w:rPr>
            </w:pPr>
          </w:p>
        </w:tc>
      </w:tr>
      <w:tr>
        <w:trPr>
          <w:trHeight w:val="234"/>
        </w:trPr>
        <w:tc>
          <w:tcPr>
            <w:tcW w:w="1560" w:type="dxa"/>
            <w:vAlign w:val="bottom"/>
          </w:tcPr>
          <w:p>
            <w:pPr>
              <w:spacing w:after="0"/>
              <w:rPr>
                <w:sz w:val="20"/>
                <w:szCs w:val="20"/>
                <w:color w:val="auto"/>
              </w:rPr>
            </w:pPr>
          </w:p>
        </w:tc>
        <w:tc>
          <w:tcPr>
            <w:tcW w:w="5480" w:type="dxa"/>
            <w:vAlign w:val="bottom"/>
          </w:tcPr>
          <w:p>
            <w:pPr>
              <w:jc w:val="center"/>
              <w:ind w:left="2330"/>
              <w:spacing w:after="0"/>
              <w:rPr>
                <w:sz w:val="20"/>
                <w:szCs w:val="20"/>
                <w:color w:val="auto"/>
              </w:rPr>
            </w:pPr>
            <w:r>
              <w:rPr>
                <w:rFonts w:ascii="Arial" w:cs="Arial" w:eastAsia="Arial" w:hAnsi="Arial"/>
                <w:sz w:val="18"/>
                <w:szCs w:val="18"/>
                <w:b w:val="1"/>
                <w:bCs w:val="1"/>
                <w:color w:val="auto"/>
                <w:w w:val="91"/>
              </w:rPr>
              <w:t>Washington, D.C. 20549</w:t>
            </w:r>
          </w:p>
        </w:tc>
        <w:tc>
          <w:tcPr>
            <w:tcW w:w="22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color w:val="auto"/>
                <w:w w:val="90"/>
              </w:rPr>
              <w:t>001-39946</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5480" w:type="dxa"/>
            <w:vAlign w:val="bottom"/>
            <w:vMerge w:val="restart"/>
          </w:tcPr>
          <w:p>
            <w:pPr>
              <w:jc w:val="center"/>
              <w:ind w:left="2350"/>
              <w:spacing w:after="0"/>
              <w:rPr>
                <w:sz w:val="20"/>
                <w:szCs w:val="20"/>
                <w:color w:val="auto"/>
              </w:rPr>
            </w:pPr>
            <w:r>
              <w:rPr>
                <w:rFonts w:ascii="Arial" w:cs="Arial" w:eastAsia="Arial" w:hAnsi="Arial"/>
                <w:sz w:val="18"/>
                <w:szCs w:val="18"/>
                <w:b w:val="1"/>
                <w:bCs w:val="1"/>
                <w:color w:val="auto"/>
                <w:w w:val="97"/>
              </w:rPr>
              <w:t>FORM 12b-25</w:t>
            </w:r>
          </w:p>
        </w:tc>
        <w:tc>
          <w:tcPr>
            <w:tcW w:w="2260" w:type="dxa"/>
            <w:vAlign w:val="bottom"/>
            <w:tcBorders>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560" w:type="dxa"/>
            <w:vAlign w:val="bottom"/>
          </w:tcPr>
          <w:p>
            <w:pPr>
              <w:spacing w:after="0"/>
              <w:rPr>
                <w:sz w:val="22"/>
                <w:szCs w:val="22"/>
                <w:color w:val="auto"/>
              </w:rPr>
            </w:pPr>
          </w:p>
        </w:tc>
        <w:tc>
          <w:tcPr>
            <w:tcW w:w="5480" w:type="dxa"/>
            <w:vAlign w:val="bottom"/>
            <w:vMerge w:val="continue"/>
          </w:tcPr>
          <w:p>
            <w:pPr>
              <w:spacing w:after="0"/>
              <w:rPr>
                <w:sz w:val="22"/>
                <w:szCs w:val="22"/>
                <w:color w:val="auto"/>
              </w:rPr>
            </w:pPr>
          </w:p>
        </w:tc>
        <w:tc>
          <w:tcPr>
            <w:tcW w:w="22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1560" w:type="dxa"/>
            <w:vAlign w:val="bottom"/>
          </w:tcPr>
          <w:p>
            <w:pPr>
              <w:spacing w:after="0"/>
              <w:rPr>
                <w:sz w:val="20"/>
                <w:szCs w:val="20"/>
                <w:color w:val="auto"/>
              </w:rPr>
            </w:pPr>
          </w:p>
        </w:tc>
        <w:tc>
          <w:tcPr>
            <w:tcW w:w="5480" w:type="dxa"/>
            <w:vAlign w:val="bottom"/>
            <w:vMerge w:val="continue"/>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6"/>
              </w:rPr>
              <w:t>CUSIP Number</w:t>
            </w:r>
          </w:p>
        </w:tc>
        <w:tc>
          <w:tcPr>
            <w:tcW w:w="0" w:type="dxa"/>
            <w:vAlign w:val="bottom"/>
          </w:tcPr>
          <w:p>
            <w:pPr>
              <w:spacing w:after="0"/>
              <w:rPr>
                <w:sz w:val="1"/>
                <w:szCs w:val="1"/>
                <w:color w:val="auto"/>
              </w:rPr>
            </w:pPr>
          </w:p>
        </w:tc>
      </w:tr>
      <w:tr>
        <w:trPr>
          <w:trHeight w:val="230"/>
        </w:trPr>
        <w:tc>
          <w:tcPr>
            <w:tcW w:w="156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00853E206</w:t>
            </w:r>
          </w:p>
        </w:tc>
        <w:tc>
          <w:tcPr>
            <w:tcW w:w="0" w:type="dxa"/>
            <w:vAlign w:val="bottom"/>
          </w:tcPr>
          <w:p>
            <w:pPr>
              <w:spacing w:after="0"/>
              <w:rPr>
                <w:sz w:val="1"/>
                <w:szCs w:val="1"/>
                <w:color w:val="auto"/>
              </w:rPr>
            </w:pPr>
          </w:p>
        </w:tc>
      </w:tr>
      <w:tr>
        <w:trPr>
          <w:trHeight w:val="54"/>
        </w:trPr>
        <w:tc>
          <w:tcPr>
            <w:tcW w:w="1560" w:type="dxa"/>
            <w:vAlign w:val="bottom"/>
          </w:tcPr>
          <w:p>
            <w:pPr>
              <w:spacing w:after="0"/>
              <w:rPr>
                <w:sz w:val="4"/>
                <w:szCs w:val="4"/>
                <w:color w:val="auto"/>
              </w:rPr>
            </w:pPr>
          </w:p>
        </w:tc>
        <w:tc>
          <w:tcPr>
            <w:tcW w:w="5480" w:type="dxa"/>
            <w:vAlign w:val="bottom"/>
            <w:vMerge w:val="restart"/>
          </w:tcPr>
          <w:p>
            <w:pPr>
              <w:jc w:val="center"/>
              <w:ind w:left="2350"/>
              <w:spacing w:after="0"/>
              <w:rPr>
                <w:sz w:val="20"/>
                <w:szCs w:val="20"/>
                <w:color w:val="auto"/>
              </w:rPr>
            </w:pPr>
            <w:r>
              <w:rPr>
                <w:rFonts w:ascii="Arial" w:cs="Arial" w:eastAsia="Arial" w:hAnsi="Arial"/>
                <w:sz w:val="18"/>
                <w:szCs w:val="18"/>
                <w:b w:val="1"/>
                <w:bCs w:val="1"/>
                <w:color w:val="auto"/>
              </w:rPr>
              <w:t>NOTIFICATION OF LATE FILING</w:t>
            </w:r>
          </w:p>
        </w:tc>
        <w:tc>
          <w:tcPr>
            <w:tcW w:w="2260" w:type="dxa"/>
            <w:vAlign w:val="bottom"/>
            <w:tcBorders>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560" w:type="dxa"/>
            <w:vAlign w:val="bottom"/>
          </w:tcPr>
          <w:p>
            <w:pPr>
              <w:spacing w:after="0"/>
              <w:rPr>
                <w:sz w:val="20"/>
                <w:szCs w:val="20"/>
                <w:color w:val="auto"/>
              </w:rPr>
            </w:pPr>
          </w:p>
        </w:tc>
        <w:tc>
          <w:tcPr>
            <w:tcW w:w="5480" w:type="dxa"/>
            <w:vAlign w:val="bottom"/>
            <w:vMerge w:val="continue"/>
          </w:tcPr>
          <w:p>
            <w:pPr>
              <w:spacing w:after="0"/>
              <w:rPr>
                <w:sz w:val="20"/>
                <w:szCs w:val="20"/>
                <w:color w:val="auto"/>
              </w:rPr>
            </w:pPr>
          </w:p>
        </w:tc>
        <w:tc>
          <w:tcPr>
            <w:tcW w:w="2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7"/>
        </w:trPr>
        <w:tc>
          <w:tcPr>
            <w:tcW w:w="1560" w:type="dxa"/>
            <w:vAlign w:val="bottom"/>
          </w:tcPr>
          <w:p>
            <w:pPr>
              <w:spacing w:after="0"/>
              <w:rPr>
                <w:sz w:val="20"/>
                <w:szCs w:val="20"/>
                <w:color w:val="auto"/>
              </w:rPr>
            </w:pPr>
            <w:r>
              <w:rPr>
                <w:rFonts w:ascii="Arial" w:cs="Arial" w:eastAsia="Arial" w:hAnsi="Arial"/>
                <w:sz w:val="18"/>
                <w:szCs w:val="18"/>
                <w:i w:val="1"/>
                <w:iCs w:val="1"/>
                <w:color w:val="auto"/>
              </w:rPr>
              <w:t>(Check One)</w:t>
            </w:r>
          </w:p>
        </w:tc>
        <w:tc>
          <w:tcPr>
            <w:tcW w:w="5480" w:type="dxa"/>
            <w:vAlign w:val="bottom"/>
          </w:tcPr>
          <w:p>
            <w:pPr>
              <w:ind w:left="6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10-K   </w:t>
            </w:r>
            <w:r>
              <w:rPr>
                <w:rFonts w:ascii="MS PGothic" w:cs="MS PGothic" w:eastAsia="MS PGothic" w:hAnsi="MS PGothic"/>
                <w:sz w:val="18"/>
                <w:szCs w:val="18"/>
                <w:color w:val="auto"/>
              </w:rPr>
              <w:t>☐</w:t>
            </w:r>
            <w:r>
              <w:rPr>
                <w:rFonts w:ascii="Arial" w:cs="Arial" w:eastAsia="Arial" w:hAnsi="Arial"/>
                <w:sz w:val="18"/>
                <w:szCs w:val="18"/>
                <w:color w:val="auto"/>
              </w:rPr>
              <w:t xml:space="preserve">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11-K   x Form 10-Q</w:t>
            </w:r>
          </w:p>
        </w:tc>
        <w:tc>
          <w:tcPr>
            <w:tcW w:w="2440" w:type="dxa"/>
            <w:vAlign w:val="bottom"/>
            <w:gridSpan w:val="2"/>
          </w:tcPr>
          <w:p>
            <w:pPr>
              <w:ind w:left="100"/>
              <w:spacing w:after="0" w:line="207" w:lineRule="exact"/>
              <w:rPr>
                <w:sz w:val="20"/>
                <w:szCs w:val="20"/>
                <w:color w:val="auto"/>
              </w:rPr>
            </w:pPr>
            <w:r>
              <w:rPr>
                <w:rFonts w:ascii="MS PGothic" w:cs="MS PGothic" w:eastAsia="MS PGothic" w:hAnsi="MS PGothic"/>
                <w:sz w:val="18"/>
                <w:szCs w:val="18"/>
                <w:color w:val="auto"/>
                <w:w w:val="96"/>
              </w:rPr>
              <w:t>☐</w:t>
            </w:r>
            <w:r>
              <w:rPr>
                <w:rFonts w:ascii="Arial" w:cs="Arial" w:eastAsia="Arial" w:hAnsi="Arial"/>
                <w:sz w:val="18"/>
                <w:szCs w:val="18"/>
                <w:color w:val="auto"/>
                <w:w w:val="96"/>
              </w:rPr>
              <w:t xml:space="preserve"> Form 10-D </w:t>
            </w:r>
            <w:r>
              <w:rPr>
                <w:rFonts w:ascii="MS PGothic" w:cs="MS PGothic" w:eastAsia="MS PGothic" w:hAnsi="MS PGothic"/>
                <w:sz w:val="18"/>
                <w:szCs w:val="18"/>
                <w:color w:val="auto"/>
                <w:w w:val="96"/>
              </w:rPr>
              <w:t>☐</w:t>
            </w:r>
            <w:r>
              <w:rPr>
                <w:rFonts w:ascii="Arial" w:cs="Arial" w:eastAsia="Arial" w:hAnsi="Arial"/>
                <w:sz w:val="18"/>
                <w:szCs w:val="18"/>
                <w:color w:val="auto"/>
                <w:w w:val="96"/>
              </w:rPr>
              <w:t xml:space="preserve"> Form N-CEN</w:t>
            </w:r>
          </w:p>
        </w:tc>
        <w:tc>
          <w:tcPr>
            <w:tcW w:w="1620" w:type="dxa"/>
            <w:vAlign w:val="bottom"/>
          </w:tcPr>
          <w:p>
            <w:pPr>
              <w:ind w:left="2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N-CSR</w:t>
            </w:r>
          </w:p>
        </w:tc>
        <w:tc>
          <w:tcPr>
            <w:tcW w:w="0" w:type="dxa"/>
            <w:vAlign w:val="bottom"/>
          </w:tcPr>
          <w:p>
            <w:pPr>
              <w:spacing w:after="0"/>
              <w:rPr>
                <w:sz w:val="1"/>
                <w:szCs w:val="1"/>
                <w:color w:val="auto"/>
              </w:rPr>
            </w:pPr>
          </w:p>
        </w:tc>
      </w:tr>
      <w:tr>
        <w:trPr>
          <w:trHeight w:val="242"/>
        </w:trPr>
        <w:tc>
          <w:tcPr>
            <w:tcW w:w="1560" w:type="dxa"/>
            <w:vAlign w:val="bottom"/>
          </w:tcPr>
          <w:p>
            <w:pPr>
              <w:spacing w:after="0"/>
              <w:rPr>
                <w:sz w:val="21"/>
                <w:szCs w:val="21"/>
                <w:color w:val="auto"/>
              </w:rPr>
            </w:pPr>
          </w:p>
        </w:tc>
        <w:tc>
          <w:tcPr>
            <w:tcW w:w="5480" w:type="dxa"/>
            <w:vAlign w:val="bottom"/>
          </w:tcPr>
          <w:p>
            <w:pPr>
              <w:ind w:left="640"/>
              <w:spacing w:after="0"/>
              <w:rPr>
                <w:sz w:val="20"/>
                <w:szCs w:val="20"/>
                <w:color w:val="auto"/>
              </w:rPr>
            </w:pPr>
            <w:r>
              <w:rPr>
                <w:rFonts w:ascii="Arial" w:cs="Arial" w:eastAsia="Arial" w:hAnsi="Arial"/>
                <w:sz w:val="18"/>
                <w:szCs w:val="18"/>
                <w:color w:val="auto"/>
              </w:rPr>
              <w:t xml:space="preserve">For Period Ended: </w:t>
            </w:r>
            <w:r>
              <w:rPr>
                <w:rFonts w:ascii="Arial" w:cs="Arial" w:eastAsia="Arial" w:hAnsi="Arial"/>
                <w:sz w:val="18"/>
                <w:szCs w:val="18"/>
                <w:b w:val="1"/>
                <w:bCs w:val="1"/>
                <w:color w:val="auto"/>
              </w:rPr>
              <w:t>June 30, 2023</w:t>
            </w:r>
          </w:p>
        </w:tc>
        <w:tc>
          <w:tcPr>
            <w:tcW w:w="2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8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2260"/>
        <w:spacing w:after="0" w:line="207" w:lineRule="exact"/>
        <w:tabs>
          <w:tab w:leader="none" w:pos="26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Transition Report on Form 10-K</w:t>
      </w:r>
    </w:p>
    <w:p>
      <w:pPr>
        <w:spacing w:after="0" w:line="96" w:lineRule="exact"/>
        <w:rPr>
          <w:sz w:val="24"/>
          <w:szCs w:val="24"/>
          <w:color w:val="auto"/>
        </w:rPr>
      </w:pPr>
    </w:p>
    <w:p>
      <w:pPr>
        <w:ind w:left="2260"/>
        <w:spacing w:after="0" w:line="207" w:lineRule="exact"/>
        <w:tabs>
          <w:tab w:leader="none" w:pos="26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Transition Report on Form 20-F</w:t>
      </w:r>
    </w:p>
    <w:p>
      <w:pPr>
        <w:spacing w:after="0" w:line="63" w:lineRule="exact"/>
        <w:rPr>
          <w:sz w:val="24"/>
          <w:szCs w:val="24"/>
          <w:color w:val="auto"/>
        </w:rPr>
      </w:pPr>
    </w:p>
    <w:p>
      <w:pPr>
        <w:ind w:left="2260"/>
        <w:spacing w:after="0" w:line="207" w:lineRule="exact"/>
        <w:tabs>
          <w:tab w:leader="none" w:pos="26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Transition Report on Form 11-K</w:t>
      </w:r>
    </w:p>
    <w:p>
      <w:pPr>
        <w:spacing w:after="0" w:line="63" w:lineRule="exact"/>
        <w:rPr>
          <w:sz w:val="24"/>
          <w:szCs w:val="24"/>
          <w:color w:val="auto"/>
        </w:rPr>
      </w:pPr>
    </w:p>
    <w:p>
      <w:pPr>
        <w:ind w:left="2260"/>
        <w:spacing w:after="0" w:line="207" w:lineRule="exact"/>
        <w:tabs>
          <w:tab w:leader="none" w:pos="26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Transition Report on Form 10-Q</w:t>
      </w:r>
    </w:p>
    <w:p>
      <w:pPr>
        <w:spacing w:after="0" w:line="63" w:lineRule="exact"/>
        <w:rPr>
          <w:sz w:val="24"/>
          <w:szCs w:val="24"/>
          <w:color w:val="auto"/>
        </w:rPr>
      </w:pPr>
    </w:p>
    <w:p>
      <w:pPr>
        <w:ind w:left="2260"/>
        <w:spacing w:after="0"/>
        <w:rPr>
          <w:sz w:val="20"/>
          <w:szCs w:val="20"/>
          <w:color w:val="auto"/>
        </w:rPr>
      </w:pPr>
      <w:r>
        <w:rPr>
          <w:rFonts w:ascii="Arial" w:cs="Arial" w:eastAsia="Arial" w:hAnsi="Arial"/>
          <w:sz w:val="18"/>
          <w:szCs w:val="18"/>
          <w:color w:val="auto"/>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142240</wp:posOffset>
            </wp:positionV>
            <wp:extent cx="57003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0039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288290</wp:posOffset>
            </wp:positionV>
            <wp:extent cx="7132320" cy="360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99"/>
        <w:spacing w:after="0"/>
        <w:rPr>
          <w:sz w:val="20"/>
          <w:szCs w:val="20"/>
          <w:color w:val="auto"/>
        </w:rPr>
      </w:pPr>
      <w:r>
        <w:rPr>
          <w:rFonts w:ascii="Arial" w:cs="Arial" w:eastAsia="Arial" w:hAnsi="Arial"/>
          <w:sz w:val="18"/>
          <w:szCs w:val="18"/>
          <w:i w:val="1"/>
          <w:iCs w:val="1"/>
          <w:color w:val="auto"/>
        </w:rPr>
        <w:t>Read Instruction (on back page) Before Preparing Form. Please print or type.</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Nothing in this form shall be construed to imply that the Commission has verified any information contained herein.</w:t>
      </w:r>
    </w:p>
    <w:p>
      <w:pPr>
        <w:spacing w:after="0" w:line="27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the notification relates to a portion of the filing checked above, identify the Item(s) to which the notification relates: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PART I — REGISTRANT INFORMATION</w:t>
      </w:r>
    </w:p>
    <w:p>
      <w:pPr>
        <w:spacing w:after="0" w:line="33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Agrify Corporation</w:t>
      </w:r>
    </w:p>
    <w:p>
      <w:pPr>
        <w:spacing w:after="0" w:line="6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Full Name of Registrant</w:t>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Former Name if Applicable</w:t>
      </w:r>
    </w:p>
    <w:p>
      <w:pPr>
        <w:spacing w:after="0" w:line="33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76 Treble Cove Road, Building 3</w:t>
      </w:r>
    </w:p>
    <w:p>
      <w:pPr>
        <w:spacing w:after="0" w:line="6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Billerica, MA 01862</w:t>
      </w:r>
    </w:p>
    <w:p>
      <w:pPr>
        <w:spacing w:after="0" w:line="6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 xml:space="preserve">Address of Principal Executive Office </w:t>
      </w:r>
      <w:r>
        <w:rPr>
          <w:rFonts w:ascii="Arial" w:cs="Arial" w:eastAsia="Arial" w:hAnsi="Arial"/>
          <w:sz w:val="18"/>
          <w:szCs w:val="18"/>
          <w:b w:val="1"/>
          <w:bCs w:val="1"/>
          <w:i w:val="1"/>
          <w:iCs w:val="1"/>
          <w:color w:val="auto"/>
        </w:rPr>
        <w:t>(Street and Number)</w:t>
      </w:r>
    </w:p>
    <w:p>
      <w:pPr>
        <w:spacing w:after="0" w:line="6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80" w:right="4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PART II — RULES 12b-25(b) AND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254635</wp:posOffset>
            </wp:positionV>
            <wp:extent cx="8255" cy="925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925830"/>
                    </a:xfrm>
                    <a:prstGeom prst="rect">
                      <a:avLst/>
                    </a:prstGeom>
                    <a:noFill/>
                  </pic:spPr>
                </pic:pic>
              </a:graphicData>
            </a:graphic>
          </wp:anchor>
        </w:drawing>
      </w:r>
    </w:p>
    <w:p>
      <w:pPr>
        <w:spacing w:after="0" w:line="393" w:lineRule="exact"/>
        <w:rPr>
          <w:sz w:val="20"/>
          <w:szCs w:val="20"/>
          <w:color w:val="auto"/>
        </w:rPr>
      </w:pPr>
    </w:p>
    <w:p>
      <w:pPr>
        <w:ind w:left="1140" w:hanging="375"/>
        <w:spacing w:after="0"/>
        <w:tabs>
          <w:tab w:leader="none" w:pos="1140" w:val="left"/>
        </w:tabs>
        <w:numPr>
          <w:ilvl w:val="1"/>
          <w:numId w:val="1"/>
        </w:numPr>
        <w:rPr>
          <w:rFonts w:ascii="Arial" w:cs="Arial" w:eastAsia="Arial" w:hAnsi="Arial"/>
          <w:sz w:val="17"/>
          <w:szCs w:val="17"/>
          <w:color w:val="auto"/>
        </w:rPr>
      </w:pPr>
      <w:r>
        <w:rPr>
          <w:rFonts w:ascii="Arial" w:cs="Arial" w:eastAsia="Arial" w:hAnsi="Arial"/>
          <w:sz w:val="17"/>
          <w:szCs w:val="17"/>
          <w:color w:val="auto"/>
        </w:rPr>
        <w:t>The reasons described in reasonable detail in Part III of this form could not be eliminated without unreasonable effort or expense;</w:t>
      </w:r>
    </w:p>
    <w:p>
      <w:pPr>
        <w:spacing w:after="0" w:line="74" w:lineRule="exact"/>
        <w:rPr>
          <w:rFonts w:ascii="Arial" w:cs="Arial" w:eastAsia="Arial" w:hAnsi="Arial"/>
          <w:sz w:val="17"/>
          <w:szCs w:val="17"/>
          <w:color w:val="auto"/>
        </w:rPr>
      </w:pPr>
    </w:p>
    <w:p>
      <w:pPr>
        <w:ind w:left="1140" w:hanging="380"/>
        <w:spacing w:after="0"/>
        <w:tabs>
          <w:tab w:leader="none" w:pos="1140" w:val="left"/>
        </w:tabs>
        <w:numPr>
          <w:ilvl w:val="1"/>
          <w:numId w:val="1"/>
        </w:numPr>
        <w:rPr>
          <w:rFonts w:ascii="Arial" w:cs="Arial" w:eastAsia="Arial" w:hAnsi="Arial"/>
          <w:sz w:val="16"/>
          <w:szCs w:val="16"/>
          <w:color w:val="auto"/>
        </w:rPr>
      </w:pPr>
      <w:r>
        <w:rPr>
          <w:rFonts w:ascii="Arial" w:cs="Arial" w:eastAsia="Arial" w:hAnsi="Arial"/>
          <w:sz w:val="16"/>
          <w:szCs w:val="16"/>
          <w:color w:val="auto"/>
        </w:rPr>
        <w:t>The subject annual report, semi-annual report, transition report on Form 10-K, Form 20-F, Form 11-K, Form N-CEN or Form N-CSR, or</w:t>
      </w:r>
    </w:p>
    <w:p>
      <w:pPr>
        <w:spacing w:after="0" w:line="46" w:lineRule="exact"/>
        <w:rPr>
          <w:rFonts w:ascii="Arial" w:cs="Arial" w:eastAsia="Arial" w:hAnsi="Arial"/>
          <w:sz w:val="16"/>
          <w:szCs w:val="16"/>
          <w:color w:val="auto"/>
        </w:rPr>
      </w:pPr>
    </w:p>
    <w:p>
      <w:pPr>
        <w:ind w:left="1140" w:right="180" w:hanging="930"/>
        <w:spacing w:after="0" w:line="200" w:lineRule="auto"/>
        <w:tabs>
          <w:tab w:leader="none" w:pos="1140" w:val="left"/>
        </w:tabs>
        <w:numPr>
          <w:ilvl w:val="0"/>
          <w:numId w:val="1"/>
        </w:numPr>
        <w:rPr>
          <w:rFonts w:ascii="MS PGothic" w:cs="MS PGothic" w:eastAsia="MS PGothic" w:hAnsi="MS PGothic"/>
          <w:sz w:val="36"/>
          <w:szCs w:val="36"/>
          <w:color w:val="auto"/>
          <w:vertAlign w:val="subscript"/>
        </w:rPr>
      </w:pPr>
      <w:r>
        <w:rPr>
          <w:rFonts w:ascii="Arial" w:cs="Arial" w:eastAsia="Arial" w:hAnsi="Arial"/>
          <w:sz w:val="18"/>
          <w:szCs w:val="18"/>
          <w:color w:val="auto"/>
        </w:rPr>
        <w:t>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42" w:lineRule="exact"/>
        <w:rPr>
          <w:rFonts w:ascii="MS PGothic" w:cs="MS PGothic" w:eastAsia="MS PGothic" w:hAnsi="MS PGothic"/>
          <w:sz w:val="36"/>
          <w:szCs w:val="36"/>
          <w:color w:val="auto"/>
          <w:vertAlign w:val="subscript"/>
        </w:rPr>
      </w:pPr>
    </w:p>
    <w:p>
      <w:pPr>
        <w:ind w:left="1140" w:hanging="375"/>
        <w:spacing w:after="0"/>
        <w:tabs>
          <w:tab w:leader="none" w:pos="114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 — NARRATIVE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State below in reasonable detail the reasons why Forms 10-K, 20-F, 11-K, 10-Q, 10-D, N-CEN, N-CSR or the transition report or portion thereof, could not be filed within the prescribed time period.</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previously disclosed by Agrify Corporation (the “Company”) in its Current Report on Form 8-K, as filed on April 17, 2023 (the “Prior 8-K”), the Audit Committee of the Company’s Board of Directors (the “Audit Committee”) has determined that it is necessary to restate the Company’s unaudited condensed consolidated interim financial statements as of and for the fiscal periods ended March 31, 2022, June 30, 2022 and September 30, 2022 included in the Quarterly Reports on Form 10-Q with respect to such periods (such restatements, the “Restatements”). The Restatements are being made as a result of errors in the accounting for warrants previously issued by the Company. Specifically, the Audit Committee concluded 15,079 warrants issued in a private placement on January 28, 2022 and 34,406 warrants issued in a private placement on March 23, 2022 (collectively, the “Warrants”) should have been classified as a liability measured at fair value, with changes in fair value each period reported in earnings, rather than as a component of equity. The change in fair value of the Warrants is a non-cash charge and will be reflected in the Company’s statement of operations.</w:t>
      </w:r>
    </w:p>
    <w:p>
      <w:pPr>
        <w:spacing w:after="0" w:line="165"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As a result of the Restatements described above, the Company is unable to complete its unaudited condensed consolidated financial statements and file its Quarterly Report on Form 10-Q for the quarter ended June 30, 2023 (the “Form 10-Q”) by the prescribed due date for such filing. The Company plans to file the Form 10-Q as soon as practicable following the completion of the Restatements.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gridSpan w:val="2"/>
          </w:tcPr>
          <w:p>
            <w:pPr>
              <w:ind w:left="180"/>
              <w:spacing w:after="0"/>
              <w:rPr>
                <w:sz w:val="20"/>
                <w:szCs w:val="20"/>
                <w:color w:val="auto"/>
              </w:rPr>
            </w:pPr>
            <w:r>
              <w:rPr>
                <w:rFonts w:ascii="Arial" w:cs="Arial" w:eastAsia="Arial" w:hAnsi="Arial"/>
                <w:sz w:val="18"/>
                <w:szCs w:val="18"/>
                <w:b w:val="1"/>
                <w:bCs w:val="1"/>
                <w:color w:val="auto"/>
              </w:rPr>
              <w:t>PART IV — OTHER INFORMATION</w:t>
            </w:r>
          </w:p>
        </w:tc>
        <w:tc>
          <w:tcPr>
            <w:tcW w:w="3600" w:type="dxa"/>
            <w:vAlign w:val="bottom"/>
          </w:tcPr>
          <w:p>
            <w:pPr>
              <w:spacing w:after="0"/>
              <w:rPr>
                <w:sz w:val="20"/>
                <w:szCs w:val="20"/>
                <w:color w:val="auto"/>
              </w:rPr>
            </w:pPr>
          </w:p>
        </w:tc>
      </w:tr>
      <w:tr>
        <w:trPr>
          <w:trHeight w:val="432"/>
        </w:trPr>
        <w:tc>
          <w:tcPr>
            <w:tcW w:w="7640" w:type="dxa"/>
            <w:vAlign w:val="bottom"/>
            <w:gridSpan w:val="4"/>
          </w:tcPr>
          <w:p>
            <w:pPr>
              <w:spacing w:after="0"/>
              <w:rPr>
                <w:sz w:val="20"/>
                <w:szCs w:val="20"/>
                <w:color w:val="auto"/>
              </w:rPr>
            </w:pPr>
            <w:r>
              <w:rPr>
                <w:rFonts w:ascii="Arial" w:cs="Arial" w:eastAsia="Arial" w:hAnsi="Arial"/>
                <w:sz w:val="18"/>
                <w:szCs w:val="18"/>
                <w:color w:val="auto"/>
              </w:rPr>
              <w:t>(1) Name and telephone number of person to contact in regard to this notification</w:t>
            </w:r>
          </w:p>
        </w:tc>
        <w:tc>
          <w:tcPr>
            <w:tcW w:w="3600" w:type="dxa"/>
            <w:vAlign w:val="bottom"/>
          </w:tcPr>
          <w:p>
            <w:pPr>
              <w:spacing w:after="0"/>
              <w:rPr>
                <w:sz w:val="24"/>
                <w:szCs w:val="24"/>
                <w:color w:val="auto"/>
              </w:rPr>
            </w:pPr>
          </w:p>
        </w:tc>
      </w:tr>
      <w:tr>
        <w:trPr>
          <w:trHeight w:val="459"/>
        </w:trPr>
        <w:tc>
          <w:tcPr>
            <w:tcW w:w="3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Raymond N. Chang</w:t>
            </w:r>
          </w:p>
        </w:tc>
        <w:tc>
          <w:tcPr>
            <w:tcW w:w="3600" w:type="dxa"/>
            <w:vAlign w:val="bottom"/>
          </w:tcPr>
          <w:p>
            <w:pPr>
              <w:jc w:val="right"/>
              <w:ind w:right="1510"/>
              <w:spacing w:after="0"/>
              <w:rPr>
                <w:sz w:val="20"/>
                <w:szCs w:val="20"/>
                <w:color w:val="auto"/>
              </w:rPr>
            </w:pPr>
            <w:r>
              <w:rPr>
                <w:rFonts w:ascii="Arial" w:cs="Arial" w:eastAsia="Arial" w:hAnsi="Arial"/>
                <w:sz w:val="18"/>
                <w:szCs w:val="18"/>
                <w:b w:val="1"/>
                <w:bCs w:val="1"/>
                <w:color w:val="auto"/>
              </w:rPr>
              <w:t>(617)</w:t>
            </w:r>
          </w:p>
        </w:tc>
        <w:tc>
          <w:tcPr>
            <w:tcW w:w="100" w:type="dxa"/>
            <w:vAlign w:val="bottom"/>
          </w:tcPr>
          <w:p>
            <w:pPr>
              <w:spacing w:after="0"/>
              <w:rPr>
                <w:sz w:val="24"/>
                <w:szCs w:val="24"/>
                <w:color w:val="auto"/>
              </w:rPr>
            </w:pPr>
          </w:p>
        </w:tc>
        <w:tc>
          <w:tcPr>
            <w:tcW w:w="3600" w:type="dxa"/>
            <w:vAlign w:val="bottom"/>
          </w:tcPr>
          <w:p>
            <w:pPr>
              <w:jc w:val="right"/>
              <w:ind w:right="1370"/>
              <w:spacing w:after="0"/>
              <w:rPr>
                <w:sz w:val="20"/>
                <w:szCs w:val="20"/>
                <w:color w:val="auto"/>
              </w:rPr>
            </w:pPr>
            <w:r>
              <w:rPr>
                <w:rFonts w:ascii="Arial" w:cs="Arial" w:eastAsia="Arial" w:hAnsi="Arial"/>
                <w:sz w:val="18"/>
                <w:szCs w:val="18"/>
                <w:b w:val="1"/>
                <w:bCs w:val="1"/>
                <w:color w:val="auto"/>
              </w:rPr>
              <w:t>788-9043</w:t>
            </w:r>
          </w:p>
        </w:tc>
      </w:tr>
      <w:tr>
        <w:trPr>
          <w:trHeight w:val="27"/>
        </w:trPr>
        <w:tc>
          <w:tcPr>
            <w:tcW w:w="3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37"/>
        </w:trPr>
        <w:tc>
          <w:tcPr>
            <w:tcW w:w="39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(Name)</w:t>
            </w:r>
          </w:p>
        </w:tc>
        <w:tc>
          <w:tcPr>
            <w:tcW w:w="370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(Area Code)</w:t>
            </w: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(Telephone Number)</w:t>
            </w:r>
          </w:p>
        </w:tc>
      </w:tr>
    </w:tbl>
    <w:p>
      <w:pPr>
        <w:spacing w:after="0" w:line="229" w:lineRule="exact"/>
        <w:rPr>
          <w:sz w:val="20"/>
          <w:szCs w:val="20"/>
          <w:color w:val="auto"/>
        </w:rPr>
      </w:pPr>
    </w:p>
    <w:p>
      <w:pPr>
        <w:ind w:firstLine="8"/>
        <w:spacing w:after="0" w:line="287" w:lineRule="auto"/>
        <w:tabs>
          <w:tab w:leader="none" w:pos="255" w:val="left"/>
        </w:tabs>
        <w:numPr>
          <w:ilvl w:val="0"/>
          <w:numId w:val="3"/>
        </w:numPr>
        <w:rPr>
          <w:rFonts w:ascii="Arial" w:cs="Arial" w:eastAsia="Arial" w:hAnsi="Arial"/>
          <w:sz w:val="16"/>
          <w:szCs w:val="16"/>
          <w:color w:val="auto"/>
        </w:rPr>
      </w:pPr>
      <w:r>
        <w:rPr>
          <w:rFonts w:ascii="Arial" w:cs="Arial" w:eastAsia="Arial" w:hAnsi="Arial"/>
          <w:sz w:val="16"/>
          <w:szCs w:val="16"/>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w:t>
      </w:r>
    </w:p>
    <w:p>
      <w:pPr>
        <w:spacing w:after="0" w:line="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identify report(s).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has not yet filed its Annual Report on Form 10-K for the fiscal year ended December 31, 2022 and its Quarterly Report on Form 10-Q for the fiscal quarter ended March 31, 2023, due to the reasons described in Part III above.</w:t>
      </w:r>
    </w:p>
    <w:p>
      <w:pPr>
        <w:spacing w:after="0" w:line="170" w:lineRule="exact"/>
        <w:rPr>
          <w:sz w:val="20"/>
          <w:szCs w:val="20"/>
          <w:color w:val="auto"/>
        </w:rPr>
      </w:pPr>
    </w:p>
    <w:p>
      <w:pPr>
        <w:ind w:firstLine="8"/>
        <w:spacing w:after="0" w:line="258"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1"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As described in Part III above, the Company continues work on the Restatements that were disclosed in the Prior 8-K. The Company anticipates that the adjustments included in the Restatements will affect the Company’s unaudited condensed consolidated interim financial statements as of and for the fiscal period ended June 30, 2023, which will be included in the Form 10-Q, but is not currently able to provide a reasonable estimate regarding the results as of the date of this filing.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Certain matters discussed in this Form 12b-25 constitute forward-looking statements within the meaning of the federal securities laws. All statements contained in this Form 12b-25 that do not relate to matters of historical fact should be considered forward-looking statements. These forward-looking statements are based on management’s current expectation and include, but are not limited to, statements regarding the Company’s beliefs and expectations relating to the filing of the Form 10-Q and the results of the ongoing review.</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These forward-looking statements are not guarantees of future results and are subject to a number of risks and uncertainties, many of which are difficult to predict and beyond the Company’s control. Important factors that may cause actual results to differ materially from those in the forward-looking statements include, but are not limited to, a material delay in the Company’s financial reporting, including the possibility that the Company will not be able to file its Form 10-Q within the five-day extension permitted by the rules of the U.S. Securities and Exchange Commission, and the possibility that the ongoing audit may identify errors or control deficiencies in the Company’s accounting practices. The Company disclaims and does not undertake any obligation to update or revise any forward-looking statement in this report, except as required by applicable law or regulation.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ind w:right="-1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t>Agrify Corporation</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(Name of Registrant as Specified in Charter)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August 21,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b w:val="1"/>
          <w:bCs w:val="1"/>
          <w:color w:val="auto"/>
        </w:rPr>
        <w:t>Raymond N.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Raymond N. Chang</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20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INTENTIONAL MISSTATEMENTS OR OMISSIONS OF FACT CONSTITUTE FEDERAL CRIMINAL</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VIOLATIONS (SEE 18 U.S.C. 1001).</w:t>
      </w:r>
    </w:p>
    <w:p>
      <w:pPr>
        <w:spacing w:after="0" w:line="200" w:lineRule="exact"/>
        <w:rPr>
          <w:sz w:val="20"/>
          <w:szCs w:val="20"/>
          <w:color w:val="auto"/>
        </w:rPr>
      </w:pPr>
    </w:p>
    <w:p>
      <w:pPr>
        <w:spacing w:after="0" w:line="2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2)"/>
      <w:numFmt w:val="lowerLetter"/>
      <w:start w:val="1"/>
    </w:lvl>
  </w:abstractNum>
  <w:abstractNum w:abstractNumId="1">
    <w:nsid w:val="19495CFF"/>
    <w:multiLevelType w:val="hybridMultilevel"/>
    <w:lvl w:ilvl="0">
      <w:lvlJc w:val="left"/>
      <w:lvlText w:val="☐"/>
      <w:numFmt w:val="bullet"/>
      <w:start w:val="1"/>
    </w:lvl>
    <w:lvl w:ilvl="1">
      <w:lvlJc w:val="left"/>
      <w:lvlText w:val="(%2)"/>
      <w:numFmt w:val="lowerLetter"/>
      <w:start w:val="3"/>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2023-08-21T05:57:32Z</dcterms:created>
  <dcterms:modified xsi:type="dcterms:W3CDTF">2023-08-21T05:57:32Z</dcterms:modified>
</cp:coreProperties>
</file>