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425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BENYO CHRISTOPHER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17"/>
        <w:spacing w:after="0"/>
        <w:rPr>
          <w:sz w:val="20"/>
          <w:szCs w:val="20"/>
          <w:color w:val="auto"/>
        </w:rPr>
      </w:pPr>
      <w:r>
        <w:rPr>
          <w:rFonts w:ascii="Times New Roman" w:cs="Times New Roman" w:eastAsia="Times New Roman" w:hAnsi="Times New Roman"/>
          <w:sz w:val="17"/>
          <w:szCs w:val="17"/>
          <w:color w:val="0000FF"/>
        </w:rPr>
        <w:t>Chief Revenue Officer</w:t>
      </w:r>
    </w:p>
    <w:p>
      <w:pPr>
        <w:spacing w:after="0" w:line="38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01862</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08/08/2022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75,000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08/08/2022</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75,000</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160" w:type="dxa"/>
            <w:vAlign w:val="bottom"/>
          </w:tcPr>
          <w:p>
            <w:pPr>
              <w:spacing w:after="0"/>
              <w:rPr>
                <w:sz w:val="12"/>
                <w:szCs w:val="12"/>
                <w:color w:val="auto"/>
              </w:rPr>
            </w:pPr>
          </w:p>
        </w:tc>
        <w:tc>
          <w:tcPr>
            <w:tcW w:w="540" w:type="dxa"/>
            <w:vAlign w:val="bottom"/>
          </w:tcPr>
          <w:p>
            <w:pPr>
              <w:ind w:left="12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75,000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(4)</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-2397760</wp:posOffset>
            </wp:positionV>
            <wp:extent cx="29210" cy="2402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4028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 The grant was made pursuant to the terms of an Employment Agreement between the issuer and the registrant dated January 10, 2022.</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4" w:lineRule="exact"/>
        <w:rPr>
          <w:rFonts w:ascii="Times New Roman" w:cs="Times New Roman" w:eastAsia="Times New Roman" w:hAnsi="Times New Roman"/>
          <w:sz w:val="13"/>
          <w:szCs w:val="13"/>
          <w:color w:val="008000"/>
        </w:rPr>
      </w:pPr>
    </w:p>
    <w:p>
      <w:pPr>
        <w:ind w:left="40" w:right="2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installments on January 10, 2023, January 10, 2024 and January 10, 2025, subject to the reporting person's continuous service through each applicable vesting date.</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installments on August 8, 2023, August 8, 2024 and August 8, 2025, subject to the reporting person's continuous service through each applicable vesting date.</w:t>
      </w:r>
    </w:p>
    <w:p>
      <w:pPr>
        <w:spacing w:after="0" w:line="70"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 Savitz, attorney-in-fact  08/10/2022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158996"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2022-08-10T16:09:34Z</dcterms:created>
  <dcterms:modified xsi:type="dcterms:W3CDTF">2022-08-10T16:09:34Z</dcterms:modified>
</cp:coreProperties>
</file>