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28,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2024, Agrify Corporation (the “Company”) issued a press release announcing that it had received formal written notice from The Nasdaq Stock Market, LLC (“Nasdaq”) confirming that the Company has regained compliance with the minimum stockholders’ equity requirement as set forth in Nasdaq Listing Rule 5550(b)(1).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on Form 8-K.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will not be deemed to be filed for purposes of Section 18 of the Securities Exchange Act of 1934, as amended (the “Exchange Act”) or otherwise be subject to the liabilities of that section, nor will it be deemed to be incorporated by reference in any filing under the Securities Act of 1933, as amended,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as of May 28, 2024</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28, 2024</w:t>
      </w:r>
      <w:r>
        <w:rPr>
          <w:sz w:val="20"/>
          <w:szCs w:val="20"/>
          <w:color w:val="auto"/>
        </w:rPr>
        <w:tab/>
      </w:r>
      <w:r>
        <w:rPr>
          <w:rFonts w:ascii="Times New Roman" w:cs="Times New Roman" w:eastAsia="Times New Roman" w:hAnsi="Times New Roman"/>
          <w:sz w:val="18"/>
          <w:szCs w:val="18"/>
          <w:color w:val="auto"/>
        </w:rPr>
        <w:t>By:</w:t>
        <w:tab/>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Regains Compliance with Nasdaq Stockholders’ Equity Requirement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TROY, Mich., May 28, 2024 (GLOBE NEWSWIRE) -- Agrify Corporation (Nasdaq:AGFY) (“Agrify” or the “Company”), a leading provider of innovative cultivation and extraction solutions for the cannabis industry, today announced that after the recent $13.8 million debt-to-equity conversions by CP Acquisitions, LLC and GIC Acquisition, LLC, two entities affiliated with Raymond Chang, Chairman and CEO of Agrify, Agrify has received confirmation from Nasdaq that it has regained compliance with the stockholders’ equity requirement of minimum of $2.5 million in Listing Rule 5550(b)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very thankful that Nasdaq has confirmed that Agrify has regained compliance with the minimum stockholders’ equity requirement. The $13.8 million debt-to-equity conversion is a very significant commitment from the management and the leading shareholders to ensure the ongoing Nasdaq listing. In the last few months, we have made tremendous progress towards cleaning up our balance sheet, reducing our cash burn, and growing our business. The work is not yet over, and we remain committed to ensuring a full turnaround and creating long term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Agrify’s proprietary micro-environment-controlled Vertical Farming Units (VFUs) enable cultivators to produce the highest quality products with unmatched consistency, yield, and ROI at scale. Agrify’s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continued listing on Nasdaq, Agrify’s ability to complete a full turnaround, management’s plans,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27" w:lineRule="exact"/>
        <w:rPr>
          <w:sz w:val="20"/>
          <w:szCs w:val="20"/>
          <w:color w:val="auto"/>
        </w:rPr>
      </w:pPr>
    </w:p>
    <w:p>
      <w:pPr>
        <w:jc w:val="both"/>
        <w:ind w:right="10120" w:firstLine="8"/>
        <w:spacing w:after="0" w:line="555"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256-8110 Source: Agrify</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85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2024-05-28T17:15:47Z</dcterms:created>
  <dcterms:modified xsi:type="dcterms:W3CDTF">2024-05-28T17:15:47Z</dcterms:modified>
</cp:coreProperties>
</file>